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DB" w:rsidRPr="008D5747" w:rsidRDefault="002250DB" w:rsidP="002250DB">
      <w:pPr>
        <w:pStyle w:val="Nadpis2"/>
        <w:numPr>
          <w:ilvl w:val="0"/>
          <w:numId w:val="0"/>
        </w:numPr>
        <w:ind w:left="567" w:hanging="567"/>
        <w:rPr>
          <w:lang w:eastAsia="cs-CZ"/>
        </w:rPr>
      </w:pPr>
      <w:r>
        <w:rPr>
          <w:lang w:eastAsia="cs-CZ"/>
        </w:rPr>
        <w:t>Popis cílového stavu SAU</w:t>
      </w:r>
      <w:bookmarkStart w:id="0" w:name="_GoBack"/>
      <w:bookmarkEnd w:id="0"/>
    </w:p>
    <w:p w:rsidR="002250DB" w:rsidRDefault="002250DB" w:rsidP="002250DB">
      <w:pPr>
        <w:pStyle w:val="Odstavecseseznamem"/>
        <w:spacing w:after="120"/>
        <w:ind w:left="0"/>
        <w:contextualSpacing w:val="0"/>
      </w:pPr>
      <w:r>
        <w:t>V cílovém stavu bude SAU představovat</w:t>
      </w:r>
      <w:r w:rsidRPr="003D29A0">
        <w:t xml:space="preserve"> </w:t>
      </w:r>
      <w:r w:rsidRPr="00B104C0">
        <w:rPr>
          <w:b/>
        </w:rPr>
        <w:t xml:space="preserve">univerzální řešení zprostředkující přístup systémů a aplikací provozovaných v rezortu </w:t>
      </w:r>
      <w:proofErr w:type="spellStart"/>
      <w:r w:rsidRPr="00B104C0">
        <w:rPr>
          <w:b/>
        </w:rPr>
        <w:t>MZe</w:t>
      </w:r>
      <w:proofErr w:type="spellEnd"/>
      <w:r w:rsidRPr="00B104C0">
        <w:rPr>
          <w:b/>
        </w:rPr>
        <w:t xml:space="preserve"> k externím a interním autentizačním službám</w:t>
      </w:r>
      <w:r>
        <w:t>.</w:t>
      </w:r>
      <w:r w:rsidRPr="003D29A0">
        <w:t xml:space="preserve"> </w:t>
      </w:r>
      <w:r>
        <w:t>C</w:t>
      </w:r>
      <w:r w:rsidRPr="003D29A0">
        <w:t xml:space="preserve">ílem </w:t>
      </w:r>
      <w:r>
        <w:t xml:space="preserve">je </w:t>
      </w:r>
      <w:r w:rsidRPr="003D29A0">
        <w:t xml:space="preserve">minimalizovat dopady </w:t>
      </w:r>
      <w:r>
        <w:t xml:space="preserve">využití externích </w:t>
      </w:r>
      <w:proofErr w:type="spellStart"/>
      <w:r>
        <w:t>identitních</w:t>
      </w:r>
      <w:proofErr w:type="spellEnd"/>
      <w:r>
        <w:t xml:space="preserve"> služeb na</w:t>
      </w:r>
      <w:r w:rsidRPr="003D29A0">
        <w:t xml:space="preserve"> existující systém</w:t>
      </w:r>
      <w:r>
        <w:t>y</w:t>
      </w:r>
      <w:r w:rsidRPr="003D29A0">
        <w:t xml:space="preserve"> a aplikac</w:t>
      </w:r>
      <w:r>
        <w:t>e</w:t>
      </w:r>
      <w:r w:rsidRPr="003D29A0">
        <w:t xml:space="preserve"> a tím i náklady vynaložené na imple</w:t>
      </w:r>
      <w:r>
        <w:t>mentaci autentizačního řešení.</w:t>
      </w:r>
    </w:p>
    <w:p w:rsidR="002250DB" w:rsidRDefault="002250DB" w:rsidP="002250DB">
      <w:pPr>
        <w:pStyle w:val="Odstavecseseznamem"/>
        <w:spacing w:after="120"/>
        <w:ind w:left="0"/>
        <w:contextualSpacing w:val="0"/>
      </w:pPr>
      <w:r w:rsidRPr="003D29A0">
        <w:t xml:space="preserve">Poptávané řešení na jedné straně umožní naplnit požadavky </w:t>
      </w:r>
      <w:r>
        <w:t xml:space="preserve">platných právních předpisů EU i ČR </w:t>
      </w:r>
      <w:r w:rsidRPr="003D29A0">
        <w:t xml:space="preserve">a </w:t>
      </w:r>
      <w:r w:rsidR="00F76132">
        <w:t xml:space="preserve">na </w:t>
      </w:r>
      <w:r w:rsidRPr="003D29A0">
        <w:t>straně druhé přinese náhradu stávajících již nevyhovujíc</w:t>
      </w:r>
      <w:r>
        <w:t>ích autentizačních technologií a procesů. Popis cílového stavu SAU je realizován s ohledem na následující skutečnosti:</w:t>
      </w:r>
    </w:p>
    <w:p w:rsidR="002250DB" w:rsidRDefault="002250DB" w:rsidP="002250DB">
      <w:pPr>
        <w:pStyle w:val="Odstavecseseznamem"/>
        <w:numPr>
          <w:ilvl w:val="0"/>
          <w:numId w:val="2"/>
        </w:numPr>
        <w:spacing w:after="0"/>
      </w:pPr>
      <w:r>
        <w:t>SAU je v souladu s ustanovením § 2 písm. d) zákon</w:t>
      </w:r>
      <w:r w:rsidR="00F76132">
        <w:t>a</w:t>
      </w:r>
      <w:r>
        <w:t xml:space="preserve"> č. 181/2014 Sb., o kybernetické bezpečnosti a o změně souvisejících zákonů (zákon o kybernetické bezpečnosti), ve znění pozdějších předpisů (dále též „</w:t>
      </w:r>
      <w:proofErr w:type="spellStart"/>
      <w:r>
        <w:t>ZoKB</w:t>
      </w:r>
      <w:proofErr w:type="spellEnd"/>
      <w:r>
        <w:t xml:space="preserve">“) </w:t>
      </w:r>
      <w:r w:rsidRPr="00B11DDC">
        <w:rPr>
          <w:b/>
        </w:rPr>
        <w:t>významným informačním systémem</w:t>
      </w:r>
      <w:r>
        <w:t>;</w:t>
      </w:r>
    </w:p>
    <w:p w:rsidR="002250DB" w:rsidRDefault="002250DB" w:rsidP="002250DB">
      <w:pPr>
        <w:pStyle w:val="Odstavecseseznamem"/>
        <w:numPr>
          <w:ilvl w:val="0"/>
          <w:numId w:val="2"/>
        </w:numPr>
        <w:spacing w:after="0"/>
      </w:pPr>
      <w:r>
        <w:t xml:space="preserve">SAU je </w:t>
      </w:r>
      <w:r w:rsidRPr="00B11DDC">
        <w:rPr>
          <w:b/>
        </w:rPr>
        <w:t>informačním systémem veřejné správy</w:t>
      </w:r>
      <w:r>
        <w:t xml:space="preserve"> dle zákona č. 365/2000 Sb.</w:t>
      </w:r>
      <w:r w:rsidRPr="008D5747">
        <w:rPr>
          <w:rFonts w:cstheme="minorHAnsi"/>
        </w:rPr>
        <w:t>, o informačních systémech veřejné správy</w:t>
      </w:r>
      <w:r>
        <w:rPr>
          <w:rFonts w:cstheme="minorHAnsi"/>
        </w:rPr>
        <w:t xml:space="preserve"> </w:t>
      </w:r>
      <w:r w:rsidRPr="00BE04A7">
        <w:rPr>
          <w:rFonts w:cstheme="minorHAnsi"/>
        </w:rPr>
        <w:t>a o změně některých dalších zákonů</w:t>
      </w:r>
      <w:r>
        <w:rPr>
          <w:rFonts w:cstheme="minorHAnsi"/>
        </w:rPr>
        <w:t>, ve znění pozdějších předpisů</w:t>
      </w:r>
      <w:r>
        <w:t xml:space="preserve"> (dále též „ISVS“);</w:t>
      </w:r>
    </w:p>
    <w:p w:rsidR="002250DB" w:rsidRDefault="002250DB" w:rsidP="002250DB">
      <w:pPr>
        <w:pStyle w:val="Odstavecseseznamem"/>
        <w:numPr>
          <w:ilvl w:val="0"/>
          <w:numId w:val="2"/>
        </w:numPr>
        <w:spacing w:after="0"/>
      </w:pPr>
      <w:r>
        <w:t xml:space="preserve">Řešení SAU zohlední bezpečnostní politiku </w:t>
      </w:r>
      <w:proofErr w:type="spellStart"/>
      <w:r>
        <w:t>MZe</w:t>
      </w:r>
      <w:proofErr w:type="spellEnd"/>
      <w:r>
        <w:t xml:space="preserve"> .</w:t>
      </w:r>
    </w:p>
    <w:p w:rsidR="002250DB" w:rsidRDefault="002250DB" w:rsidP="002250DB">
      <w:pPr>
        <w:pStyle w:val="Odstavecseseznamem"/>
        <w:spacing w:after="120"/>
        <w:ind w:left="0"/>
        <w:contextualSpacing w:val="0"/>
      </w:pPr>
    </w:p>
    <w:p w:rsidR="002250DB" w:rsidRPr="008D5747" w:rsidRDefault="002250DB" w:rsidP="002250DB">
      <w:pPr>
        <w:spacing w:after="284"/>
        <w:rPr>
          <w:rFonts w:cstheme="minorHAnsi"/>
        </w:rPr>
      </w:pPr>
      <w:r w:rsidRPr="008D5747">
        <w:rPr>
          <w:rFonts w:cstheme="minorHAnsi"/>
        </w:rPr>
        <w:t>Nov</w:t>
      </w:r>
      <w:r>
        <w:rPr>
          <w:rFonts w:cstheme="minorHAnsi"/>
        </w:rPr>
        <w:t>é</w:t>
      </w:r>
      <w:r w:rsidRPr="008D5747">
        <w:rPr>
          <w:rFonts w:cstheme="minorHAnsi"/>
        </w:rPr>
        <w:t xml:space="preserve"> komplexní </w:t>
      </w:r>
      <w:r>
        <w:rPr>
          <w:rFonts w:cstheme="minorHAnsi"/>
        </w:rPr>
        <w:t>řešení SAU</w:t>
      </w:r>
      <w:r w:rsidRPr="008D5747">
        <w:rPr>
          <w:rFonts w:cstheme="minorHAnsi"/>
        </w:rPr>
        <w:t xml:space="preserve"> </w:t>
      </w:r>
      <w:r>
        <w:rPr>
          <w:rFonts w:cstheme="minorHAnsi"/>
        </w:rPr>
        <w:t>je budováno s </w:t>
      </w:r>
      <w:r w:rsidRPr="008D5747">
        <w:rPr>
          <w:rFonts w:cstheme="minorHAnsi"/>
        </w:rPr>
        <w:t>následující vizí cílového stavu:</w:t>
      </w:r>
    </w:p>
    <w:p w:rsidR="002250DB" w:rsidRPr="008E373E" w:rsidRDefault="002250DB" w:rsidP="002250DB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8D5747">
        <w:rPr>
          <w:rFonts w:cstheme="minorHAnsi"/>
        </w:rPr>
        <w:t>Funguje nov</w:t>
      </w:r>
      <w:r>
        <w:rPr>
          <w:rFonts w:cstheme="minorHAnsi"/>
        </w:rPr>
        <w:t>é</w:t>
      </w:r>
      <w:r w:rsidRPr="008D5747">
        <w:rPr>
          <w:rFonts w:cstheme="minorHAnsi"/>
        </w:rPr>
        <w:t xml:space="preserve"> komplexní</w:t>
      </w:r>
      <w:r>
        <w:rPr>
          <w:rFonts w:cstheme="minorHAnsi"/>
        </w:rPr>
        <w:t xml:space="preserve"> řešení pro autentizaci uživatelů přistupujících k on-line službám rezortu </w:t>
      </w:r>
      <w:proofErr w:type="spellStart"/>
      <w:r>
        <w:rPr>
          <w:rFonts w:cstheme="minorHAnsi"/>
        </w:rPr>
        <w:t>MZe</w:t>
      </w:r>
      <w:proofErr w:type="spellEnd"/>
      <w:r>
        <w:rPr>
          <w:rFonts w:cstheme="minorHAnsi"/>
        </w:rPr>
        <w:t xml:space="preserve">, </w:t>
      </w:r>
      <w:r w:rsidRPr="008D5747">
        <w:rPr>
          <w:rFonts w:cstheme="minorHAnsi"/>
        </w:rPr>
        <w:t>kter</w:t>
      </w:r>
      <w:r>
        <w:rPr>
          <w:rFonts w:cstheme="minorHAnsi"/>
        </w:rPr>
        <w:t>é</w:t>
      </w:r>
      <w:r w:rsidRPr="008D5747">
        <w:rPr>
          <w:rFonts w:cstheme="minorHAnsi"/>
        </w:rPr>
        <w:t xml:space="preserve"> je </w:t>
      </w:r>
      <w:r w:rsidRPr="008D5747">
        <w:rPr>
          <w:rFonts w:cstheme="minorHAnsi"/>
          <w:b/>
        </w:rPr>
        <w:t>postaven</w:t>
      </w:r>
      <w:r>
        <w:rPr>
          <w:rFonts w:cstheme="minorHAnsi"/>
          <w:b/>
        </w:rPr>
        <w:t>o</w:t>
      </w:r>
      <w:r w:rsidRPr="008D5747">
        <w:rPr>
          <w:rFonts w:cstheme="minorHAnsi"/>
          <w:b/>
        </w:rPr>
        <w:t xml:space="preserve"> na základě moderní </w:t>
      </w:r>
      <w:proofErr w:type="spellStart"/>
      <w:r w:rsidRPr="008D5747">
        <w:rPr>
          <w:rFonts w:cstheme="minorHAnsi"/>
          <w:b/>
        </w:rPr>
        <w:t>solution</w:t>
      </w:r>
      <w:proofErr w:type="spellEnd"/>
      <w:r w:rsidRPr="008D5747">
        <w:rPr>
          <w:rFonts w:cstheme="minorHAnsi"/>
          <w:b/>
        </w:rPr>
        <w:t xml:space="preserve"> architektury a na perspektivních technologiích, jež je možno do budoucna efektivně rozvíjet a </w:t>
      </w:r>
      <w:proofErr w:type="spellStart"/>
      <w:r w:rsidRPr="008D5747">
        <w:rPr>
          <w:rFonts w:cstheme="minorHAnsi"/>
          <w:b/>
        </w:rPr>
        <w:t>škálovat</w:t>
      </w:r>
      <w:proofErr w:type="spellEnd"/>
      <w:r>
        <w:rPr>
          <w:rFonts w:cstheme="minorHAnsi"/>
          <w:b/>
        </w:rPr>
        <w:t xml:space="preserve"> </w:t>
      </w:r>
      <w:r w:rsidRPr="00C97DDE">
        <w:rPr>
          <w:rFonts w:cstheme="minorHAnsi"/>
        </w:rPr>
        <w:t xml:space="preserve">bez nutnosti nahrazovat dílčí </w:t>
      </w:r>
      <w:r>
        <w:rPr>
          <w:rFonts w:cstheme="minorHAnsi"/>
        </w:rPr>
        <w:t xml:space="preserve">či všechny </w:t>
      </w:r>
      <w:r w:rsidRPr="00C97DDE">
        <w:rPr>
          <w:rFonts w:cstheme="minorHAnsi"/>
        </w:rPr>
        <w:t xml:space="preserve">komponenty </w:t>
      </w:r>
      <w:r>
        <w:rPr>
          <w:rFonts w:cstheme="minorHAnsi"/>
        </w:rPr>
        <w:t xml:space="preserve">SAU (minimalizace rizik zmaření investic </w:t>
      </w:r>
      <w:proofErr w:type="spellStart"/>
      <w:r>
        <w:rPr>
          <w:rFonts w:cstheme="minorHAnsi"/>
        </w:rPr>
        <w:t>MZe</w:t>
      </w:r>
      <w:proofErr w:type="spellEnd"/>
      <w:r>
        <w:rPr>
          <w:rFonts w:cstheme="minorHAnsi"/>
        </w:rPr>
        <w:t>)</w:t>
      </w:r>
      <w:r w:rsidRPr="008E373E">
        <w:rPr>
          <w:rFonts w:cstheme="minorHAnsi"/>
        </w:rPr>
        <w:t>;</w:t>
      </w:r>
    </w:p>
    <w:p w:rsidR="002250DB" w:rsidRPr="008D5747" w:rsidRDefault="002250DB" w:rsidP="002250DB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proofErr w:type="spellStart"/>
      <w:r>
        <w:rPr>
          <w:rFonts w:cstheme="minorHAnsi"/>
          <w:b/>
        </w:rPr>
        <w:t>MZe</w:t>
      </w:r>
      <w:proofErr w:type="spellEnd"/>
      <w:r>
        <w:rPr>
          <w:rFonts w:cstheme="minorHAnsi"/>
          <w:b/>
        </w:rPr>
        <w:t xml:space="preserve"> je vlastníkem zdrojových kódů všech částí SAU</w:t>
      </w:r>
      <w:r>
        <w:rPr>
          <w:rFonts w:cstheme="minorHAnsi"/>
        </w:rPr>
        <w:t xml:space="preserve">, </w:t>
      </w:r>
      <w:r w:rsidRPr="003D29A0">
        <w:t xml:space="preserve">které nejsou </w:t>
      </w:r>
      <w:r>
        <w:t xml:space="preserve">v souladu se Smlouvou </w:t>
      </w:r>
      <w:r w:rsidRPr="003D29A0">
        <w:t xml:space="preserve">klasifikovány jako standardní software a byly tedy vyvíjeny pro prostředí </w:t>
      </w:r>
      <w:proofErr w:type="spellStart"/>
      <w:r w:rsidRPr="003D29A0">
        <w:t>MZe</w:t>
      </w:r>
      <w:proofErr w:type="spellEnd"/>
      <w:r w:rsidRPr="003D29A0">
        <w:t xml:space="preserve"> jako součást implementace a parametrizace řešení</w:t>
      </w:r>
      <w:r>
        <w:t xml:space="preserve"> SAU</w:t>
      </w:r>
      <w:r>
        <w:rPr>
          <w:rFonts w:cstheme="minorHAnsi"/>
        </w:rPr>
        <w:t>,</w:t>
      </w:r>
      <w:r w:rsidRPr="00194433">
        <w:rPr>
          <w:rFonts w:cstheme="minorHAnsi"/>
        </w:rPr>
        <w:t xml:space="preserve"> </w:t>
      </w:r>
      <w:r>
        <w:rPr>
          <w:rFonts w:cstheme="minorHAnsi"/>
        </w:rPr>
        <w:t xml:space="preserve">aby nenastala </w:t>
      </w:r>
      <w:r w:rsidRPr="008D5747">
        <w:rPr>
          <w:rFonts w:cstheme="minorHAnsi"/>
        </w:rPr>
        <w:t>situace „</w:t>
      </w:r>
      <w:proofErr w:type="spellStart"/>
      <w:r w:rsidRPr="008D5747">
        <w:rPr>
          <w:rFonts w:cstheme="minorHAnsi"/>
        </w:rPr>
        <w:t>vendor</w:t>
      </w:r>
      <w:proofErr w:type="spellEnd"/>
      <w:r w:rsidRPr="008D5747">
        <w:rPr>
          <w:rFonts w:cstheme="minorHAnsi"/>
        </w:rPr>
        <w:t xml:space="preserve"> </w:t>
      </w:r>
      <w:proofErr w:type="spellStart"/>
      <w:r w:rsidRPr="008D5747">
        <w:rPr>
          <w:rFonts w:cstheme="minorHAnsi"/>
        </w:rPr>
        <w:t>lock</w:t>
      </w:r>
      <w:proofErr w:type="spellEnd"/>
      <w:r w:rsidRPr="008D5747">
        <w:rPr>
          <w:rFonts w:cstheme="minorHAnsi"/>
        </w:rPr>
        <w:t>-in“</w:t>
      </w:r>
      <w:r>
        <w:rPr>
          <w:rFonts w:cstheme="minorHAnsi"/>
        </w:rPr>
        <w:t>;</w:t>
      </w:r>
    </w:p>
    <w:p w:rsidR="002250DB" w:rsidRDefault="002250DB" w:rsidP="002250DB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proofErr w:type="spellStart"/>
      <w:r>
        <w:rPr>
          <w:rFonts w:cstheme="minorHAnsi"/>
          <w:b/>
        </w:rPr>
        <w:t>MZe</w:t>
      </w:r>
      <w:proofErr w:type="spellEnd"/>
      <w:r w:rsidRPr="008D5747">
        <w:rPr>
          <w:rFonts w:cstheme="minorHAnsi"/>
          <w:b/>
        </w:rPr>
        <w:t xml:space="preserve"> disponuje efektivním</w:t>
      </w:r>
      <w:r>
        <w:rPr>
          <w:rFonts w:cstheme="minorHAnsi"/>
          <w:b/>
        </w:rPr>
        <w:t>i</w:t>
      </w:r>
      <w:r w:rsidRPr="008D5747">
        <w:rPr>
          <w:rFonts w:cstheme="minorHAnsi"/>
          <w:b/>
        </w:rPr>
        <w:t xml:space="preserve"> nástroj</w:t>
      </w:r>
      <w:r>
        <w:rPr>
          <w:rFonts w:cstheme="minorHAnsi"/>
          <w:b/>
        </w:rPr>
        <w:t>i</w:t>
      </w:r>
      <w:r w:rsidRPr="008D5747">
        <w:rPr>
          <w:rFonts w:cstheme="minorHAnsi"/>
          <w:b/>
        </w:rPr>
        <w:t xml:space="preserve"> pro naplňování požadavků </w:t>
      </w:r>
      <w:r>
        <w:t>vyplývajících z platných</w:t>
      </w:r>
      <w:r w:rsidRPr="003D29A0">
        <w:t xml:space="preserve"> </w:t>
      </w:r>
      <w:r>
        <w:t xml:space="preserve">právních předpisů a rovněž </w:t>
      </w:r>
      <w:r w:rsidRPr="003D29A0">
        <w:t>architektonických principů</w:t>
      </w:r>
      <w:r>
        <w:t xml:space="preserve"> jako nástroje pro </w:t>
      </w:r>
      <w:r w:rsidRPr="00B104C0">
        <w:t>naplňování cílů Informační koncepce ČR</w:t>
      </w:r>
      <w:r>
        <w:rPr>
          <w:rFonts w:cstheme="minorHAnsi"/>
          <w:lang w:eastAsia="cs-CZ"/>
        </w:rPr>
        <w:t>;</w:t>
      </w:r>
    </w:p>
    <w:p w:rsidR="002250DB" w:rsidRDefault="002250DB" w:rsidP="002250DB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  <w:b/>
        </w:rPr>
        <w:t>Jsou na vysoké úrovni naplněny bezpečnostní standardy</w:t>
      </w:r>
      <w:r w:rsidRPr="003451DE">
        <w:rPr>
          <w:rFonts w:cstheme="minorHAnsi"/>
        </w:rPr>
        <w:t>;</w:t>
      </w:r>
    </w:p>
    <w:p w:rsidR="002250DB" w:rsidRDefault="002250DB" w:rsidP="002250DB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3451DE">
        <w:rPr>
          <w:rFonts w:cstheme="minorHAnsi"/>
          <w:b/>
        </w:rPr>
        <w:t xml:space="preserve">Uživatelé aplikací/on-line služeb v resortu </w:t>
      </w:r>
      <w:proofErr w:type="spellStart"/>
      <w:r w:rsidRPr="003451DE">
        <w:rPr>
          <w:rFonts w:cstheme="minorHAnsi"/>
          <w:b/>
        </w:rPr>
        <w:t>MZe</w:t>
      </w:r>
      <w:proofErr w:type="spellEnd"/>
      <w:r w:rsidRPr="003451DE">
        <w:rPr>
          <w:rFonts w:cstheme="minorHAnsi"/>
          <w:b/>
        </w:rPr>
        <w:t xml:space="preserve"> mohou žádat o zřízení účtu plně elektronicky</w:t>
      </w:r>
      <w:r>
        <w:rPr>
          <w:rFonts w:cstheme="minorHAnsi"/>
        </w:rPr>
        <w:t xml:space="preserve"> (tj. bez nutnosti osobní návštěvy na SZIF nebo </w:t>
      </w:r>
      <w:proofErr w:type="spellStart"/>
      <w:r>
        <w:rPr>
          <w:rFonts w:cstheme="minorHAnsi"/>
        </w:rPr>
        <w:t>MZe</w:t>
      </w:r>
      <w:proofErr w:type="spellEnd"/>
      <w:r>
        <w:rPr>
          <w:rFonts w:cstheme="minorHAnsi"/>
        </w:rPr>
        <w:t xml:space="preserve"> – již ověřeno v rámci </w:t>
      </w:r>
      <w:proofErr w:type="spellStart"/>
      <w:r>
        <w:rPr>
          <w:rFonts w:cstheme="minorHAnsi"/>
        </w:rPr>
        <w:t>PoC</w:t>
      </w:r>
      <w:proofErr w:type="spellEnd"/>
      <w:r>
        <w:rPr>
          <w:rFonts w:cstheme="minorHAnsi"/>
        </w:rPr>
        <w:t xml:space="preserve"> (viz výše));</w:t>
      </w:r>
    </w:p>
    <w:p w:rsidR="002250DB" w:rsidRPr="003451DE" w:rsidRDefault="002250DB" w:rsidP="002250DB">
      <w:pPr>
        <w:pStyle w:val="Odstavecseseznamem"/>
        <w:numPr>
          <w:ilvl w:val="0"/>
          <w:numId w:val="2"/>
        </w:numPr>
        <w:spacing w:after="0"/>
        <w:rPr>
          <w:rFonts w:cstheme="minorHAnsi"/>
          <w:b/>
        </w:rPr>
      </w:pPr>
      <w:r w:rsidRPr="003451DE">
        <w:rPr>
          <w:rFonts w:cstheme="minorHAnsi"/>
          <w:b/>
        </w:rPr>
        <w:t>Uživatelé vlastnící více účtů nemusí složitě spravovat velké množství hesel;</w:t>
      </w:r>
    </w:p>
    <w:p w:rsidR="002250DB" w:rsidRPr="00411A05" w:rsidRDefault="002250DB" w:rsidP="002250DB">
      <w:pPr>
        <w:pStyle w:val="Odstavecseseznamem"/>
        <w:numPr>
          <w:ilvl w:val="0"/>
          <w:numId w:val="2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SAU</w:t>
      </w:r>
      <w:r w:rsidRPr="003E7CB6">
        <w:rPr>
          <w:rFonts w:cstheme="minorHAnsi"/>
          <w:b/>
        </w:rPr>
        <w:t xml:space="preserve"> </w:t>
      </w:r>
      <w:r w:rsidRPr="00422796">
        <w:rPr>
          <w:rFonts w:cstheme="minorHAnsi"/>
          <w:b/>
        </w:rPr>
        <w:t>je možno snadno integrovat</w:t>
      </w:r>
      <w:r>
        <w:rPr>
          <w:rFonts w:cstheme="minorHAnsi"/>
          <w:b/>
        </w:rPr>
        <w:t xml:space="preserve"> </w:t>
      </w:r>
      <w:r w:rsidRPr="00411A05">
        <w:rPr>
          <w:rFonts w:cstheme="minorHAnsi"/>
        </w:rPr>
        <w:t>na okolní informační systémy</w:t>
      </w:r>
      <w:r>
        <w:rPr>
          <w:rFonts w:cstheme="minorHAnsi"/>
        </w:rPr>
        <w:t xml:space="preserve"> (nové </w:t>
      </w:r>
      <w:proofErr w:type="spellStart"/>
      <w:r>
        <w:rPr>
          <w:rFonts w:cstheme="minorHAnsi"/>
        </w:rPr>
        <w:t>SeP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IdP</w:t>
      </w:r>
      <w:proofErr w:type="spellEnd"/>
      <w:r>
        <w:rPr>
          <w:rFonts w:cstheme="minorHAnsi"/>
        </w:rPr>
        <w:t>)</w:t>
      </w:r>
      <w:r w:rsidRPr="00411A05">
        <w:rPr>
          <w:rFonts w:cstheme="minorHAnsi"/>
        </w:rPr>
        <w:t>;</w:t>
      </w:r>
    </w:p>
    <w:p w:rsidR="002250DB" w:rsidRPr="008D5747" w:rsidRDefault="002250DB" w:rsidP="002250DB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  <w:b/>
        </w:rPr>
        <w:t>Vyvíjené funkční komponenty řešení (EFS, IFS, konfigurace F5 BIG-IP) je možné</w:t>
      </w:r>
      <w:r w:rsidRPr="008D5747">
        <w:rPr>
          <w:rFonts w:cstheme="minorHAnsi"/>
          <w:b/>
        </w:rPr>
        <w:t xml:space="preserve"> pružně upravovat s ohledem na </w:t>
      </w:r>
      <w:r w:rsidRPr="00F54843">
        <w:rPr>
          <w:rFonts w:cstheme="minorHAnsi"/>
          <w:b/>
        </w:rPr>
        <w:t>změny v právních předpisech</w:t>
      </w:r>
      <w:r>
        <w:rPr>
          <w:rFonts w:cstheme="minorHAnsi"/>
          <w:lang w:eastAsia="cs-CZ"/>
        </w:rPr>
        <w:t>;</w:t>
      </w:r>
    </w:p>
    <w:p w:rsidR="002250DB" w:rsidRDefault="002250DB" w:rsidP="002250DB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8D5747">
        <w:rPr>
          <w:rFonts w:cstheme="minorHAnsi"/>
          <w:b/>
        </w:rPr>
        <w:t xml:space="preserve">Struktura a formát </w:t>
      </w:r>
      <w:r>
        <w:rPr>
          <w:rFonts w:cstheme="minorHAnsi"/>
          <w:b/>
        </w:rPr>
        <w:t>přijímaných dat do SAU</w:t>
      </w:r>
      <w:r w:rsidRPr="008D5747">
        <w:rPr>
          <w:rFonts w:cstheme="minorHAnsi"/>
          <w:b/>
        </w:rPr>
        <w:t xml:space="preserve"> odpovídají </w:t>
      </w:r>
      <w:r>
        <w:rPr>
          <w:rFonts w:cstheme="minorHAnsi"/>
          <w:b/>
        </w:rPr>
        <w:t>obvyklým bezpečnostním a</w:t>
      </w:r>
      <w:r w:rsidRPr="008D574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datovým </w:t>
      </w:r>
      <w:r w:rsidRPr="008D5747">
        <w:rPr>
          <w:rFonts w:cstheme="minorHAnsi"/>
          <w:b/>
        </w:rPr>
        <w:t>standardům</w:t>
      </w:r>
      <w:r>
        <w:rPr>
          <w:rFonts w:cstheme="minorHAnsi"/>
          <w:b/>
        </w:rPr>
        <w:t xml:space="preserve"> v oblasti autentizace </w:t>
      </w:r>
      <w:r w:rsidRPr="00FB1E93">
        <w:rPr>
          <w:rFonts w:cstheme="minorHAnsi"/>
        </w:rPr>
        <w:t>(</w:t>
      </w:r>
      <w:r>
        <w:rPr>
          <w:rFonts w:cstheme="minorHAnsi"/>
        </w:rPr>
        <w:t xml:space="preserve">zejména </w:t>
      </w:r>
      <w:r w:rsidRPr="00FB1E93">
        <w:rPr>
          <w:rFonts w:cstheme="minorHAnsi"/>
        </w:rPr>
        <w:t>SAML 2 a WS-</w:t>
      </w:r>
      <w:proofErr w:type="spellStart"/>
      <w:r w:rsidRPr="00FB1E93">
        <w:rPr>
          <w:rFonts w:cstheme="minorHAnsi"/>
        </w:rPr>
        <w:t>Federation</w:t>
      </w:r>
      <w:proofErr w:type="spellEnd"/>
      <w:r w:rsidRPr="00FB1E93">
        <w:rPr>
          <w:rFonts w:cstheme="minorHAnsi"/>
        </w:rPr>
        <w:t>);</w:t>
      </w:r>
    </w:p>
    <w:p w:rsidR="002250DB" w:rsidRPr="006256D7" w:rsidRDefault="002250DB" w:rsidP="002250DB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FB1E93">
        <w:rPr>
          <w:b/>
        </w:rPr>
        <w:t xml:space="preserve">Konfigurace navrženého řešení nesmí negativně ovlivnit stávající provozní parametry, dostupnost a výkon on-line služeb </w:t>
      </w:r>
      <w:proofErr w:type="spellStart"/>
      <w:r w:rsidRPr="00FB1E93">
        <w:rPr>
          <w:b/>
        </w:rPr>
        <w:t>MZe</w:t>
      </w:r>
      <w:proofErr w:type="spellEnd"/>
      <w:r>
        <w:t>;</w:t>
      </w:r>
    </w:p>
    <w:p w:rsidR="002250DB" w:rsidRDefault="002250DB" w:rsidP="002250DB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Je zpracován</w:t>
      </w:r>
      <w:r w:rsidRPr="00D17A76">
        <w:rPr>
          <w:rFonts w:cstheme="minorHAnsi"/>
        </w:rPr>
        <w:t xml:space="preserve"> návrh a </w:t>
      </w:r>
      <w:r w:rsidRPr="00194433">
        <w:rPr>
          <w:rFonts w:cstheme="minorHAnsi"/>
          <w:b/>
        </w:rPr>
        <w:t xml:space="preserve">dokumentace metodiky </w:t>
      </w:r>
      <w:r w:rsidRPr="00FB1E93">
        <w:rPr>
          <w:rFonts w:cstheme="minorHAnsi"/>
          <w:b/>
        </w:rPr>
        <w:t xml:space="preserve">SAU pro integraci </w:t>
      </w:r>
      <w:r>
        <w:rPr>
          <w:rFonts w:cstheme="minorHAnsi"/>
          <w:b/>
        </w:rPr>
        <w:t xml:space="preserve">nových </w:t>
      </w:r>
      <w:proofErr w:type="spellStart"/>
      <w:r w:rsidRPr="00FB1E93">
        <w:rPr>
          <w:rFonts w:cstheme="minorHAnsi"/>
          <w:b/>
        </w:rPr>
        <w:t>SeP</w:t>
      </w:r>
      <w:proofErr w:type="spellEnd"/>
      <w:r w:rsidRPr="00FB1E9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 </w:t>
      </w:r>
      <w:proofErr w:type="spellStart"/>
      <w:r>
        <w:rPr>
          <w:rFonts w:cstheme="minorHAnsi"/>
          <w:b/>
        </w:rPr>
        <w:t>IdP</w:t>
      </w:r>
      <w:proofErr w:type="spellEnd"/>
      <w:r w:rsidRPr="00B70EF8">
        <w:rPr>
          <w:rFonts w:cstheme="minorHAnsi"/>
        </w:rPr>
        <w:t>, jsou</w:t>
      </w:r>
      <w:r w:rsidRPr="00D17A76">
        <w:rPr>
          <w:rFonts w:cstheme="minorHAnsi"/>
        </w:rPr>
        <w:t xml:space="preserve"> poskytován</w:t>
      </w:r>
      <w:r>
        <w:rPr>
          <w:rFonts w:cstheme="minorHAnsi"/>
        </w:rPr>
        <w:t>y</w:t>
      </w:r>
      <w:r w:rsidRPr="00D17A76">
        <w:rPr>
          <w:rFonts w:cstheme="minorHAnsi"/>
        </w:rPr>
        <w:t xml:space="preserve"> konzultac</w:t>
      </w:r>
      <w:r>
        <w:rPr>
          <w:rFonts w:cstheme="minorHAnsi"/>
        </w:rPr>
        <w:t>e a součinnost</w:t>
      </w:r>
      <w:r w:rsidRPr="00D17A76">
        <w:rPr>
          <w:rFonts w:cstheme="minorHAnsi"/>
        </w:rPr>
        <w:t xml:space="preserve"> dodavatelům </w:t>
      </w:r>
      <w:r>
        <w:rPr>
          <w:rFonts w:cstheme="minorHAnsi"/>
        </w:rPr>
        <w:t>aplikací/</w:t>
      </w:r>
      <w:r w:rsidRPr="00D17A76">
        <w:rPr>
          <w:rFonts w:cstheme="minorHAnsi"/>
        </w:rPr>
        <w:t xml:space="preserve">on-line služeb rezortu </w:t>
      </w:r>
      <w:proofErr w:type="spellStart"/>
      <w:r w:rsidRPr="00D17A76">
        <w:rPr>
          <w:rFonts w:cstheme="minorHAnsi"/>
        </w:rPr>
        <w:t>MZe</w:t>
      </w:r>
      <w:proofErr w:type="spellEnd"/>
      <w:r w:rsidRPr="00D17A76">
        <w:rPr>
          <w:rFonts w:cstheme="minorHAnsi"/>
        </w:rPr>
        <w:t xml:space="preserve"> v oblasti napojení na řešení SAU</w:t>
      </w:r>
      <w:r>
        <w:rPr>
          <w:rFonts w:cstheme="minorHAnsi"/>
        </w:rPr>
        <w:t>;</w:t>
      </w:r>
    </w:p>
    <w:p w:rsidR="002250DB" w:rsidRPr="00194433" w:rsidRDefault="002250DB" w:rsidP="002250DB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>
        <w:t>Dodavatelem jsou zpracovány</w:t>
      </w:r>
      <w:r w:rsidRPr="003D29A0">
        <w:t xml:space="preserve"> </w:t>
      </w:r>
      <w:r w:rsidRPr="00194433">
        <w:rPr>
          <w:b/>
        </w:rPr>
        <w:t>testovací scénáře a provedeny testy nového řešení SAU</w:t>
      </w:r>
      <w:r w:rsidRPr="003D29A0">
        <w:t xml:space="preserve"> a</w:t>
      </w:r>
      <w:r>
        <w:t> </w:t>
      </w:r>
      <w:r w:rsidRPr="003D29A0">
        <w:t>jednotlivých implementovaných integrací</w:t>
      </w:r>
      <w:r>
        <w:t>;</w:t>
      </w:r>
    </w:p>
    <w:p w:rsidR="002250DB" w:rsidRPr="008D5747" w:rsidRDefault="002250DB" w:rsidP="002250DB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Je zajištěn </w:t>
      </w:r>
      <w:r w:rsidRPr="00194433">
        <w:rPr>
          <w:rFonts w:cstheme="minorHAnsi"/>
          <w:b/>
        </w:rPr>
        <w:t xml:space="preserve">provoz a rozvoj řešení </w:t>
      </w:r>
      <w:r w:rsidRPr="00194433">
        <w:rPr>
          <w:rFonts w:cstheme="minorHAnsi"/>
        </w:rPr>
        <w:t>od okamžiku předání Díl</w:t>
      </w:r>
      <w:r>
        <w:rPr>
          <w:rFonts w:cstheme="minorHAnsi"/>
        </w:rPr>
        <w:t>a.</w:t>
      </w:r>
    </w:p>
    <w:p w:rsidR="002250DB" w:rsidRPr="008D5747" w:rsidRDefault="002250DB" w:rsidP="002250DB">
      <w:pPr>
        <w:rPr>
          <w:rFonts w:cstheme="minorHAnsi"/>
        </w:rPr>
      </w:pPr>
    </w:p>
    <w:p w:rsidR="002250DB" w:rsidRPr="008D5747" w:rsidRDefault="002250DB" w:rsidP="002250DB">
      <w:pPr>
        <w:keepNext/>
        <w:keepLines/>
        <w:rPr>
          <w:rFonts w:cstheme="minorHAnsi"/>
        </w:rPr>
      </w:pPr>
      <w:r w:rsidRPr="008D5747">
        <w:rPr>
          <w:rFonts w:cstheme="minorHAnsi"/>
        </w:rPr>
        <w:t xml:space="preserve">Vznik </w:t>
      </w:r>
      <w:r>
        <w:rPr>
          <w:rFonts w:cstheme="minorHAnsi"/>
        </w:rPr>
        <w:t xml:space="preserve">SAU </w:t>
      </w:r>
      <w:r w:rsidRPr="008D5747">
        <w:rPr>
          <w:rFonts w:cstheme="minorHAnsi"/>
        </w:rPr>
        <w:t xml:space="preserve">je v souladu a naplňuje následující strategické dokumenty </w:t>
      </w:r>
      <w:proofErr w:type="spellStart"/>
      <w:r>
        <w:rPr>
          <w:rFonts w:cstheme="minorHAnsi"/>
        </w:rPr>
        <w:t>eGovernmentu</w:t>
      </w:r>
      <w:proofErr w:type="spellEnd"/>
      <w:r w:rsidRPr="008D5747">
        <w:rPr>
          <w:rFonts w:cstheme="minorHAnsi"/>
        </w:rPr>
        <w:t xml:space="preserve"> ČR</w:t>
      </w:r>
      <w:r>
        <w:rPr>
          <w:rFonts w:cstheme="minorHAnsi"/>
        </w:rPr>
        <w:t xml:space="preserve"> a strategické dokumenty </w:t>
      </w:r>
      <w:proofErr w:type="spellStart"/>
      <w:r>
        <w:rPr>
          <w:rFonts w:cstheme="minorHAnsi"/>
        </w:rPr>
        <w:t>MZe</w:t>
      </w:r>
      <w:proofErr w:type="spellEnd"/>
      <w:r w:rsidRPr="008D5747">
        <w:rPr>
          <w:rFonts w:cstheme="minorHAnsi"/>
        </w:rPr>
        <w:t>:</w:t>
      </w:r>
    </w:p>
    <w:p w:rsidR="002250DB" w:rsidRDefault="002250DB" w:rsidP="002250DB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9B18A9">
        <w:rPr>
          <w:rFonts w:cstheme="minorHAnsi"/>
        </w:rPr>
        <w:t>Informační koncepce ČR</w:t>
      </w:r>
      <w:r>
        <w:rPr>
          <w:rFonts w:cstheme="minorHAnsi"/>
        </w:rPr>
        <w:t>, vč. Národního architektonického plánu (MAP);</w:t>
      </w:r>
    </w:p>
    <w:p w:rsidR="002250DB" w:rsidRDefault="002250DB" w:rsidP="002250DB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9B18A9">
        <w:rPr>
          <w:rFonts w:cstheme="minorHAnsi"/>
        </w:rPr>
        <w:t>Informační koncepce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MZe</w:t>
      </w:r>
      <w:proofErr w:type="spellEnd"/>
      <w:r>
        <w:rPr>
          <w:rFonts w:cstheme="minorHAnsi"/>
        </w:rPr>
        <w:t>;</w:t>
      </w:r>
    </w:p>
    <w:p w:rsidR="002250DB" w:rsidRDefault="002250DB" w:rsidP="002250DB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9B18A9">
        <w:rPr>
          <w:rFonts w:cstheme="minorHAnsi"/>
        </w:rPr>
        <w:t>Strategie koordinované a komplexní digitalizace České republiky 2018+</w:t>
      </w:r>
      <w:r>
        <w:rPr>
          <w:rFonts w:cstheme="minorHAnsi"/>
        </w:rPr>
        <w:t xml:space="preserve"> (Digitální Česko);</w:t>
      </w:r>
      <w:r w:rsidRPr="008D5747">
        <w:rPr>
          <w:rStyle w:val="Znakapoznpodarou"/>
          <w:rFonts w:cstheme="minorHAnsi"/>
        </w:rPr>
        <w:footnoteReference w:id="1"/>
      </w:r>
    </w:p>
    <w:p w:rsidR="002250DB" w:rsidRPr="008D5747" w:rsidRDefault="002250DB" w:rsidP="002250DB">
      <w:pPr>
        <w:pStyle w:val="Odstavecseseznamem"/>
        <w:keepNext/>
        <w:keepLines/>
        <w:numPr>
          <w:ilvl w:val="0"/>
          <w:numId w:val="3"/>
        </w:numPr>
        <w:spacing w:after="0"/>
        <w:rPr>
          <w:rFonts w:cstheme="minorHAnsi"/>
        </w:rPr>
      </w:pPr>
      <w:r w:rsidRPr="008D5747">
        <w:rPr>
          <w:rFonts w:cstheme="minorHAnsi"/>
        </w:rPr>
        <w:t>Strategický rámec rozvoje veřejné správy České republiky pro období 2014-2020</w:t>
      </w:r>
      <w:r>
        <w:rPr>
          <w:rFonts w:cstheme="minorHAnsi"/>
        </w:rPr>
        <w:t>;</w:t>
      </w:r>
      <w:r w:rsidRPr="008D5747">
        <w:rPr>
          <w:rStyle w:val="Znakapoznpodarou"/>
          <w:rFonts w:cstheme="minorHAnsi"/>
        </w:rPr>
        <w:footnoteReference w:id="2"/>
      </w:r>
    </w:p>
    <w:p w:rsidR="002250DB" w:rsidRDefault="002250DB" w:rsidP="002250DB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8D5747">
        <w:rPr>
          <w:rFonts w:cstheme="minorHAnsi"/>
        </w:rPr>
        <w:t xml:space="preserve">Další strategické dokumenty ČR v oblasti </w:t>
      </w:r>
      <w:proofErr w:type="spellStart"/>
      <w:r w:rsidRPr="008D5747">
        <w:rPr>
          <w:rFonts w:cstheme="minorHAnsi"/>
        </w:rPr>
        <w:t>eGo</w:t>
      </w:r>
      <w:r>
        <w:rPr>
          <w:rFonts w:cstheme="minorHAnsi"/>
        </w:rPr>
        <w:t>vernmentu</w:t>
      </w:r>
      <w:proofErr w:type="spellEnd"/>
      <w:r>
        <w:rPr>
          <w:rFonts w:cstheme="minorHAnsi"/>
        </w:rPr>
        <w:t>.</w:t>
      </w:r>
    </w:p>
    <w:p w:rsidR="002250DB" w:rsidRDefault="002250DB" w:rsidP="002250DB">
      <w:pPr>
        <w:rPr>
          <w:rFonts w:cstheme="minorHAnsi"/>
        </w:rPr>
      </w:pPr>
    </w:p>
    <w:p w:rsidR="002250DB" w:rsidRDefault="002250DB" w:rsidP="002250DB">
      <w:pPr>
        <w:pStyle w:val="Odstavecseseznamem"/>
        <w:spacing w:after="120"/>
        <w:ind w:left="0"/>
        <w:contextualSpacing w:val="0"/>
      </w:pPr>
      <w:r w:rsidRPr="003D29A0">
        <w:t xml:space="preserve">Funkční řešení </w:t>
      </w:r>
      <w:r>
        <w:t>SAU</w:t>
      </w:r>
      <w:r w:rsidRPr="003D29A0">
        <w:t xml:space="preserve"> spolu s jasně definovanými procesy </w:t>
      </w:r>
      <w:r>
        <w:t xml:space="preserve">a </w:t>
      </w:r>
      <w:r w:rsidRPr="003D29A0">
        <w:t xml:space="preserve">standardy umožní v budoucnu maximálně hospodárně implementovat autentizaci a jednotné přihlašování v nově budovaných či upravovaných systémech </w:t>
      </w:r>
      <w:r>
        <w:t>a</w:t>
      </w:r>
      <w:r w:rsidRPr="003D29A0">
        <w:t xml:space="preserve"> aplikacích.</w:t>
      </w:r>
      <w:r>
        <w:t xml:space="preserve"> </w:t>
      </w:r>
      <w:r w:rsidRPr="003D29A0">
        <w:t>Bezpečné předávání identity sníží rizika zranitelnosti a napadnutelnosti systémů a aplikací</w:t>
      </w:r>
      <w:r>
        <w:t>.</w:t>
      </w:r>
    </w:p>
    <w:p w:rsidR="002250DB" w:rsidRDefault="002250DB" w:rsidP="002250DB">
      <w:pPr>
        <w:pStyle w:val="Odstavecseseznamem"/>
        <w:spacing w:after="120"/>
        <w:ind w:left="0"/>
        <w:contextualSpacing w:val="0"/>
      </w:pPr>
      <w:r>
        <w:t>SAU bude poskytovat</w:t>
      </w:r>
      <w:r w:rsidRPr="003D29A0">
        <w:t xml:space="preserve"> služby jednotné identifikace (autentizace) a jednotného přístupu (single-</w:t>
      </w:r>
      <w:proofErr w:type="spellStart"/>
      <w:r w:rsidRPr="003D29A0">
        <w:t>sing</w:t>
      </w:r>
      <w:proofErr w:type="spellEnd"/>
      <w:r w:rsidRPr="003D29A0">
        <w:t>-on/SSO) k</w:t>
      </w:r>
      <w:r>
        <w:t> on-line službám (aplikacím)</w:t>
      </w:r>
      <w:r w:rsidRPr="003D29A0">
        <w:t xml:space="preserve"> v prostředí rezortu </w:t>
      </w:r>
      <w:proofErr w:type="spellStart"/>
      <w:r w:rsidRPr="003D29A0">
        <w:t>MZe</w:t>
      </w:r>
      <w:proofErr w:type="spellEnd"/>
      <w:r w:rsidRPr="003D29A0">
        <w:t>.</w:t>
      </w:r>
    </w:p>
    <w:p w:rsidR="002250DB" w:rsidRDefault="002250DB" w:rsidP="002250DB">
      <w:pPr>
        <w:pStyle w:val="Odstavecseseznamem"/>
        <w:spacing w:after="120"/>
        <w:ind w:left="0"/>
        <w:contextualSpacing w:val="0"/>
      </w:pPr>
      <w:r>
        <w:t xml:space="preserve">Řešení SAU bude poskytovat sadu aplikačních služeb a konzumovat služby poskytované aplikacemi či využitou technologickou infrastrukturou. Zároveň služby SAU mohou využívat služeb externích poskytovatelů </w:t>
      </w:r>
      <w:proofErr w:type="spellStart"/>
      <w:r>
        <w:t>identitních</w:t>
      </w:r>
      <w:proofErr w:type="spellEnd"/>
      <w:r>
        <w:t xml:space="preserve"> služeb (</w:t>
      </w:r>
      <w:proofErr w:type="spellStart"/>
      <w:r>
        <w:t>IdP</w:t>
      </w:r>
      <w:proofErr w:type="spellEnd"/>
      <w:r>
        <w:t>). Mimo to mohu být služby SAU využívány externími poskytovateli služeb (</w:t>
      </w:r>
      <w:proofErr w:type="spellStart"/>
      <w:r>
        <w:t>SeP</w:t>
      </w:r>
      <w:proofErr w:type="spellEnd"/>
      <w:r>
        <w:t xml:space="preserve">) pro autentizaci klientů přistupujících ke službám </w:t>
      </w:r>
      <w:proofErr w:type="spellStart"/>
      <w:r>
        <w:t>SeP</w:t>
      </w:r>
      <w:proofErr w:type="spellEnd"/>
      <w:r>
        <w:t xml:space="preserve">. Vzájemné využití služeb je znázorněno na následujícím obrázku </w:t>
      </w:r>
      <w:fldSimple w:instr=" REF _Ref3890760 \h  \* MERGEFORMAT ">
        <w:r>
          <w:t>- Využití služeb SAU</w:t>
        </w:r>
      </w:fldSimple>
      <w:r>
        <w:t>.</w:t>
      </w:r>
    </w:p>
    <w:p w:rsidR="002250DB" w:rsidRPr="00910C49" w:rsidRDefault="00A42A53" w:rsidP="002250DB">
      <w:pPr>
        <w:pStyle w:val="Odstavecseseznamem"/>
        <w:spacing w:after="120"/>
        <w:ind w:left="0"/>
        <w:contextualSpacing w:val="0"/>
      </w:pPr>
      <w:bookmarkStart w:id="1" w:name="_Ref3890760"/>
      <w:bookmarkStart w:id="2" w:name="_Toc19533917"/>
      <w:bookmarkStart w:id="3" w:name="_Toc44849867"/>
      <w:bookmarkStart w:id="4" w:name="_Toc44851923"/>
      <w:bookmarkStart w:id="5" w:name="_Toc44942927"/>
      <w:bookmarkStart w:id="6" w:name="_Toc44943063"/>
      <w:r>
        <w:rPr>
          <w:noProof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.2pt;margin-top:36.65pt;width:456.3pt;height:434.8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Q1KQIAACIEAAAOAAAAZHJzL2Uyb0RvYy54bWysU1tu2zAQ/C/QOxD8r2ULVhILloPUqYsC&#10;6QNIegCKoiyiJJclaUvujXqOXKxLynGM9C+IPgiudjmcnR0urwetyF44L8FUdDaZUiIMh0aabUV/&#10;Pmw+XFHiAzMNU2BERQ/C0+vV+3fL3pYihw5UIxxBEOPL3la0C8GWWeZ5JzTzE7DCYLIFp1nA0G2z&#10;xrEe0bXK8un0IuvBNdYBF97j39sxSVcJv20FD9/b1otAVEWRW0irS2sd12y1ZOXWMdtJfqTBXsFC&#10;M2nw0hPULQuM7Jz8D0pL7sBDGyYcdAZtK7lIPWA3s+mLbu47ZkXqBcXx9iSTfztY/m3/wxHZ4Oxy&#10;SgzTOKMHMQTYP/4lFpQgedSot77E0nuLxWH4CAPWp369vQP+yxMD646ZrbhxDvpOsAY5zuLJ7Ozo&#10;iOMjSN1/hQbvYrsACWhonY4CoiQE0XFWh9N8kA/h+LO4XBSoEiUcc0WRzxYXaYIZK5+OW+fDZwGa&#10;xE1FHRogwbP9nQ+RDiufSuJtHpRsNlKpFLhtvVaO7BmaZZO+1MGLMmVIX9FFkRcJ2UA8n3ykZUAz&#10;K6krejWN32ivKMcn06SSwKQa98hEmaM+UZJRnDDUAxZG0WpoDqiUg9G0+Mhw04H7Q0mPhq2o/71j&#10;TlCivhhUezGbz6PDUzAvLnMM3HmmPs8wwxGqooGScbsO6VVEHQzc4FRamfR6ZnLkikZMMh4fTXT6&#10;eZyqnp/26h8AAAD//wMAUEsDBBQABgAIAAAAIQABoRSq3QAAAAcBAAAPAAAAZHJzL2Rvd25yZXYu&#10;eG1sTI/BTsMwEETvSPyDtUhcEHXahIakcSpAAvXa0g/YxG4SNV5Hsdukf89ygtusZjTzttjOthdX&#10;M/rOkYLlIgJhqHa6o0bB8fvz+RWED0gae0dGwc142Jb3dwXm2k20N9dDaASXkM9RQRvCkEvp69ZY&#10;9As3GGLv5EaLgc+xkXrEicttL1dRtJYWO+KFFgfz0Zr6fLhYBafd9PSSTdVXOKb7ZP2OXVq5m1KP&#10;D/PbBkQwc/gLwy8+o0PJTJW7kPaiV5BwTkEaxyDYzZYxf1axSFYZyLKQ//nLHwAAAP//AwBQSwEC&#10;LQAUAAYACAAAACEAtoM4kv4AAADhAQAAEwAAAAAAAAAAAAAAAAAAAAAAW0NvbnRlbnRfVHlwZXNd&#10;LnhtbFBLAQItABQABgAIAAAAIQA4/SH/1gAAAJQBAAALAAAAAAAAAAAAAAAAAC8BAABfcmVscy8u&#10;cmVsc1BLAQItABQABgAIAAAAIQDKywQ1KQIAACIEAAAOAAAAAAAAAAAAAAAAAC4CAABkcnMvZTJv&#10;RG9jLnhtbFBLAQItABQABgAIAAAAIQABoRSq3QAAAAcBAAAPAAAAAAAAAAAAAAAAAIMEAABkcnMv&#10;ZG93bnJldi54bWxQSwUGAAAAAAQABADzAAAAjQUAAAAA&#10;" stroked="f">
            <v:textbox>
              <w:txbxContent>
                <w:p w:rsidR="002250DB" w:rsidRDefault="002250DB" w:rsidP="002250DB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035138" cy="5482219"/>
                        <wp:effectExtent l="0" t="0" r="0" b="4445"/>
                        <wp:docPr id="13" name="Obráze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115 MZE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57439" cy="550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bookmarkEnd w:id="1"/>
      <w:bookmarkEnd w:id="2"/>
      <w:bookmarkEnd w:id="3"/>
      <w:bookmarkEnd w:id="4"/>
      <w:bookmarkEnd w:id="5"/>
      <w:bookmarkEnd w:id="6"/>
    </w:p>
    <w:p w:rsidR="002250DB" w:rsidRDefault="002250DB" w:rsidP="002250DB">
      <w:pPr>
        <w:keepNext/>
        <w:keepLines/>
        <w:spacing w:after="160" w:line="259" w:lineRule="auto"/>
        <w:rPr>
          <w:rFonts w:cs="Helv"/>
          <w:color w:val="000000"/>
          <w:sz w:val="16"/>
          <w:szCs w:val="16"/>
        </w:rPr>
      </w:pPr>
      <w:r w:rsidRPr="00D2502D">
        <w:rPr>
          <w:rFonts w:cs="Helv"/>
          <w:b/>
          <w:color w:val="000000"/>
          <w:sz w:val="16"/>
          <w:szCs w:val="16"/>
        </w:rPr>
        <w:t xml:space="preserve">Schéma č. </w:t>
      </w:r>
      <w:r>
        <w:rPr>
          <w:rFonts w:cs="Helv"/>
          <w:b/>
          <w:color w:val="000000"/>
          <w:sz w:val="16"/>
          <w:szCs w:val="16"/>
        </w:rPr>
        <w:t>2</w:t>
      </w:r>
      <w:r w:rsidRPr="00D2502D">
        <w:rPr>
          <w:rFonts w:cs="Helv"/>
          <w:color w:val="000000"/>
          <w:sz w:val="16"/>
          <w:szCs w:val="16"/>
        </w:rPr>
        <w:t xml:space="preserve"> </w:t>
      </w:r>
      <w:r>
        <w:rPr>
          <w:rFonts w:cs="Helv"/>
          <w:color w:val="000000"/>
          <w:sz w:val="16"/>
          <w:szCs w:val="16"/>
        </w:rPr>
        <w:t>–</w:t>
      </w:r>
      <w:r w:rsidRPr="00D2502D">
        <w:rPr>
          <w:rFonts w:cs="Helv"/>
          <w:color w:val="000000"/>
          <w:sz w:val="16"/>
          <w:szCs w:val="16"/>
        </w:rPr>
        <w:t xml:space="preserve"> </w:t>
      </w:r>
      <w:r>
        <w:rPr>
          <w:rFonts w:cs="Helv"/>
          <w:color w:val="000000"/>
          <w:sz w:val="16"/>
          <w:szCs w:val="16"/>
        </w:rPr>
        <w:t>Globální pohled na architekturu SAU (bez modulu RIZ)</w:t>
      </w:r>
    </w:p>
    <w:p w:rsidR="002250DB" w:rsidRPr="003D29A0" w:rsidRDefault="002250DB" w:rsidP="002250DB">
      <w:pPr>
        <w:pStyle w:val="Odstavecseseznamem"/>
        <w:spacing w:after="120"/>
        <w:ind w:left="0"/>
        <w:contextualSpacing w:val="0"/>
      </w:pPr>
    </w:p>
    <w:p w:rsidR="002250DB" w:rsidRPr="003D29A0" w:rsidRDefault="002250DB" w:rsidP="002250DB">
      <w:pPr>
        <w:pStyle w:val="Odstavecseseznamem"/>
        <w:spacing w:after="120"/>
        <w:ind w:left="0"/>
        <w:contextualSpacing w:val="0"/>
      </w:pPr>
      <w:r>
        <w:t xml:space="preserve">Vytvoření vztahu důvěry (tzv.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Trust) </w:t>
      </w:r>
      <w:r w:rsidRPr="003D29A0">
        <w:t xml:space="preserve">mezi jednotlivými rezortními organizacemi umožní vzájemně akceptovat identity autentizované v jiných důvěryhodných systémech či aplikacích rezortu </w:t>
      </w:r>
      <w:proofErr w:type="spellStart"/>
      <w:r w:rsidRPr="003D29A0">
        <w:t>MZe</w:t>
      </w:r>
      <w:proofErr w:type="spellEnd"/>
      <w:r w:rsidRPr="003D29A0">
        <w:t xml:space="preserve"> a přinese řešení pro </w:t>
      </w:r>
      <w:proofErr w:type="spellStart"/>
      <w:r w:rsidRPr="003D29A0">
        <w:t>celorezortní</w:t>
      </w:r>
      <w:proofErr w:type="spellEnd"/>
      <w:r w:rsidRPr="003D29A0">
        <w:t xml:space="preserve"> jednotné přihlašování (SSO). </w:t>
      </w:r>
      <w:proofErr w:type="spellStart"/>
      <w:r w:rsidRPr="003D29A0">
        <w:t>Celorezortní</w:t>
      </w:r>
      <w:proofErr w:type="spellEnd"/>
      <w:r w:rsidRPr="003D29A0">
        <w:t xml:space="preserve"> jednotné přihlašování sníží náročnost správy identit v jednotlivých systémech či aplikacích a přispěje k zjednodušení práce a zvýšení uživatelského komfortu koncových uživatelů.</w:t>
      </w:r>
    </w:p>
    <w:p w:rsidR="002250DB" w:rsidRPr="003D29A0" w:rsidRDefault="002250DB" w:rsidP="002250DB">
      <w:pPr>
        <w:pStyle w:val="Odstavecseseznamem"/>
        <w:spacing w:after="120"/>
        <w:ind w:left="0"/>
        <w:contextualSpacing w:val="0"/>
      </w:pPr>
      <w:r>
        <w:t xml:space="preserve">S ohledem na velkou škálu </w:t>
      </w:r>
      <w:r w:rsidRPr="003D29A0">
        <w:t>provoz</w:t>
      </w:r>
      <w:r>
        <w:t>ovaných i</w:t>
      </w:r>
      <w:r w:rsidRPr="003D29A0">
        <w:t xml:space="preserve">nformačních systémů </w:t>
      </w:r>
      <w:r>
        <w:t xml:space="preserve">v resortu </w:t>
      </w:r>
      <w:proofErr w:type="spellStart"/>
      <w:r>
        <w:t>MZe</w:t>
      </w:r>
      <w:proofErr w:type="spellEnd"/>
      <w:r>
        <w:t xml:space="preserve"> uvedených výše vyžaduje</w:t>
      </w:r>
      <w:r w:rsidRPr="003D29A0">
        <w:t xml:space="preserve"> </w:t>
      </w:r>
      <w:proofErr w:type="spellStart"/>
      <w:r>
        <w:t>MZe</w:t>
      </w:r>
      <w:proofErr w:type="spellEnd"/>
      <w:r w:rsidRPr="003D29A0">
        <w:t xml:space="preserve"> nezbytně zajistit úpravu všech veřejně přístupných informačních systémů či portálových řešení tak, aby pro přihlášení akceptovaly externí identity spravované externími poskytovateli </w:t>
      </w:r>
      <w:proofErr w:type="spellStart"/>
      <w:r w:rsidRPr="003D29A0">
        <w:t>identitních</w:t>
      </w:r>
      <w:proofErr w:type="spellEnd"/>
      <w:r w:rsidRPr="003D29A0">
        <w:t xml:space="preserve"> služeb (</w:t>
      </w:r>
      <w:proofErr w:type="spellStart"/>
      <w:r w:rsidRPr="003D29A0">
        <w:t>IdP</w:t>
      </w:r>
      <w:proofErr w:type="spellEnd"/>
      <w:r w:rsidRPr="003D29A0">
        <w:t>). Externí identity zahrnují identity zprostředkované NIA</w:t>
      </w:r>
      <w:r>
        <w:t xml:space="preserve"> a JIP/KAAS (a v budoucnu z dalších autoritativních zdrojů identit)</w:t>
      </w:r>
      <w:r w:rsidRPr="003D29A0">
        <w:t xml:space="preserve">, včetně zahraničních identit, identity </w:t>
      </w:r>
      <w:r w:rsidRPr="003D29A0">
        <w:lastRenderedPageBreak/>
        <w:t xml:space="preserve">z důvěryhodných systémů provozovaných rezortními organizacemi </w:t>
      </w:r>
      <w:proofErr w:type="spellStart"/>
      <w:r w:rsidRPr="003D29A0">
        <w:t>MZe</w:t>
      </w:r>
      <w:proofErr w:type="spellEnd"/>
      <w:r w:rsidRPr="003D29A0">
        <w:t>, případně dalšími externími zdroji identit.</w:t>
      </w:r>
    </w:p>
    <w:p w:rsidR="002250DB" w:rsidRDefault="002250DB" w:rsidP="002250DB">
      <w:pPr>
        <w:pStyle w:val="Odstavecseseznamem"/>
        <w:spacing w:after="120"/>
        <w:ind w:left="0"/>
        <w:contextualSpacing w:val="0"/>
      </w:pPr>
      <w:r w:rsidRPr="003D29A0">
        <w:t xml:space="preserve">Aby nebylo třeba realizovat úpravy všech </w:t>
      </w:r>
      <w:r>
        <w:t xml:space="preserve">aplikací/on-line služeb </w:t>
      </w:r>
      <w:proofErr w:type="spellStart"/>
      <w:r>
        <w:t>MZe</w:t>
      </w:r>
      <w:proofErr w:type="spellEnd"/>
      <w:r w:rsidRPr="003D29A0">
        <w:t xml:space="preserve"> a tyto dotčené systémy byly odstíněny od detailů integrace na jednotlivé poskytovate</w:t>
      </w:r>
      <w:r>
        <w:t xml:space="preserve">le </w:t>
      </w:r>
      <w:proofErr w:type="spellStart"/>
      <w:r>
        <w:t>identitních</w:t>
      </w:r>
      <w:proofErr w:type="spellEnd"/>
      <w:r>
        <w:t xml:space="preserve"> služeb má být </w:t>
      </w:r>
      <w:r w:rsidRPr="003D29A0">
        <w:t xml:space="preserve">v prostředí </w:t>
      </w:r>
      <w:proofErr w:type="spellStart"/>
      <w:r w:rsidRPr="003D29A0">
        <w:t>MZe</w:t>
      </w:r>
      <w:proofErr w:type="spellEnd"/>
      <w:r w:rsidRPr="003D29A0">
        <w:t xml:space="preserve"> navrženo centrální řešení</w:t>
      </w:r>
      <w:r>
        <w:t xml:space="preserve"> SAU</w:t>
      </w:r>
      <w:r w:rsidRPr="003D29A0">
        <w:t>, jehož úlohou je zprostředkovat přístup všech aplikací</w:t>
      </w:r>
      <w:r>
        <w:t xml:space="preserve">/on-line služeb </w:t>
      </w:r>
      <w:proofErr w:type="spellStart"/>
      <w:r>
        <w:t>MZe</w:t>
      </w:r>
      <w:proofErr w:type="spellEnd"/>
      <w:r w:rsidRPr="003D29A0">
        <w:t xml:space="preserve"> k</w:t>
      </w:r>
      <w:r>
        <w:t xml:space="preserve">e službám </w:t>
      </w:r>
      <w:proofErr w:type="spellStart"/>
      <w:r>
        <w:t>identitních</w:t>
      </w:r>
      <w:proofErr w:type="spellEnd"/>
      <w:r>
        <w:t xml:space="preserve"> providerů (interního i externích </w:t>
      </w:r>
      <w:proofErr w:type="spellStart"/>
      <w:r>
        <w:t>IdP</w:t>
      </w:r>
      <w:proofErr w:type="spellEnd"/>
      <w:r>
        <w:t xml:space="preserve">). Řešení musí být </w:t>
      </w:r>
      <w:r w:rsidRPr="003D29A0">
        <w:t xml:space="preserve">navrženo tak, aby v průběhu integrace minimalizovalo požadavky na úpravy koncových systémů a funkční dopady do těchto systémů. </w:t>
      </w:r>
      <w:r>
        <w:t>SAU</w:t>
      </w:r>
      <w:r w:rsidRPr="003D29A0">
        <w:t xml:space="preserve">, by se měl dále stát centrálním </w:t>
      </w:r>
      <w:proofErr w:type="spellStart"/>
      <w:r w:rsidRPr="003D29A0">
        <w:t>autentizačním</w:t>
      </w:r>
      <w:proofErr w:type="spellEnd"/>
      <w:r w:rsidRPr="003D29A0">
        <w:t xml:space="preserve"> prvkem rezortu </w:t>
      </w:r>
      <w:proofErr w:type="spellStart"/>
      <w:r>
        <w:t>MZe</w:t>
      </w:r>
      <w:proofErr w:type="spellEnd"/>
      <w:r w:rsidRPr="003D29A0">
        <w:t xml:space="preserve"> a měl by zajišťovat přístup ke službám nejen externích, ale i interních poskytovatelů identit. Integrované systémy či aplikace tak budou zcela odstíněny od detailů autentizace a využití interní či externí identity pro ně bude zcela transparentní. Z pohledu integrovaného systému či aplikace bude identita poskytnuta vždy řešením </w:t>
      </w:r>
      <w:r>
        <w:t>SAU</w:t>
      </w:r>
      <w:r w:rsidRPr="003D29A0">
        <w:t xml:space="preserve"> bez ohledu na to, zda bylo pro přístup k systému či aplikaci využito interních či externích </w:t>
      </w:r>
      <w:proofErr w:type="spellStart"/>
      <w:r w:rsidRPr="003D29A0">
        <w:t>identitních</w:t>
      </w:r>
      <w:proofErr w:type="spellEnd"/>
      <w:r w:rsidRPr="003D29A0">
        <w:t xml:space="preserve"> služeb.</w:t>
      </w:r>
    </w:p>
    <w:p w:rsidR="002250DB" w:rsidRDefault="002250DB" w:rsidP="002250DB">
      <w:pPr>
        <w:pStyle w:val="Odstavecseseznamem"/>
        <w:spacing w:after="120"/>
        <w:ind w:left="0"/>
        <w:contextualSpacing w:val="0"/>
      </w:pPr>
      <w:r w:rsidRPr="003D29A0">
        <w:t xml:space="preserve">Navržené řešení </w:t>
      </w:r>
      <w:r>
        <w:t>SAU</w:t>
      </w:r>
      <w:r w:rsidRPr="003D29A0">
        <w:t xml:space="preserve"> musí zohledňovat skutečnost, že jednotliví poskytovatelé </w:t>
      </w:r>
      <w:proofErr w:type="spellStart"/>
      <w:r w:rsidRPr="003D29A0">
        <w:t>identitních</w:t>
      </w:r>
      <w:proofErr w:type="spellEnd"/>
      <w:r w:rsidRPr="003D29A0">
        <w:t xml:space="preserve"> služeb mohou poskytovat </w:t>
      </w:r>
      <w:r w:rsidRPr="00B104C0">
        <w:rPr>
          <w:b/>
        </w:rPr>
        <w:t>autentizační služby na různé úrovni záruky</w:t>
      </w:r>
      <w:r w:rsidRPr="003D29A0">
        <w:t xml:space="preserve"> (</w:t>
      </w:r>
      <w:proofErr w:type="spellStart"/>
      <w:r w:rsidRPr="003D29A0">
        <w:t>Level</w:t>
      </w:r>
      <w:proofErr w:type="spellEnd"/>
      <w:r w:rsidRPr="003D29A0">
        <w:t xml:space="preserve"> </w:t>
      </w:r>
      <w:proofErr w:type="spellStart"/>
      <w:r w:rsidRPr="003D29A0">
        <w:t>of</w:t>
      </w:r>
      <w:proofErr w:type="spellEnd"/>
      <w:r w:rsidRPr="003D29A0">
        <w:t xml:space="preserve"> </w:t>
      </w:r>
      <w:proofErr w:type="spellStart"/>
      <w:r w:rsidRPr="003D29A0">
        <w:t>Assurance</w:t>
      </w:r>
      <w:proofErr w:type="spellEnd"/>
      <w:r w:rsidRPr="003D29A0">
        <w:t xml:space="preserve">, </w:t>
      </w:r>
      <w:proofErr w:type="spellStart"/>
      <w:r w:rsidRPr="003D29A0">
        <w:t>LoA</w:t>
      </w:r>
      <w:proofErr w:type="spellEnd"/>
      <w:r w:rsidRPr="003D29A0">
        <w:t>)</w:t>
      </w:r>
      <w:r>
        <w:t>,</w:t>
      </w:r>
      <w:r w:rsidRPr="003D29A0">
        <w:t xml:space="preserve"> tedy s</w:t>
      </w:r>
      <w:r>
        <w:t> </w:t>
      </w:r>
      <w:r w:rsidRPr="003D29A0">
        <w:t>odlišnou mír</w:t>
      </w:r>
      <w:r>
        <w:t>o</w:t>
      </w:r>
      <w:r w:rsidRPr="003D29A0">
        <w:t xml:space="preserve">u spolehlivosti prostředků pro elektronickou identifikaci. Každý systém či aplikace v rezortu </w:t>
      </w:r>
      <w:proofErr w:type="spellStart"/>
      <w:r w:rsidRPr="003D29A0">
        <w:t>MZe</w:t>
      </w:r>
      <w:proofErr w:type="spellEnd"/>
      <w:r w:rsidRPr="003D29A0">
        <w:t xml:space="preserve"> potom může vyžadovat různou </w:t>
      </w:r>
      <w:proofErr w:type="spellStart"/>
      <w:r w:rsidRPr="003D29A0">
        <w:t>LoA</w:t>
      </w:r>
      <w:proofErr w:type="spellEnd"/>
      <w:r w:rsidRPr="003D29A0">
        <w:t xml:space="preserve"> použité </w:t>
      </w:r>
      <w:proofErr w:type="spellStart"/>
      <w:r w:rsidRPr="003D29A0">
        <w:t>autentizační</w:t>
      </w:r>
      <w:proofErr w:type="spellEnd"/>
      <w:r w:rsidRPr="003D29A0">
        <w:t xml:space="preserve"> služby. Uživateli, který se bude </w:t>
      </w:r>
      <w:proofErr w:type="gramStart"/>
      <w:r w:rsidRPr="003D29A0">
        <w:t>přihlašovat k jakémukoli</w:t>
      </w:r>
      <w:proofErr w:type="gramEnd"/>
      <w:r w:rsidRPr="003D29A0">
        <w:t xml:space="preserve"> systémů </w:t>
      </w:r>
      <w:proofErr w:type="gramStart"/>
      <w:r w:rsidRPr="003D29A0">
        <w:t>či</w:t>
      </w:r>
      <w:proofErr w:type="gramEnd"/>
      <w:r w:rsidRPr="003D29A0">
        <w:t xml:space="preserve"> aplikaci v rezortu </w:t>
      </w:r>
      <w:proofErr w:type="spellStart"/>
      <w:r w:rsidRPr="003D29A0">
        <w:t>MZe</w:t>
      </w:r>
      <w:proofErr w:type="spellEnd"/>
      <w:r w:rsidRPr="003D29A0">
        <w:t xml:space="preserve"> bude řešením </w:t>
      </w:r>
      <w:r>
        <w:t>SAU</w:t>
      </w:r>
      <w:r w:rsidRPr="003D29A0">
        <w:t xml:space="preserve"> zobrazena úvodní stránka s přehledem </w:t>
      </w:r>
      <w:proofErr w:type="spellStart"/>
      <w:r w:rsidRPr="003D29A0">
        <w:t>identitních</w:t>
      </w:r>
      <w:proofErr w:type="spellEnd"/>
      <w:r w:rsidRPr="003D29A0">
        <w:t xml:space="preserve"> služeb, které lze využít pro přihlášení k požadovanému systému či aplikaci. Přehled </w:t>
      </w:r>
      <w:proofErr w:type="spellStart"/>
      <w:r w:rsidRPr="003D29A0">
        <w:t>identitních</w:t>
      </w:r>
      <w:proofErr w:type="spellEnd"/>
      <w:r w:rsidRPr="003D29A0">
        <w:t xml:space="preserve"> služeb bude obsahovat pouze ty služby, které mají </w:t>
      </w:r>
      <w:proofErr w:type="spellStart"/>
      <w:r w:rsidRPr="003D29A0">
        <w:t>LoA</w:t>
      </w:r>
      <w:proofErr w:type="spellEnd"/>
      <w:r w:rsidRPr="003D29A0">
        <w:t xml:space="preserve"> rovnu anebo vyšší </w:t>
      </w:r>
      <w:r>
        <w:t>úrovni požadovanou cílovou aplikací či on-line službou</w:t>
      </w:r>
      <w:r w:rsidRPr="003D29A0">
        <w:t xml:space="preserve">. </w:t>
      </w:r>
      <w:r>
        <w:t>SAU</w:t>
      </w:r>
      <w:r w:rsidRPr="003D29A0">
        <w:t xml:space="preserve"> tedy bude přebírat informaci o cílovém systému či aplikaci, ke které uživatel přistupuje, o síťové lokalitě, ze které uživatel přistupuje a nabízet </w:t>
      </w:r>
      <w:proofErr w:type="spellStart"/>
      <w:r w:rsidRPr="003D29A0">
        <w:t>identitní</w:t>
      </w:r>
      <w:proofErr w:type="spellEnd"/>
      <w:r w:rsidRPr="003D29A0">
        <w:t xml:space="preserve"> služby platné pouze pro daný kontext</w:t>
      </w:r>
      <w:r>
        <w:t xml:space="preserve"> (kombinaci požadované </w:t>
      </w:r>
      <w:proofErr w:type="spellStart"/>
      <w:r>
        <w:t>LoA</w:t>
      </w:r>
      <w:proofErr w:type="spellEnd"/>
      <w:r>
        <w:t xml:space="preserve"> a přístupové lokality/sítě)</w:t>
      </w:r>
      <w:r w:rsidRPr="003D29A0">
        <w:t xml:space="preserve">.  Dle zvolené </w:t>
      </w:r>
      <w:proofErr w:type="spellStart"/>
      <w:r w:rsidRPr="003D29A0">
        <w:t>identitní</w:t>
      </w:r>
      <w:proofErr w:type="spellEnd"/>
      <w:r w:rsidRPr="003D29A0">
        <w:t xml:space="preserve"> služby bude následně uživatel přesměrován na přihlašovací strá</w:t>
      </w:r>
      <w:r>
        <w:t xml:space="preserve">nku příslušné </w:t>
      </w:r>
      <w:proofErr w:type="spellStart"/>
      <w:r>
        <w:t>identitní</w:t>
      </w:r>
      <w:proofErr w:type="spellEnd"/>
      <w:r>
        <w:t xml:space="preserve"> služby.</w:t>
      </w:r>
    </w:p>
    <w:p w:rsidR="002250DB" w:rsidRPr="003D29A0" w:rsidRDefault="002250DB" w:rsidP="002250DB">
      <w:pPr>
        <w:pStyle w:val="Odstavecseseznamem"/>
        <w:spacing w:after="120"/>
        <w:ind w:left="0"/>
        <w:contextualSpacing w:val="0"/>
      </w:pPr>
      <w:r>
        <w:t xml:space="preserve">Klíčovým požadavkem na cílové řešení SAU je, aby bylo možné nový systém autentizace nasadit </w:t>
      </w:r>
      <w:r w:rsidRPr="00B104C0">
        <w:rPr>
          <w:b/>
        </w:rPr>
        <w:t>bez nutnosti modifikovat cílové aplikac</w:t>
      </w:r>
      <w:r>
        <w:rPr>
          <w:b/>
        </w:rPr>
        <w:t>e</w:t>
      </w:r>
      <w:r>
        <w:t>. Řešení rovněž musí podporovat stávající model funkcionality zastupovaní, tedy model využití více uživatelských účtů (více interních identit) pro jednotlivé zastupované subjekty.</w:t>
      </w:r>
    </w:p>
    <w:p w:rsidR="002250DB" w:rsidRPr="003D29A0" w:rsidRDefault="002250DB" w:rsidP="002250DB">
      <w:pPr>
        <w:pStyle w:val="Odstavecseseznamem"/>
        <w:spacing w:after="120"/>
        <w:ind w:left="0"/>
        <w:contextualSpacing w:val="0"/>
      </w:pPr>
      <w:r w:rsidRPr="003D29A0">
        <w:t>Jednou integrovaný externí poskytovatel identit</w:t>
      </w:r>
      <w:r>
        <w:t xml:space="preserve">, resp. externí </w:t>
      </w:r>
      <w:proofErr w:type="spellStart"/>
      <w:r>
        <w:t>iden</w:t>
      </w:r>
      <w:r w:rsidRPr="003D29A0">
        <w:t>titní</w:t>
      </w:r>
      <w:proofErr w:type="spellEnd"/>
      <w:r w:rsidRPr="003D29A0">
        <w:t xml:space="preserve"> služba</w:t>
      </w:r>
      <w:r>
        <w:t>,</w:t>
      </w:r>
      <w:r w:rsidRPr="003D29A0">
        <w:t xml:space="preserve"> bude automaticky přístupný všem systémům či aplikacím v rezortu </w:t>
      </w:r>
      <w:proofErr w:type="spellStart"/>
      <w:r w:rsidRPr="003D29A0">
        <w:t>MZe</w:t>
      </w:r>
      <w:proofErr w:type="spellEnd"/>
      <w:r w:rsidRPr="003D29A0">
        <w:t xml:space="preserve">. Jednoduše tak bude moci být přidána podpora pro </w:t>
      </w:r>
      <w:r>
        <w:t>dalších</w:t>
      </w:r>
      <w:r w:rsidRPr="003D29A0">
        <w:t xml:space="preserve"> externích </w:t>
      </w:r>
      <w:r>
        <w:t xml:space="preserve">(autoritativních) </w:t>
      </w:r>
      <w:r w:rsidRPr="003D29A0">
        <w:t>zdrojů identit</w:t>
      </w:r>
      <w:r>
        <w:t xml:space="preserve"> (tzv. kvalifikovaných systém</w:t>
      </w:r>
      <w:r w:rsidR="00A30F8B">
        <w:t>ů</w:t>
      </w:r>
      <w:r>
        <w:t xml:space="preserve"> dle ustanovení § 3 </w:t>
      </w:r>
      <w:r>
        <w:rPr>
          <w:rFonts w:cstheme="minorHAnsi"/>
        </w:rPr>
        <w:t>z</w:t>
      </w:r>
      <w:r w:rsidRPr="009C0B2D">
        <w:rPr>
          <w:rFonts w:cstheme="minorHAnsi"/>
        </w:rPr>
        <w:t>ákon</w:t>
      </w:r>
      <w:r>
        <w:rPr>
          <w:rFonts w:cstheme="minorHAnsi"/>
        </w:rPr>
        <w:t>a</w:t>
      </w:r>
      <w:r w:rsidRPr="009C0B2D">
        <w:rPr>
          <w:rFonts w:cstheme="minorHAnsi"/>
        </w:rPr>
        <w:t xml:space="preserve"> č. 250/2017 Sb., o elektronické identifikaci</w:t>
      </w:r>
      <w:r>
        <w:rPr>
          <w:rFonts w:cstheme="minorHAnsi"/>
        </w:rPr>
        <w:t>, ve znění pozdějších předpisů</w:t>
      </w:r>
      <w:r>
        <w:t xml:space="preserve">) do všech požadovaných on-line služeb a aplikací rezortu </w:t>
      </w:r>
      <w:proofErr w:type="spellStart"/>
      <w:r>
        <w:t>MZe</w:t>
      </w:r>
      <w:proofErr w:type="spellEnd"/>
      <w:r w:rsidRPr="003D29A0">
        <w:t>.</w:t>
      </w:r>
    </w:p>
    <w:p w:rsidR="002250DB" w:rsidRPr="003D29A0" w:rsidRDefault="002250DB" w:rsidP="002250DB">
      <w:pPr>
        <w:pStyle w:val="Odstavecseseznamem"/>
        <w:spacing w:after="120"/>
        <w:ind w:left="0"/>
        <w:contextualSpacing w:val="0"/>
      </w:pPr>
      <w:r w:rsidRPr="003D29A0">
        <w:t xml:space="preserve">Uživatel bude mít možnost zvolit si preferovanou, pro něj nejlépe využitelnou </w:t>
      </w:r>
      <w:proofErr w:type="spellStart"/>
      <w:r w:rsidRPr="003D29A0">
        <w:t>identitní</w:t>
      </w:r>
      <w:proofErr w:type="spellEnd"/>
      <w:r w:rsidRPr="003D29A0">
        <w:t xml:space="preserve"> služb</w:t>
      </w:r>
      <w:r>
        <w:t xml:space="preserve">u s požadovanou úrovní </w:t>
      </w:r>
      <w:proofErr w:type="spellStart"/>
      <w:r>
        <w:t>LoA</w:t>
      </w:r>
      <w:proofErr w:type="spellEnd"/>
      <w:r w:rsidRPr="003D29A0">
        <w:t>. Tím dojde ke zvýšení uživatelského komfortu a zlepšení uživatelské zkušenosti při práci se systémem.</w:t>
      </w:r>
    </w:p>
    <w:p w:rsidR="002250DB" w:rsidRDefault="002250DB" w:rsidP="002250DB">
      <w:pPr>
        <w:pStyle w:val="Odstavecseseznamem"/>
        <w:spacing w:after="120"/>
        <w:ind w:left="0"/>
        <w:contextualSpacing w:val="0"/>
      </w:pPr>
      <w:r w:rsidRPr="003D29A0">
        <w:t xml:space="preserve">Integrované systémy a aplikace automaticky obdrží </w:t>
      </w:r>
      <w:r>
        <w:t xml:space="preserve">všechny potřebné </w:t>
      </w:r>
      <w:r w:rsidRPr="003D29A0">
        <w:t>informace o identitě přistupujícího uživatele</w:t>
      </w:r>
      <w:r>
        <w:t xml:space="preserve">, vč. úrovně </w:t>
      </w:r>
      <w:proofErr w:type="spellStart"/>
      <w:r>
        <w:t>LoA</w:t>
      </w:r>
      <w:proofErr w:type="spellEnd"/>
      <w:r w:rsidRPr="003D29A0">
        <w:t xml:space="preserve"> a tyto informace mohou</w:t>
      </w:r>
      <w:r>
        <w:t>, kromě vlastní identifikace uživatele,</w:t>
      </w:r>
      <w:r w:rsidRPr="003D29A0">
        <w:t xml:space="preserve"> v případě potřeby využít pro předvyplnění formulářových či jiných dat v aplikaci. </w:t>
      </w:r>
      <w:r>
        <w:t xml:space="preserve">Na další informace mohou aplikace položit dotaz do adresářové služby </w:t>
      </w:r>
      <w:proofErr w:type="spellStart"/>
      <w:r>
        <w:t>MZe</w:t>
      </w:r>
      <w:proofErr w:type="spellEnd"/>
      <w:r>
        <w:t xml:space="preserve"> a v budoucnu i do Registru identit a zmocnění (RIZ) ohledně zastupování (příp. je přímo obdrží v </w:t>
      </w:r>
      <w:proofErr w:type="spellStart"/>
      <w:r>
        <w:t>assertions</w:t>
      </w:r>
      <w:proofErr w:type="spellEnd"/>
      <w:r>
        <w:t xml:space="preserve"> v SAML2 </w:t>
      </w:r>
      <w:proofErr w:type="spellStart"/>
      <w:r>
        <w:t>tokenu</w:t>
      </w:r>
      <w:proofErr w:type="spellEnd"/>
      <w:r>
        <w:t>).</w:t>
      </w:r>
    </w:p>
    <w:p w:rsidR="002250DB" w:rsidRDefault="002250DB" w:rsidP="002250DB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t>Popis jednotlivých logických komponent v architektuře SAU je popsán v následujícím přehledu.</w:t>
      </w:r>
    </w:p>
    <w:p w:rsidR="002250DB" w:rsidRPr="002250DB" w:rsidRDefault="002250DB" w:rsidP="002250DB">
      <w:pPr>
        <w:pStyle w:val="Nadpis3"/>
        <w:numPr>
          <w:ilvl w:val="0"/>
          <w:numId w:val="0"/>
        </w:numPr>
        <w:ind w:left="720" w:hanging="720"/>
        <w:rPr>
          <w:lang w:eastAsia="cs-CZ"/>
        </w:rPr>
      </w:pPr>
      <w:r>
        <w:rPr>
          <w:lang w:eastAsia="cs-CZ"/>
        </w:rPr>
        <w:t xml:space="preserve">Externí </w:t>
      </w:r>
      <w:proofErr w:type="spellStart"/>
      <w:r>
        <w:rPr>
          <w:lang w:eastAsia="cs-CZ"/>
        </w:rPr>
        <w:t>federátor</w:t>
      </w:r>
      <w:proofErr w:type="spellEnd"/>
      <w:r>
        <w:rPr>
          <w:lang w:eastAsia="cs-CZ"/>
        </w:rPr>
        <w:t xml:space="preserve"> (</w:t>
      </w:r>
      <w:r w:rsidRPr="00B70EF8">
        <w:rPr>
          <w:lang w:eastAsia="cs-CZ"/>
        </w:rPr>
        <w:t>EFS</w:t>
      </w:r>
      <w:r>
        <w:rPr>
          <w:lang w:eastAsia="cs-CZ"/>
        </w:rPr>
        <w:t>)</w:t>
      </w:r>
    </w:p>
    <w:p w:rsidR="002250DB" w:rsidRDefault="002250DB" w:rsidP="002250DB">
      <w:pPr>
        <w:pStyle w:val="Odstavecseseznamem"/>
        <w:spacing w:after="120"/>
        <w:ind w:left="0"/>
        <w:contextualSpacing w:val="0"/>
      </w:pPr>
      <w:r w:rsidRPr="00D9529D">
        <w:t xml:space="preserve">EFS je komponenta zprostředkovávající autentizaci klientů využitím externích anebo interních </w:t>
      </w:r>
      <w:proofErr w:type="spellStart"/>
      <w:r w:rsidRPr="00D9529D">
        <w:t>IdP</w:t>
      </w:r>
      <w:proofErr w:type="spellEnd"/>
      <w:r w:rsidRPr="00D9529D">
        <w:t xml:space="preserve">. Úlohou EFS v budoucnu je nabídnout klientovi seznam použitelných </w:t>
      </w:r>
      <w:proofErr w:type="spellStart"/>
      <w:r w:rsidRPr="00D9529D">
        <w:t>IdP</w:t>
      </w:r>
      <w:proofErr w:type="spellEnd"/>
      <w:r w:rsidRPr="00D9529D">
        <w:t xml:space="preserve">, dle kontextu cílové on-line služby, případně filtrovaný seznam </w:t>
      </w:r>
      <w:proofErr w:type="spellStart"/>
      <w:r w:rsidRPr="00D9529D">
        <w:t>IdP</w:t>
      </w:r>
      <w:proofErr w:type="spellEnd"/>
      <w:r w:rsidRPr="00D9529D">
        <w:t xml:space="preserve"> s omezením pouze na ty </w:t>
      </w:r>
      <w:proofErr w:type="spellStart"/>
      <w:r w:rsidRPr="00D9529D">
        <w:t>IdP</w:t>
      </w:r>
      <w:proofErr w:type="spellEnd"/>
      <w:r w:rsidRPr="00D9529D">
        <w:t xml:space="preserve">, které jsou podporovány pro přístup k cílové on-line službě, umožnit klientovi výběr preferovaného </w:t>
      </w:r>
      <w:proofErr w:type="spellStart"/>
      <w:r w:rsidRPr="00D9529D">
        <w:t>IdP</w:t>
      </w:r>
      <w:proofErr w:type="spellEnd"/>
      <w:r w:rsidRPr="00D9529D">
        <w:t xml:space="preserve"> a přesměrovat klienta na službu zvoleného </w:t>
      </w:r>
      <w:proofErr w:type="spellStart"/>
      <w:r w:rsidRPr="00D9529D">
        <w:t>IdP</w:t>
      </w:r>
      <w:proofErr w:type="spellEnd"/>
      <w:r w:rsidRPr="00D9529D">
        <w:t>.</w:t>
      </w:r>
    </w:p>
    <w:p w:rsidR="002250DB" w:rsidRPr="00931A6E" w:rsidRDefault="002250DB" w:rsidP="002250DB">
      <w:pPr>
        <w:pStyle w:val="Odstavecseseznamem"/>
        <w:spacing w:after="120"/>
        <w:ind w:left="0"/>
        <w:contextualSpacing w:val="0"/>
      </w:pPr>
      <w:r w:rsidRPr="00D9529D">
        <w:t xml:space="preserve">EFS bude poskytovat klíčovou službu v řešení </w:t>
      </w:r>
      <w:proofErr w:type="spellStart"/>
      <w:r w:rsidRPr="00D9529D">
        <w:t>claims</w:t>
      </w:r>
      <w:proofErr w:type="spellEnd"/>
      <w:r w:rsidRPr="00D9529D">
        <w:t>-</w:t>
      </w:r>
      <w:proofErr w:type="spellStart"/>
      <w:r w:rsidRPr="00D9529D">
        <w:t>based</w:t>
      </w:r>
      <w:proofErr w:type="spellEnd"/>
      <w:r w:rsidRPr="00D9529D">
        <w:t xml:space="preserve"> autentizace - </w:t>
      </w:r>
      <w:proofErr w:type="spellStart"/>
      <w:r w:rsidRPr="00D9529D">
        <w:t>Security</w:t>
      </w:r>
      <w:proofErr w:type="spellEnd"/>
      <w:r w:rsidRPr="00D9529D">
        <w:t xml:space="preserve"> </w:t>
      </w:r>
      <w:proofErr w:type="spellStart"/>
      <w:r w:rsidRPr="00D9529D">
        <w:t>Token</w:t>
      </w:r>
      <w:proofErr w:type="spellEnd"/>
      <w:r w:rsidRPr="00D9529D">
        <w:t xml:space="preserve"> </w:t>
      </w:r>
      <w:proofErr w:type="spellStart"/>
      <w:r w:rsidRPr="00D9529D">
        <w:t>Service</w:t>
      </w:r>
      <w:proofErr w:type="spellEnd"/>
      <w:r w:rsidRPr="00D9529D">
        <w:t xml:space="preserve"> (STS). STS bude odpovědná za vydávání, validaci, obnovování a </w:t>
      </w:r>
      <w:proofErr w:type="spellStart"/>
      <w:r w:rsidRPr="00D9529D">
        <w:t>zneplatňování</w:t>
      </w:r>
      <w:proofErr w:type="spellEnd"/>
      <w:r w:rsidRPr="00D9529D">
        <w:t xml:space="preserve"> bezpečnostních </w:t>
      </w:r>
      <w:proofErr w:type="spellStart"/>
      <w:r w:rsidRPr="00D9529D">
        <w:t>tokenů</w:t>
      </w:r>
      <w:proofErr w:type="spellEnd"/>
      <w:r w:rsidRPr="00D9529D">
        <w:t xml:space="preserve"> externí identity určené pro </w:t>
      </w:r>
      <w:proofErr w:type="spellStart"/>
      <w:r w:rsidRPr="00D9529D">
        <w:t>preautentizaci</w:t>
      </w:r>
      <w:proofErr w:type="spellEnd"/>
      <w:r w:rsidRPr="00D9529D">
        <w:t xml:space="preserve"> k IFS (PARP-IFS) a pro samotný přístup k IFS</w:t>
      </w:r>
      <w:r>
        <w:t>.</w:t>
      </w:r>
    </w:p>
    <w:p w:rsidR="002250DB" w:rsidRPr="002250DB" w:rsidRDefault="002250DB" w:rsidP="002250DB">
      <w:pPr>
        <w:pStyle w:val="Nadpis3"/>
        <w:numPr>
          <w:ilvl w:val="0"/>
          <w:numId w:val="0"/>
        </w:numPr>
        <w:ind w:left="720" w:hanging="720"/>
        <w:rPr>
          <w:lang w:eastAsia="cs-CZ"/>
        </w:rPr>
      </w:pPr>
      <w:r>
        <w:rPr>
          <w:lang w:eastAsia="cs-CZ"/>
        </w:rPr>
        <w:t xml:space="preserve">Interní </w:t>
      </w:r>
      <w:proofErr w:type="spellStart"/>
      <w:r>
        <w:rPr>
          <w:lang w:eastAsia="cs-CZ"/>
        </w:rPr>
        <w:t>federátor</w:t>
      </w:r>
      <w:proofErr w:type="spellEnd"/>
      <w:r>
        <w:rPr>
          <w:lang w:eastAsia="cs-CZ"/>
        </w:rPr>
        <w:t xml:space="preserve"> (</w:t>
      </w:r>
      <w:r w:rsidRPr="00B70EF8">
        <w:rPr>
          <w:lang w:eastAsia="cs-CZ"/>
        </w:rPr>
        <w:t>IFS</w:t>
      </w:r>
      <w:r>
        <w:rPr>
          <w:lang w:eastAsia="cs-CZ"/>
        </w:rPr>
        <w:t>)</w:t>
      </w:r>
    </w:p>
    <w:p w:rsidR="002250DB" w:rsidRDefault="002250DB" w:rsidP="002250DB">
      <w:pPr>
        <w:pStyle w:val="Odstavecseseznamem"/>
        <w:spacing w:after="120"/>
        <w:ind w:left="0"/>
        <w:contextualSpacing w:val="0"/>
      </w:pPr>
      <w:r w:rsidRPr="00D9529D">
        <w:t xml:space="preserve">IFS je komponenta zajišťující mapování externích identit na interní identity a vystavování a podepisování SAML tokenů interní identity. IFS bude podobně jako EFS poskytovat klíčovou službu v řešení </w:t>
      </w:r>
      <w:proofErr w:type="spellStart"/>
      <w:r w:rsidRPr="00D9529D">
        <w:t>claims</w:t>
      </w:r>
      <w:proofErr w:type="spellEnd"/>
      <w:r w:rsidRPr="00D9529D">
        <w:t>-</w:t>
      </w:r>
      <w:proofErr w:type="spellStart"/>
      <w:r w:rsidRPr="00D9529D">
        <w:t>based</w:t>
      </w:r>
      <w:proofErr w:type="spellEnd"/>
      <w:r w:rsidRPr="00D9529D">
        <w:t xml:space="preserve"> autentizace - </w:t>
      </w:r>
      <w:proofErr w:type="spellStart"/>
      <w:r w:rsidRPr="00D9529D">
        <w:t>Security</w:t>
      </w:r>
      <w:proofErr w:type="spellEnd"/>
      <w:r w:rsidRPr="00D9529D">
        <w:t xml:space="preserve"> </w:t>
      </w:r>
      <w:proofErr w:type="spellStart"/>
      <w:r w:rsidRPr="00D9529D">
        <w:t>Token</w:t>
      </w:r>
      <w:proofErr w:type="spellEnd"/>
      <w:r w:rsidRPr="00D9529D">
        <w:t xml:space="preserve"> </w:t>
      </w:r>
      <w:proofErr w:type="spellStart"/>
      <w:r w:rsidRPr="00D9529D">
        <w:t>Service</w:t>
      </w:r>
      <w:proofErr w:type="spellEnd"/>
      <w:r w:rsidRPr="00D9529D">
        <w:t xml:space="preserve"> (STS). Služba STS bude odpovědná za vydávání, validaci, obnovování a </w:t>
      </w:r>
      <w:proofErr w:type="spellStart"/>
      <w:r w:rsidRPr="00D9529D">
        <w:t>zneplatňování</w:t>
      </w:r>
      <w:proofErr w:type="spellEnd"/>
      <w:r w:rsidRPr="00D9529D">
        <w:t xml:space="preserve"> bezpečnostních </w:t>
      </w:r>
      <w:proofErr w:type="spellStart"/>
      <w:r w:rsidRPr="00D9529D">
        <w:t>tokenů</w:t>
      </w:r>
      <w:proofErr w:type="spellEnd"/>
      <w:r w:rsidRPr="00D9529D">
        <w:t xml:space="preserve"> interní identity určené pro </w:t>
      </w:r>
      <w:proofErr w:type="spellStart"/>
      <w:r w:rsidRPr="00D9529D">
        <w:t>preautentizaci</w:t>
      </w:r>
      <w:proofErr w:type="spellEnd"/>
      <w:r w:rsidRPr="00D9529D">
        <w:t xml:space="preserve"> na PARP před cílovou on-line službou (PARP-app1) či pro autentizaci k samotné cílové on-line službě či aplikaci.</w:t>
      </w:r>
    </w:p>
    <w:p w:rsidR="002250DB" w:rsidRPr="002250DB" w:rsidRDefault="002250DB" w:rsidP="002250DB">
      <w:pPr>
        <w:pStyle w:val="Nadpis3"/>
        <w:numPr>
          <w:ilvl w:val="0"/>
          <w:numId w:val="0"/>
        </w:numPr>
        <w:ind w:left="720" w:hanging="720"/>
        <w:rPr>
          <w:lang w:eastAsia="cs-CZ"/>
        </w:rPr>
      </w:pPr>
      <w:r w:rsidRPr="002250DB">
        <w:rPr>
          <w:lang w:eastAsia="cs-CZ"/>
        </w:rPr>
        <w:t>F5 BIG-IP</w:t>
      </w:r>
    </w:p>
    <w:p w:rsidR="002250DB" w:rsidRDefault="002250DB" w:rsidP="002250DB">
      <w:pPr>
        <w:shd w:val="clear" w:color="auto" w:fill="FFFFFF" w:themeFill="background1"/>
      </w:pPr>
      <w:r>
        <w:t xml:space="preserve">F5 </w:t>
      </w:r>
      <w:r w:rsidRPr="00ED2135">
        <w:t>BIG-IP</w:t>
      </w:r>
      <w:r>
        <w:t xml:space="preserve"> je zařízení provozované </w:t>
      </w:r>
      <w:proofErr w:type="spellStart"/>
      <w:r>
        <w:t>MZe</w:t>
      </w:r>
      <w:proofErr w:type="spellEnd"/>
      <w:r>
        <w:t xml:space="preserve"> jako páteřní prvek zprostředkovávající přístup ke všem on-line službám </w:t>
      </w:r>
      <w:proofErr w:type="spellStart"/>
      <w:r>
        <w:t>MZe</w:t>
      </w:r>
      <w:proofErr w:type="spellEnd"/>
      <w:r>
        <w:t xml:space="preserve">. </w:t>
      </w:r>
      <w:r w:rsidRPr="00F913AA">
        <w:t xml:space="preserve">F5 BIG-IP je modulární zařízení zajišťující funkcionality Zařízení v prostředí </w:t>
      </w:r>
      <w:proofErr w:type="spellStart"/>
      <w:r w:rsidRPr="00F913AA">
        <w:t>MZe</w:t>
      </w:r>
      <w:proofErr w:type="spellEnd"/>
      <w:r w:rsidRPr="00F913AA">
        <w:t xml:space="preserve"> zastává roli </w:t>
      </w:r>
      <w:proofErr w:type="spellStart"/>
      <w:r w:rsidRPr="00F913AA">
        <w:t>preautentizační</w:t>
      </w:r>
      <w:proofErr w:type="spellEnd"/>
      <w:r w:rsidRPr="00F913AA">
        <w:t xml:space="preserve"> reverzní </w:t>
      </w:r>
      <w:proofErr w:type="spellStart"/>
      <w:r w:rsidRPr="00F913AA">
        <w:t>proxy</w:t>
      </w:r>
      <w:proofErr w:type="spellEnd"/>
      <w:r w:rsidRPr="00F913AA">
        <w:t xml:space="preserve"> (PARP), </w:t>
      </w:r>
      <w:proofErr w:type="spellStart"/>
      <w:r w:rsidRPr="00F913AA">
        <w:t>load</w:t>
      </w:r>
      <w:proofErr w:type="spellEnd"/>
      <w:r w:rsidRPr="00F913AA">
        <w:t xml:space="preserve"> </w:t>
      </w:r>
      <w:proofErr w:type="spellStart"/>
      <w:r w:rsidRPr="00F913AA">
        <w:t>balanceru</w:t>
      </w:r>
      <w:proofErr w:type="spellEnd"/>
      <w:r w:rsidRPr="00F913AA">
        <w:t xml:space="preserve"> (LB), </w:t>
      </w:r>
      <w:proofErr w:type="spellStart"/>
      <w:r w:rsidRPr="00F913AA">
        <w:t>routeru</w:t>
      </w:r>
      <w:proofErr w:type="spellEnd"/>
      <w:r w:rsidRPr="00F913AA">
        <w:t>, reverzní aplikačního firewall atd. Pro účely řešení SAU jsou klíčovými moduly APM, LTM a ASM.</w:t>
      </w:r>
    </w:p>
    <w:p w:rsidR="002250DB" w:rsidRPr="002250DB" w:rsidRDefault="002250DB" w:rsidP="002250DB">
      <w:pPr>
        <w:pStyle w:val="Nadpis3"/>
        <w:numPr>
          <w:ilvl w:val="0"/>
          <w:numId w:val="0"/>
        </w:numPr>
        <w:ind w:left="720" w:hanging="720"/>
        <w:rPr>
          <w:lang w:eastAsia="cs-CZ"/>
        </w:rPr>
      </w:pPr>
      <w:r>
        <w:rPr>
          <w:lang w:eastAsia="cs-CZ"/>
        </w:rPr>
        <w:t>Registr identit a zmocnění (</w:t>
      </w:r>
      <w:r w:rsidRPr="00B70EF8">
        <w:rPr>
          <w:lang w:eastAsia="cs-CZ"/>
        </w:rPr>
        <w:t>RIZ</w:t>
      </w:r>
      <w:r>
        <w:rPr>
          <w:lang w:eastAsia="cs-CZ"/>
        </w:rPr>
        <w:t>)</w:t>
      </w:r>
    </w:p>
    <w:p w:rsidR="002250DB" w:rsidRDefault="002250DB" w:rsidP="002250DB">
      <w:r>
        <w:t xml:space="preserve">Klient přistupující k on-line službám rezortu </w:t>
      </w:r>
      <w:proofErr w:type="spellStart"/>
      <w:r>
        <w:t>MZe</w:t>
      </w:r>
      <w:proofErr w:type="spellEnd"/>
      <w:r>
        <w:t xml:space="preserve"> vyžadujícím autentizaci se před využitím on-line služby musí autentizovat lokálním účtem </w:t>
      </w:r>
      <w:proofErr w:type="spellStart"/>
      <w:r>
        <w:t>MZe</w:t>
      </w:r>
      <w:proofErr w:type="spellEnd"/>
      <w:r>
        <w:t xml:space="preserve">. Pokud má klient zájem pro autentizaci využít externí </w:t>
      </w:r>
      <w:proofErr w:type="spellStart"/>
      <w:r>
        <w:t>autentizační</w:t>
      </w:r>
      <w:proofErr w:type="spellEnd"/>
      <w:r>
        <w:t xml:space="preserve"> službu (</w:t>
      </w:r>
      <w:proofErr w:type="spellStart"/>
      <w:r>
        <w:t>IdP</w:t>
      </w:r>
      <w:proofErr w:type="spellEnd"/>
      <w:r>
        <w:t xml:space="preserve">) anebo je pro přístup k on-line službě využití externí autentizační služby s příslušným </w:t>
      </w:r>
      <w:proofErr w:type="spellStart"/>
      <w:r>
        <w:t>LoA</w:t>
      </w:r>
      <w:proofErr w:type="spellEnd"/>
      <w:r>
        <w:t xml:space="preserve"> přímo požadováno musí být externí identita klienta nejprve zaregistrována v </w:t>
      </w:r>
      <w:proofErr w:type="spellStart"/>
      <w:r>
        <w:t>identitním</w:t>
      </w:r>
      <w:proofErr w:type="spellEnd"/>
      <w:r>
        <w:t xml:space="preserve"> prostoru </w:t>
      </w:r>
      <w:proofErr w:type="spellStart"/>
      <w:r>
        <w:t>MZe</w:t>
      </w:r>
      <w:proofErr w:type="spellEnd"/>
      <w:r>
        <w:t xml:space="preserve">, vytvořena lokální identita </w:t>
      </w:r>
      <w:proofErr w:type="spellStart"/>
      <w:r>
        <w:t>MZe</w:t>
      </w:r>
      <w:proofErr w:type="spellEnd"/>
      <w:r>
        <w:t xml:space="preserve">, související uživatelský profil (profil identity), uživatelské účty a provedeno mapování mezi externí a interní identitou. Za tímto účelem poskytuje interní federační služba </w:t>
      </w:r>
      <w:proofErr w:type="spellStart"/>
      <w:r>
        <w:t>MZe</w:t>
      </w:r>
      <w:proofErr w:type="spellEnd"/>
      <w:r>
        <w:t xml:space="preserve"> webovou aplikaci a webové formuláře Registru identit a zmocnění (RIZ) umožňující registraci uživatele a vytvoření uživatelského profilu (profilu identity), a to výhradně pro farmářské účty (ostatní identity jsou vytvářeny a spravovány výhradně přes IDM </w:t>
      </w:r>
      <w:proofErr w:type="spellStart"/>
      <w:r>
        <w:t>MZe</w:t>
      </w:r>
      <w:proofErr w:type="spellEnd"/>
      <w:r>
        <w:t xml:space="preserve"> – aktuálně </w:t>
      </w:r>
      <w:proofErr w:type="spellStart"/>
      <w:r w:rsidRPr="008965CE">
        <w:t>Orchitech</w:t>
      </w:r>
      <w:proofErr w:type="spellEnd"/>
      <w:r w:rsidRPr="008965CE">
        <w:t xml:space="preserve"> </w:t>
      </w:r>
      <w:proofErr w:type="spellStart"/>
      <w:r w:rsidRPr="008965CE">
        <w:t>OpenIDM</w:t>
      </w:r>
      <w:proofErr w:type="spellEnd"/>
      <w:r w:rsidRPr="008965CE">
        <w:t>, verze 4.0.1</w:t>
      </w:r>
      <w:r>
        <w:t>, v budoucnu může být nahrazeno jinou platformou).</w:t>
      </w:r>
    </w:p>
    <w:p w:rsidR="002250DB" w:rsidRDefault="002250DB" w:rsidP="002250DB">
      <w:r>
        <w:t>RIZ má 2 základní funkční komponenty:</w:t>
      </w:r>
    </w:p>
    <w:p w:rsidR="002250DB" w:rsidRDefault="002250DB" w:rsidP="002250DB">
      <w:pPr>
        <w:pStyle w:val="Odstavecseseznamem"/>
        <w:numPr>
          <w:ilvl w:val="0"/>
          <w:numId w:val="4"/>
        </w:numPr>
        <w:rPr>
          <w:noProof/>
          <w:lang w:eastAsia="cs-CZ"/>
        </w:rPr>
      </w:pPr>
      <w:r w:rsidRPr="00EF14F6">
        <w:rPr>
          <w:b/>
        </w:rPr>
        <w:t>Samoobslužnou webovou aplikaci/GUI rozhraní</w:t>
      </w:r>
      <w:r>
        <w:t>;</w:t>
      </w:r>
    </w:p>
    <w:p w:rsidR="002250DB" w:rsidRDefault="002250DB" w:rsidP="002250DB">
      <w:pPr>
        <w:pStyle w:val="Odstavecseseznamem"/>
        <w:numPr>
          <w:ilvl w:val="0"/>
          <w:numId w:val="4"/>
        </w:numPr>
        <w:rPr>
          <w:noProof/>
          <w:lang w:eastAsia="cs-CZ"/>
        </w:rPr>
      </w:pPr>
      <w:r w:rsidRPr="00EF14F6">
        <w:rPr>
          <w:b/>
        </w:rPr>
        <w:t xml:space="preserve">RIZ </w:t>
      </w:r>
      <w:proofErr w:type="spellStart"/>
      <w:r w:rsidRPr="00EF14F6">
        <w:rPr>
          <w:b/>
        </w:rPr>
        <w:t>backend</w:t>
      </w:r>
      <w:proofErr w:type="spellEnd"/>
      <w:r>
        <w:t xml:space="preserve"> – komponenta zajišťující poskytování informací o identitách evidovaným v RIZ cílovým aplikacím/on-line službám webovými službami implementovanými v RIZ a vazbu na </w:t>
      </w:r>
      <w:r>
        <w:lastRenderedPageBreak/>
        <w:t xml:space="preserve">adresářové služby </w:t>
      </w:r>
      <w:proofErr w:type="spellStart"/>
      <w:r>
        <w:t>MZe</w:t>
      </w:r>
      <w:proofErr w:type="spellEnd"/>
      <w:r>
        <w:t xml:space="preserve"> (aktuálně LDAP) za účelem mapování externích a interních identit, zakládání nových účtů atp. (více viz Katalog požadavků).</w:t>
      </w:r>
    </w:p>
    <w:p w:rsidR="002250DB" w:rsidRDefault="002250DB" w:rsidP="002250DB">
      <w:pPr>
        <w:pStyle w:val="Odstavecseseznamem"/>
        <w:spacing w:after="120"/>
        <w:ind w:left="0"/>
        <w:contextualSpacing w:val="0"/>
      </w:pPr>
    </w:p>
    <w:p w:rsidR="002250DB" w:rsidRDefault="002250DB" w:rsidP="002250DB">
      <w:pPr>
        <w:pStyle w:val="Odstavecseseznamem"/>
        <w:spacing w:after="120"/>
        <w:ind w:left="0"/>
        <w:contextualSpacing w:val="0"/>
      </w:pPr>
      <w:r>
        <w:t xml:space="preserve">Cílové řešení autentizace uživatelů v rezortu </w:t>
      </w:r>
      <w:proofErr w:type="spellStart"/>
      <w:r>
        <w:t>MZe</w:t>
      </w:r>
      <w:proofErr w:type="spellEnd"/>
      <w:r>
        <w:t xml:space="preserve"> zajišťující federaci externích a interních identit, mapování externích identit na interní identity a jednotné přihlášení do cílových on-line služeb, tak bude doplněno o funkční celek RIZ zajišťující evidenci a mapování externích a interních identit a v budoucnu i pověření klientů zastupovat jiné subjekty a další informace (problematika evidence zastupování v RIZ není předmětem této veřejné zakázky, SAU však musí být možno o problematiku řešení zastupování rozšířit bez nutnosti významněji předělávat či nahrazovat řešení SAU).</w:t>
      </w:r>
    </w:p>
    <w:p w:rsidR="002250DB" w:rsidRDefault="002250DB" w:rsidP="002250DB">
      <w:pPr>
        <w:pStyle w:val="Odstavecseseznamem"/>
        <w:spacing w:after="120"/>
        <w:ind w:left="0"/>
        <w:contextualSpacing w:val="0"/>
      </w:pPr>
      <w:r>
        <w:t xml:space="preserve">Předmětem této veřejné zakázky </w:t>
      </w:r>
      <w:r w:rsidRPr="00953B8B">
        <w:t xml:space="preserve">je </w:t>
      </w:r>
      <w:r>
        <w:t>jak</w:t>
      </w:r>
      <w:r w:rsidRPr="00953B8B">
        <w:t xml:space="preserve"> návrh, implementace, nasazení a provoz </w:t>
      </w:r>
      <w:r>
        <w:t>SAU, tak i funkční oblasti/komponenty RIZ v části evidence a mapování externích a interních identit.</w:t>
      </w:r>
    </w:p>
    <w:p w:rsidR="002250DB" w:rsidRPr="00F54843" w:rsidRDefault="002250DB" w:rsidP="002250DB">
      <w:pPr>
        <w:spacing w:after="284"/>
        <w:rPr>
          <w:rFonts w:cstheme="minorHAnsi"/>
        </w:rPr>
      </w:pPr>
      <w:r w:rsidRPr="00F54843">
        <w:rPr>
          <w:rFonts w:cstheme="minorHAnsi"/>
        </w:rPr>
        <w:t xml:space="preserve">Veškeré </w:t>
      </w:r>
      <w:r>
        <w:rPr>
          <w:rFonts w:cstheme="minorHAnsi"/>
        </w:rPr>
        <w:t xml:space="preserve">podrobné </w:t>
      </w:r>
      <w:r w:rsidRPr="00F54843">
        <w:rPr>
          <w:rFonts w:cstheme="minorHAnsi"/>
        </w:rPr>
        <w:t>požadavky na požadované řešení</w:t>
      </w:r>
      <w:r>
        <w:rPr>
          <w:rFonts w:cstheme="minorHAnsi"/>
        </w:rPr>
        <w:t xml:space="preserve"> SAU</w:t>
      </w:r>
      <w:r w:rsidRPr="00F54843">
        <w:rPr>
          <w:rFonts w:cstheme="minorHAnsi"/>
        </w:rPr>
        <w:t xml:space="preserve"> jsou popsány v</w:t>
      </w:r>
      <w:r w:rsidR="00842BF2">
        <w:rPr>
          <w:rFonts w:cstheme="minorHAnsi"/>
        </w:rPr>
        <w:t xml:space="preserve"> dokumentu </w:t>
      </w:r>
      <w:r w:rsidRPr="002250DB">
        <w:rPr>
          <w:rFonts w:cstheme="minorHAnsi"/>
        </w:rPr>
        <w:t>„Katalog požadavků na SAU“.</w:t>
      </w:r>
    </w:p>
    <w:p w:rsidR="00201426" w:rsidRDefault="00201426"/>
    <w:sectPr w:rsidR="00201426" w:rsidSect="009010B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D9FB2C" w15:done="0"/>
  <w15:commentEx w15:paraId="0285A0C1" w15:done="0"/>
  <w15:commentEx w15:paraId="5B74B074" w15:done="0"/>
  <w15:commentEx w15:paraId="26A22FA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40" w:rsidRDefault="00AE4F40" w:rsidP="002C6647">
      <w:pPr>
        <w:spacing w:after="0" w:line="240" w:lineRule="auto"/>
      </w:pPr>
      <w:r>
        <w:separator/>
      </w:r>
    </w:p>
  </w:endnote>
  <w:endnote w:type="continuationSeparator" w:id="0">
    <w:p w:rsidR="00AE4F40" w:rsidRDefault="00AE4F40" w:rsidP="002C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557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250DB" w:rsidRPr="002250DB" w:rsidRDefault="00A42A53">
        <w:pPr>
          <w:pStyle w:val="Zpat"/>
          <w:jc w:val="right"/>
          <w:rPr>
            <w:sz w:val="16"/>
            <w:szCs w:val="16"/>
          </w:rPr>
        </w:pPr>
        <w:r w:rsidRPr="002250DB">
          <w:rPr>
            <w:sz w:val="16"/>
            <w:szCs w:val="16"/>
          </w:rPr>
          <w:fldChar w:fldCharType="begin"/>
        </w:r>
        <w:r w:rsidR="002250DB" w:rsidRPr="002250DB">
          <w:rPr>
            <w:sz w:val="16"/>
            <w:szCs w:val="16"/>
          </w:rPr>
          <w:instrText xml:space="preserve"> PAGE   \* MERGEFORMAT </w:instrText>
        </w:r>
        <w:r w:rsidRPr="002250DB">
          <w:rPr>
            <w:sz w:val="16"/>
            <w:szCs w:val="16"/>
          </w:rPr>
          <w:fldChar w:fldCharType="separate"/>
        </w:r>
        <w:r w:rsidR="003F3A9F">
          <w:rPr>
            <w:noProof/>
            <w:sz w:val="16"/>
            <w:szCs w:val="16"/>
          </w:rPr>
          <w:t>1</w:t>
        </w:r>
        <w:r w:rsidRPr="002250DB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40" w:rsidRDefault="00AE4F40" w:rsidP="002250DB">
      <w:pPr>
        <w:spacing w:after="0" w:line="240" w:lineRule="auto"/>
      </w:pPr>
      <w:r>
        <w:separator/>
      </w:r>
    </w:p>
  </w:footnote>
  <w:footnote w:type="continuationSeparator" w:id="0">
    <w:p w:rsidR="00AE4F40" w:rsidRDefault="00AE4F40" w:rsidP="002C6647">
      <w:pPr>
        <w:spacing w:after="0" w:line="240" w:lineRule="auto"/>
      </w:pPr>
      <w:r>
        <w:continuationSeparator/>
      </w:r>
    </w:p>
  </w:footnote>
  <w:footnote w:id="1">
    <w:p w:rsidR="002250DB" w:rsidRDefault="002250DB" w:rsidP="002250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Viz </w:t>
      </w:r>
      <w:r w:rsidRPr="009B18A9">
        <w:rPr>
          <w:sz w:val="16"/>
          <w:szCs w:val="16"/>
        </w:rPr>
        <w:t>https://www.digitalnicesko.cz/</w:t>
      </w:r>
      <w:r w:rsidRPr="00411A05">
        <w:rPr>
          <w:sz w:val="16"/>
          <w:szCs w:val="16"/>
        </w:rPr>
        <w:t>.</w:t>
      </w:r>
    </w:p>
  </w:footnote>
  <w:footnote w:id="2">
    <w:p w:rsidR="002250DB" w:rsidRDefault="002250DB" w:rsidP="002250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11A05">
        <w:rPr>
          <w:sz w:val="16"/>
          <w:szCs w:val="16"/>
        </w:rPr>
        <w:t>Strategický rámec rozvoje veřejné správy České republiky pro období 2014 – 2020 je jediným národním koncepčním dokumentem v ČR, který stanovuje rozvoj veřejné správy na vymezené období. Tento dokument má v gesci Ministerstvo vnitra ČR a navazují na něj podrobné implementační plány.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75C9"/>
    <w:multiLevelType w:val="hybridMultilevel"/>
    <w:tmpl w:val="EE64F2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166FC"/>
    <w:multiLevelType w:val="hybridMultilevel"/>
    <w:tmpl w:val="404C2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F7026"/>
    <w:multiLevelType w:val="multilevel"/>
    <w:tmpl w:val="B88AFBD2"/>
    <w:lvl w:ilvl="0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  <w:color w:val="215868" w:themeColor="accent5" w:themeShade="80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605" w:hanging="605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ind w:left="582" w:hanging="58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9" w:hanging="55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6" w:hanging="536"/>
      </w:pPr>
      <w:rPr>
        <w:rFonts w:hint="default"/>
      </w:rPr>
    </w:lvl>
  </w:abstractNum>
  <w:abstractNum w:abstractNumId="3">
    <w:nsid w:val="6A396DEE"/>
    <w:multiLevelType w:val="hybridMultilevel"/>
    <w:tmpl w:val="0DFA96C6"/>
    <w:lvl w:ilvl="0" w:tplc="0405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necká Romana">
    <w15:presenceInfo w15:providerId="AD" w15:userId="S-1-5-21-4148595898-1066969861-3973425779-232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DB"/>
    <w:rsid w:val="00201426"/>
    <w:rsid w:val="002170FA"/>
    <w:rsid w:val="002250DB"/>
    <w:rsid w:val="002C6647"/>
    <w:rsid w:val="00361727"/>
    <w:rsid w:val="003F3A9F"/>
    <w:rsid w:val="006F73F6"/>
    <w:rsid w:val="00701B90"/>
    <w:rsid w:val="007E10AE"/>
    <w:rsid w:val="0083569E"/>
    <w:rsid w:val="00842BF2"/>
    <w:rsid w:val="009010B6"/>
    <w:rsid w:val="00A30F8B"/>
    <w:rsid w:val="00A36E8D"/>
    <w:rsid w:val="00A42A53"/>
    <w:rsid w:val="00AE4F40"/>
    <w:rsid w:val="00DC2BD7"/>
    <w:rsid w:val="00EC634C"/>
    <w:rsid w:val="00EF787B"/>
    <w:rsid w:val="00F76132"/>
    <w:rsid w:val="00F8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0D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2250DB"/>
    <w:pPr>
      <w:keepNext/>
      <w:keepLines/>
      <w:numPr>
        <w:numId w:val="1"/>
      </w:numPr>
      <w:spacing w:before="600" w:after="360"/>
      <w:outlineLvl w:val="0"/>
    </w:pPr>
    <w:rPr>
      <w:rFonts w:ascii="Century Gothic" w:eastAsia="Times New Roman" w:hAnsi="Century Gothic" w:cstheme="majorBidi"/>
      <w:b/>
      <w:bCs/>
      <w:smallCaps/>
      <w:color w:val="215868" w:themeColor="accent5" w:themeShade="8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50DB"/>
    <w:pPr>
      <w:keepNext/>
      <w:keepLines/>
      <w:numPr>
        <w:ilvl w:val="1"/>
        <w:numId w:val="1"/>
      </w:numPr>
      <w:spacing w:before="600" w:after="240"/>
      <w:outlineLvl w:val="1"/>
    </w:pPr>
    <w:rPr>
      <w:rFonts w:ascii="Century Gothic" w:eastAsiaTheme="majorEastAsia" w:hAnsi="Century Gothic" w:cstheme="majorBidi"/>
      <w:b/>
      <w:bCs/>
      <w:smallCaps/>
      <w:color w:val="31849B" w:themeColor="accent5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250DB"/>
    <w:pPr>
      <w:keepNext/>
      <w:keepLines/>
      <w:numPr>
        <w:ilvl w:val="2"/>
        <w:numId w:val="1"/>
      </w:numPr>
      <w:spacing w:before="240" w:after="240" w:line="240" w:lineRule="auto"/>
      <w:outlineLvl w:val="2"/>
    </w:pPr>
    <w:rPr>
      <w:rFonts w:ascii="Century Gothic" w:eastAsiaTheme="majorEastAsia" w:hAnsi="Century Gothic" w:cstheme="majorBidi"/>
      <w:b/>
      <w:bCs/>
      <w:smallCaps/>
      <w:color w:val="4BACC6" w:themeColor="accent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250DB"/>
    <w:pPr>
      <w:keepNext/>
      <w:keepLines/>
      <w:numPr>
        <w:ilvl w:val="3"/>
        <w:numId w:val="1"/>
      </w:numPr>
      <w:spacing w:before="200" w:after="0"/>
      <w:outlineLvl w:val="3"/>
    </w:pPr>
    <w:rPr>
      <w:rFonts w:ascii="Century Gothic" w:eastAsiaTheme="majorEastAsia" w:hAnsi="Century Gothic" w:cstheme="majorBidi"/>
      <w:b/>
      <w:bCs/>
      <w:iCs/>
      <w:smallCaps/>
      <w:color w:val="4BACC6" w:themeColor="accent5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250DB"/>
    <w:pPr>
      <w:keepNext/>
      <w:keepLines/>
      <w:numPr>
        <w:ilvl w:val="4"/>
        <w:numId w:val="1"/>
      </w:numPr>
      <w:spacing w:before="200" w:after="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250D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250D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50DB"/>
    <w:rPr>
      <w:rFonts w:ascii="Century Gothic" w:eastAsia="Times New Roman" w:hAnsi="Century Gothic" w:cstheme="majorBidi"/>
      <w:b/>
      <w:bCs/>
      <w:smallCaps/>
      <w:color w:val="215868" w:themeColor="accent5" w:themeShade="8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250DB"/>
    <w:rPr>
      <w:rFonts w:ascii="Century Gothic" w:eastAsiaTheme="majorEastAsia" w:hAnsi="Century Gothic" w:cstheme="majorBidi"/>
      <w:b/>
      <w:bCs/>
      <w:smallCaps/>
      <w:color w:val="31849B" w:themeColor="accent5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250DB"/>
    <w:rPr>
      <w:rFonts w:ascii="Century Gothic" w:eastAsiaTheme="majorEastAsia" w:hAnsi="Century Gothic" w:cstheme="majorBidi"/>
      <w:b/>
      <w:bCs/>
      <w:smallCaps/>
      <w:color w:val="4BACC6" w:themeColor="accent5"/>
    </w:rPr>
  </w:style>
  <w:style w:type="character" w:customStyle="1" w:styleId="Nadpis4Char">
    <w:name w:val="Nadpis 4 Char"/>
    <w:basedOn w:val="Standardnpsmoodstavce"/>
    <w:link w:val="Nadpis4"/>
    <w:uiPriority w:val="9"/>
    <w:rsid w:val="002250DB"/>
    <w:rPr>
      <w:rFonts w:ascii="Century Gothic" w:eastAsiaTheme="majorEastAsia" w:hAnsi="Century Gothic" w:cstheme="majorBidi"/>
      <w:b/>
      <w:bCs/>
      <w:iCs/>
      <w:smallCaps/>
      <w:color w:val="4BACC6" w:themeColor="accent5"/>
    </w:rPr>
  </w:style>
  <w:style w:type="character" w:customStyle="1" w:styleId="Nadpis5Char">
    <w:name w:val="Nadpis 5 Char"/>
    <w:basedOn w:val="Standardnpsmoodstavce"/>
    <w:link w:val="Nadpis5"/>
    <w:uiPriority w:val="9"/>
    <w:rsid w:val="002250DB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2250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250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ulek">
    <w:name w:val="caption"/>
    <w:basedOn w:val="Normln"/>
    <w:next w:val="Normln"/>
    <w:uiPriority w:val="35"/>
    <w:unhideWhenUsed/>
    <w:qFormat/>
    <w:rsid w:val="002250DB"/>
    <w:pPr>
      <w:spacing w:before="120" w:after="120" w:line="240" w:lineRule="auto"/>
      <w:jc w:val="left"/>
    </w:pPr>
    <w:rPr>
      <w:rFonts w:eastAsia="Times New Roman" w:cs="Times New Roman"/>
      <w:b/>
      <w:sz w:val="18"/>
      <w:szCs w:val="20"/>
    </w:rPr>
  </w:style>
  <w:style w:type="paragraph" w:styleId="Odstavecseseznamem">
    <w:name w:val="List Paragraph"/>
    <w:aliases w:val="Odstavec_muj,Heading Bullet,List Paragraph1,Nad,List Paragraph,Odstavec cíl se seznamem,Odstavec se seznamem5,Odrážky,Odrážky 1,cp_Odstavec se seznamem,Bullet Number,Bullet List,FooterText,numbered,Paragraphe de liste1,列出段落,列出段落1"/>
    <w:basedOn w:val="Normln"/>
    <w:link w:val="OdstavecseseznamemChar"/>
    <w:uiPriority w:val="34"/>
    <w:qFormat/>
    <w:rsid w:val="002250DB"/>
    <w:pPr>
      <w:ind w:left="720"/>
      <w:contextualSpacing/>
    </w:pPr>
  </w:style>
  <w:style w:type="character" w:customStyle="1" w:styleId="OdstavecseseznamemChar">
    <w:name w:val="Odstavec se seznamem Char"/>
    <w:aliases w:val="Odstavec_muj Char,Heading Bullet Char,List Paragraph1 Char,Nad Char,List Paragraph Char,Odstavec cíl se seznamem Char,Odstavec se seznamem5 Char,Odrážky Char,Odrážky 1 Char,cp_Odstavec se seznamem Char,Bullet Number Char"/>
    <w:link w:val="Odstavecseseznamem"/>
    <w:uiPriority w:val="34"/>
    <w:qFormat/>
    <w:rsid w:val="002250DB"/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unhideWhenUsed/>
    <w:qFormat/>
    <w:rsid w:val="002250D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rsid w:val="002250DB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unhideWhenUsed/>
    <w:rsid w:val="002250DB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2250D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50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qFormat/>
    <w:rsid w:val="002250DB"/>
    <w:rPr>
      <w:sz w:val="20"/>
      <w:szCs w:val="20"/>
    </w:rPr>
  </w:style>
  <w:style w:type="table" w:customStyle="1" w:styleId="MZestyl">
    <w:name w:val="MZe styl"/>
    <w:basedOn w:val="Normlntabulka"/>
    <w:uiPriority w:val="99"/>
    <w:rsid w:val="002250DB"/>
    <w:pPr>
      <w:spacing w:before="120" w:after="0" w:line="240" w:lineRule="auto"/>
    </w:pPr>
    <w:rPr>
      <w:rFonts w:ascii="Gill Sans MT" w:eastAsia="Times New Roman" w:hAnsi="Gill Sans MT" w:cs="Times New Roman"/>
      <w:szCs w:val="20"/>
      <w:lang w:eastAsia="cs-CZ"/>
    </w:rPr>
    <w:tblPr>
      <w:tblStyleRowBandSize w:val="1"/>
      <w:tblStyleColBandSize w:val="1"/>
      <w:tblInd w:w="0" w:type="dxa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  <w:color w:val="auto"/>
      </w:rPr>
      <w:tblPr/>
      <w:trPr>
        <w:cantSplit w:val="off"/>
        <w:tblHeader/>
      </w:trPr>
    </w:tblStylePr>
    <w:tblStylePr w:type="lastCol">
      <w:rPr>
        <w:b w:val="0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2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0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2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50DB"/>
  </w:style>
  <w:style w:type="paragraph" w:styleId="Zpat">
    <w:name w:val="footer"/>
    <w:basedOn w:val="Normln"/>
    <w:link w:val="ZpatChar"/>
    <w:uiPriority w:val="99"/>
    <w:unhideWhenUsed/>
    <w:rsid w:val="0022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0D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1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1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0D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2250DB"/>
    <w:pPr>
      <w:keepNext/>
      <w:keepLines/>
      <w:numPr>
        <w:numId w:val="1"/>
      </w:numPr>
      <w:spacing w:before="600" w:after="360"/>
      <w:outlineLvl w:val="0"/>
    </w:pPr>
    <w:rPr>
      <w:rFonts w:ascii="Century Gothic" w:eastAsia="Times New Roman" w:hAnsi="Century Gothic" w:cstheme="majorBidi"/>
      <w:b/>
      <w:bCs/>
      <w:smallCaps/>
      <w:color w:val="215868" w:themeColor="accent5" w:themeShade="8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50DB"/>
    <w:pPr>
      <w:keepNext/>
      <w:keepLines/>
      <w:numPr>
        <w:ilvl w:val="1"/>
        <w:numId w:val="1"/>
      </w:numPr>
      <w:spacing w:before="600" w:after="240"/>
      <w:outlineLvl w:val="1"/>
    </w:pPr>
    <w:rPr>
      <w:rFonts w:ascii="Century Gothic" w:eastAsiaTheme="majorEastAsia" w:hAnsi="Century Gothic" w:cstheme="majorBidi"/>
      <w:b/>
      <w:bCs/>
      <w:smallCaps/>
      <w:color w:val="31849B" w:themeColor="accent5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250DB"/>
    <w:pPr>
      <w:keepNext/>
      <w:keepLines/>
      <w:numPr>
        <w:ilvl w:val="2"/>
        <w:numId w:val="1"/>
      </w:numPr>
      <w:spacing w:before="240" w:after="240" w:line="240" w:lineRule="auto"/>
      <w:outlineLvl w:val="2"/>
    </w:pPr>
    <w:rPr>
      <w:rFonts w:ascii="Century Gothic" w:eastAsiaTheme="majorEastAsia" w:hAnsi="Century Gothic" w:cstheme="majorBidi"/>
      <w:b/>
      <w:bCs/>
      <w:smallCaps/>
      <w:color w:val="4BACC6" w:themeColor="accent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250DB"/>
    <w:pPr>
      <w:keepNext/>
      <w:keepLines/>
      <w:numPr>
        <w:ilvl w:val="3"/>
        <w:numId w:val="1"/>
      </w:numPr>
      <w:spacing w:before="200" w:after="0"/>
      <w:outlineLvl w:val="3"/>
    </w:pPr>
    <w:rPr>
      <w:rFonts w:ascii="Century Gothic" w:eastAsiaTheme="majorEastAsia" w:hAnsi="Century Gothic" w:cstheme="majorBidi"/>
      <w:b/>
      <w:bCs/>
      <w:iCs/>
      <w:smallCaps/>
      <w:color w:val="4BACC6" w:themeColor="accent5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250DB"/>
    <w:pPr>
      <w:keepNext/>
      <w:keepLines/>
      <w:numPr>
        <w:ilvl w:val="4"/>
        <w:numId w:val="1"/>
      </w:numPr>
      <w:spacing w:before="200" w:after="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250D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250D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50DB"/>
    <w:rPr>
      <w:rFonts w:ascii="Century Gothic" w:eastAsia="Times New Roman" w:hAnsi="Century Gothic" w:cstheme="majorBidi"/>
      <w:b/>
      <w:bCs/>
      <w:smallCaps/>
      <w:color w:val="215868" w:themeColor="accent5" w:themeShade="8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250DB"/>
    <w:rPr>
      <w:rFonts w:ascii="Century Gothic" w:eastAsiaTheme="majorEastAsia" w:hAnsi="Century Gothic" w:cstheme="majorBidi"/>
      <w:b/>
      <w:bCs/>
      <w:smallCaps/>
      <w:color w:val="31849B" w:themeColor="accent5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250DB"/>
    <w:rPr>
      <w:rFonts w:ascii="Century Gothic" w:eastAsiaTheme="majorEastAsia" w:hAnsi="Century Gothic" w:cstheme="majorBidi"/>
      <w:b/>
      <w:bCs/>
      <w:smallCaps/>
      <w:color w:val="4BACC6" w:themeColor="accent5"/>
    </w:rPr>
  </w:style>
  <w:style w:type="character" w:customStyle="1" w:styleId="Nadpis4Char">
    <w:name w:val="Nadpis 4 Char"/>
    <w:basedOn w:val="Standardnpsmoodstavce"/>
    <w:link w:val="Nadpis4"/>
    <w:uiPriority w:val="9"/>
    <w:rsid w:val="002250DB"/>
    <w:rPr>
      <w:rFonts w:ascii="Century Gothic" w:eastAsiaTheme="majorEastAsia" w:hAnsi="Century Gothic" w:cstheme="majorBidi"/>
      <w:b/>
      <w:bCs/>
      <w:iCs/>
      <w:smallCaps/>
      <w:color w:val="4BACC6" w:themeColor="accent5"/>
    </w:rPr>
  </w:style>
  <w:style w:type="character" w:customStyle="1" w:styleId="Nadpis5Char">
    <w:name w:val="Nadpis 5 Char"/>
    <w:basedOn w:val="Standardnpsmoodstavce"/>
    <w:link w:val="Nadpis5"/>
    <w:uiPriority w:val="9"/>
    <w:rsid w:val="002250DB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2250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250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ulek">
    <w:name w:val="caption"/>
    <w:basedOn w:val="Normln"/>
    <w:next w:val="Normln"/>
    <w:uiPriority w:val="35"/>
    <w:unhideWhenUsed/>
    <w:qFormat/>
    <w:rsid w:val="002250DB"/>
    <w:pPr>
      <w:spacing w:before="120" w:after="120" w:line="240" w:lineRule="auto"/>
      <w:jc w:val="left"/>
    </w:pPr>
    <w:rPr>
      <w:rFonts w:eastAsia="Times New Roman" w:cs="Times New Roman"/>
      <w:b/>
      <w:sz w:val="18"/>
      <w:szCs w:val="20"/>
    </w:rPr>
  </w:style>
  <w:style w:type="paragraph" w:styleId="Odstavecseseznamem">
    <w:name w:val="List Paragraph"/>
    <w:aliases w:val="Odstavec_muj,Heading Bullet,List Paragraph1,Nad,List Paragraph,Odstavec cíl se seznamem,Odstavec se seznamem5,Odrážky,Odrážky 1,cp_Odstavec se seznamem,Bullet Number,Bullet List,FooterText,numbered,Paragraphe de liste1,列出段落,列出段落1"/>
    <w:basedOn w:val="Normln"/>
    <w:link w:val="OdstavecseseznamemChar"/>
    <w:uiPriority w:val="34"/>
    <w:qFormat/>
    <w:rsid w:val="002250DB"/>
    <w:pPr>
      <w:ind w:left="720"/>
      <w:contextualSpacing/>
    </w:pPr>
  </w:style>
  <w:style w:type="character" w:customStyle="1" w:styleId="OdstavecseseznamemChar">
    <w:name w:val="Odstavec se seznamem Char"/>
    <w:aliases w:val="Odstavec_muj Char,Heading Bullet Char,List Paragraph1 Char,Nad Char,List Paragraph Char,Odstavec cíl se seznamem Char,Odstavec se seznamem5 Char,Odrážky Char,Odrážky 1 Char,cp_Odstavec se seznamem Char,Bullet Number Char"/>
    <w:link w:val="Odstavecseseznamem"/>
    <w:uiPriority w:val="34"/>
    <w:qFormat/>
    <w:rsid w:val="002250DB"/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unhideWhenUsed/>
    <w:qFormat/>
    <w:rsid w:val="002250D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rsid w:val="002250DB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unhideWhenUsed/>
    <w:rsid w:val="002250DB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2250D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50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qFormat/>
    <w:rsid w:val="002250DB"/>
    <w:rPr>
      <w:sz w:val="20"/>
      <w:szCs w:val="20"/>
    </w:rPr>
  </w:style>
  <w:style w:type="table" w:customStyle="1" w:styleId="MZestyl">
    <w:name w:val="MZe styl"/>
    <w:basedOn w:val="Normlntabulka"/>
    <w:uiPriority w:val="99"/>
    <w:rsid w:val="002250DB"/>
    <w:pPr>
      <w:spacing w:before="120" w:after="0" w:line="240" w:lineRule="auto"/>
    </w:pPr>
    <w:rPr>
      <w:rFonts w:ascii="Gill Sans MT" w:eastAsia="Times New Roman" w:hAnsi="Gill Sans MT" w:cs="Times New Roman"/>
      <w:szCs w:val="20"/>
      <w:lang w:eastAsia="cs-CZ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2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0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2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50DB"/>
  </w:style>
  <w:style w:type="paragraph" w:styleId="Zpat">
    <w:name w:val="footer"/>
    <w:basedOn w:val="Normln"/>
    <w:link w:val="ZpatChar"/>
    <w:uiPriority w:val="99"/>
    <w:unhideWhenUsed/>
    <w:rsid w:val="0022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0D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1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13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B08F5F837E7140AFB01F97A4199897" ma:contentTypeVersion="12" ma:contentTypeDescription="Vytvoří nový dokument" ma:contentTypeScope="" ma:versionID="76c16f0f9219777dbdde6a0683985413">
  <xsd:schema xmlns:xsd="http://www.w3.org/2001/XMLSchema" xmlns:xs="http://www.w3.org/2001/XMLSchema" xmlns:p="http://schemas.microsoft.com/office/2006/metadata/properties" xmlns:ns2="0fb91485-b6ad-48dd-ac82-06d2327e3d58" xmlns:ns3="66219f50-7d5f-4fe2-9a94-64ae002d2cba" targetNamespace="http://schemas.microsoft.com/office/2006/metadata/properties" ma:root="true" ma:fieldsID="10e9d3a5d6c5da6e51939606a66410db" ns2:_="" ns3:_="">
    <xsd:import namespace="0fb91485-b6ad-48dd-ac82-06d2327e3d58"/>
    <xsd:import namespace="66219f50-7d5f-4fe2-9a94-64ae002d2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1485-b6ad-48dd-ac82-06d2327e3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19f50-7d5f-4fe2-9a94-64ae002d2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F575B-324F-4EEF-A77D-2E0269EDD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E5C7D-7894-45A0-9F8A-6190ED1BA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91485-b6ad-48dd-ac82-06d2327e3d58"/>
    <ds:schemaRef ds:uri="66219f50-7d5f-4fe2-9a94-64ae002d2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C849A-CEF5-4A34-ACF9-1215A50F6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ACE45-A606-4AE6-A38E-F5EC4B16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Jencek</cp:lastModifiedBy>
  <cp:revision>2</cp:revision>
  <dcterms:created xsi:type="dcterms:W3CDTF">2021-01-04T18:21:00Z</dcterms:created>
  <dcterms:modified xsi:type="dcterms:W3CDTF">2021-01-04T18:21:00Z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0x0101001BB08F5F837E7140AFB01F97A4199897</vt:lpwstr>
  </property>
</Properties>
</file>