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A49916" w14:textId="77777777" w:rsidR="00D316D9" w:rsidRPr="007B231E" w:rsidRDefault="00D316D9">
      <w:pPr>
        <w:rPr>
          <w:rFonts w:cs="Arial"/>
          <w:szCs w:val="20"/>
        </w:rPr>
      </w:pPr>
    </w:p>
    <w:p w14:paraId="1291B690" w14:textId="0349A612" w:rsidR="00B265C8" w:rsidRPr="002D0DE0" w:rsidRDefault="00B265C8" w:rsidP="002D0DE0">
      <w:pPr>
        <w:autoSpaceDE w:val="0"/>
        <w:autoSpaceDN w:val="0"/>
        <w:adjustRightInd w:val="0"/>
        <w:spacing w:after="120" w:line="280" w:lineRule="atLeast"/>
        <w:jc w:val="center"/>
        <w:rPr>
          <w:rFonts w:cs="Arial"/>
          <w:b/>
          <w:bCs/>
          <w:sz w:val="22"/>
        </w:rPr>
      </w:pPr>
      <w:r w:rsidRPr="002D0DE0">
        <w:rPr>
          <w:rFonts w:cs="Arial"/>
          <w:b/>
          <w:sz w:val="22"/>
        </w:rPr>
        <w:t xml:space="preserve">Smlouva </w:t>
      </w:r>
      <w:r w:rsidR="002910D3" w:rsidRPr="002D0DE0">
        <w:rPr>
          <w:rFonts w:cs="Arial"/>
          <w:b/>
          <w:sz w:val="22"/>
        </w:rPr>
        <w:t xml:space="preserve">na </w:t>
      </w:r>
      <w:r w:rsidR="00D75334" w:rsidRPr="002D0DE0">
        <w:rPr>
          <w:rFonts w:cs="Arial"/>
          <w:b/>
          <w:bCs/>
          <w:sz w:val="22"/>
        </w:rPr>
        <w:t xml:space="preserve">pořízení </w:t>
      </w:r>
      <w:r w:rsidR="004C3EDE">
        <w:rPr>
          <w:rFonts w:cs="Arial"/>
          <w:b/>
          <w:bCs/>
          <w:sz w:val="22"/>
        </w:rPr>
        <w:t>hardware a licerncí pro zálohování</w:t>
      </w:r>
    </w:p>
    <w:p w14:paraId="7B15766B" w14:textId="77777777" w:rsidR="00DD6BDD" w:rsidRPr="002D0DE0" w:rsidRDefault="00DD6BDD" w:rsidP="002D0DE0">
      <w:pPr>
        <w:spacing w:after="120" w:line="280" w:lineRule="atLeast"/>
        <w:jc w:val="center"/>
        <w:rPr>
          <w:rFonts w:cs="Arial"/>
          <w:szCs w:val="20"/>
        </w:rPr>
      </w:pPr>
      <w:r w:rsidRPr="007B231E">
        <w:rPr>
          <w:rFonts w:cs="Arial"/>
          <w:szCs w:val="20"/>
        </w:rPr>
        <w:t xml:space="preserve">uzavřená podle § 1746 odst. 2 a § 2358 a násl. zákona č. 89/2012 Sb., </w:t>
      </w:r>
      <w:r w:rsidR="00D75334">
        <w:rPr>
          <w:rFonts w:cs="Arial"/>
          <w:szCs w:val="20"/>
        </w:rPr>
        <w:t>občanský zákoník</w:t>
      </w:r>
      <w:r w:rsidRPr="007B231E">
        <w:rPr>
          <w:rFonts w:cs="Arial"/>
          <w:szCs w:val="20"/>
        </w:rPr>
        <w:t>, ve znění pozdějších předpisů</w:t>
      </w:r>
      <w:r w:rsidR="00EE497C" w:rsidRPr="007B231E">
        <w:rPr>
          <w:rFonts w:cs="Arial"/>
          <w:szCs w:val="20"/>
        </w:rPr>
        <w:t>, a</w:t>
      </w:r>
      <w:r w:rsidR="00EE497C" w:rsidRPr="007B231E">
        <w:rPr>
          <w:rFonts w:eastAsia="Times New Roman" w:cs="Arial"/>
          <w:szCs w:val="20"/>
        </w:rPr>
        <w:t xml:space="preserve"> v souladu se zákonem č. 121/2000 Sb., o právu autorském, o právech souvisejících s právem autorským a o změně některých zákonů (autorský zákon), ve znění pozdějších předpisů</w:t>
      </w:r>
    </w:p>
    <w:p w14:paraId="016CEB59" w14:textId="77777777" w:rsidR="00DD6BDD" w:rsidRPr="007B231E" w:rsidRDefault="00B265C8" w:rsidP="00D03EA2">
      <w:pPr>
        <w:spacing w:after="120"/>
        <w:contextualSpacing/>
        <w:jc w:val="center"/>
        <w:rPr>
          <w:rFonts w:cs="Arial"/>
          <w:szCs w:val="20"/>
        </w:rPr>
      </w:pPr>
      <w:r w:rsidRPr="007B231E">
        <w:rPr>
          <w:rFonts w:cs="Arial"/>
          <w:szCs w:val="20"/>
        </w:rPr>
        <w:t>(dále jen</w:t>
      </w:r>
      <w:r w:rsidRPr="007B231E">
        <w:rPr>
          <w:rFonts w:cs="Arial"/>
          <w:b/>
          <w:szCs w:val="20"/>
        </w:rPr>
        <w:t xml:space="preserve"> „Smlouva“</w:t>
      </w:r>
      <w:r w:rsidRPr="007B231E">
        <w:rPr>
          <w:rFonts w:cs="Arial"/>
          <w:szCs w:val="20"/>
        </w:rPr>
        <w:t>)</w:t>
      </w:r>
    </w:p>
    <w:p w14:paraId="2EC99590" w14:textId="77777777" w:rsidR="00D75334" w:rsidRDefault="00D75334" w:rsidP="00D75334">
      <w:pPr>
        <w:spacing w:line="280" w:lineRule="atLeast"/>
        <w:contextualSpacing/>
        <w:jc w:val="center"/>
        <w:rPr>
          <w:rFonts w:cs="Arial"/>
          <w:b/>
          <w:szCs w:val="20"/>
        </w:rPr>
      </w:pPr>
    </w:p>
    <w:p w14:paraId="067B7DFF" w14:textId="77777777" w:rsidR="00B265C8" w:rsidRDefault="00DD6BDD" w:rsidP="00D75334">
      <w:pPr>
        <w:spacing w:line="280" w:lineRule="atLeast"/>
        <w:contextualSpacing/>
        <w:jc w:val="center"/>
        <w:rPr>
          <w:rFonts w:cs="Arial"/>
          <w:b/>
          <w:szCs w:val="20"/>
        </w:rPr>
      </w:pPr>
      <w:r w:rsidRPr="007B231E">
        <w:rPr>
          <w:rFonts w:cs="Arial"/>
          <w:b/>
          <w:szCs w:val="20"/>
        </w:rPr>
        <w:t>Smluvní strany</w:t>
      </w:r>
      <w:r w:rsidR="00B265C8" w:rsidRPr="007B231E">
        <w:rPr>
          <w:rFonts w:cs="Arial"/>
          <w:b/>
          <w:szCs w:val="20"/>
        </w:rPr>
        <w:t>:</w:t>
      </w:r>
    </w:p>
    <w:p w14:paraId="4A9D5A75" w14:textId="77777777" w:rsidR="00D75334" w:rsidRPr="007B231E" w:rsidRDefault="00D75334" w:rsidP="00D75334">
      <w:pPr>
        <w:spacing w:line="280" w:lineRule="atLeast"/>
        <w:contextualSpacing/>
        <w:jc w:val="center"/>
        <w:rPr>
          <w:rFonts w:cs="Arial"/>
          <w:b/>
          <w:szCs w:val="20"/>
        </w:rPr>
      </w:pPr>
    </w:p>
    <w:p w14:paraId="11A40489" w14:textId="77777777" w:rsidR="00AF5626" w:rsidRPr="00AC7013" w:rsidRDefault="00AF5626" w:rsidP="00AF5626">
      <w:pPr>
        <w:widowControl w:val="0"/>
        <w:spacing w:after="0"/>
        <w:jc w:val="left"/>
        <w:outlineLvl w:val="1"/>
        <w:rPr>
          <w:rFonts w:cs="Arial"/>
          <w:b/>
          <w:i/>
          <w:szCs w:val="20"/>
          <w:u w:val="single"/>
        </w:rPr>
      </w:pPr>
      <w:r>
        <w:rPr>
          <w:rFonts w:cs="Arial"/>
          <w:b/>
          <w:szCs w:val="20"/>
          <w:u w:val="single"/>
        </w:rPr>
        <w:t>Podpůrný a garanční rolnický a lesnický fond, a.s.</w:t>
      </w:r>
    </w:p>
    <w:p w14:paraId="5C4EC0ED" w14:textId="77777777" w:rsidR="00AF5626" w:rsidRPr="00AC7013" w:rsidRDefault="00AF5626" w:rsidP="00AF5626">
      <w:pPr>
        <w:tabs>
          <w:tab w:val="left" w:pos="1701"/>
        </w:tabs>
        <w:rPr>
          <w:rFonts w:cs="Arial"/>
          <w:szCs w:val="20"/>
        </w:rPr>
      </w:pPr>
      <w:r>
        <w:rPr>
          <w:rFonts w:cs="Arial"/>
          <w:szCs w:val="20"/>
        </w:rPr>
        <w:t>se sídlem:</w:t>
      </w:r>
      <w:r>
        <w:rPr>
          <w:rFonts w:cs="Arial"/>
          <w:szCs w:val="20"/>
        </w:rPr>
        <w:tab/>
        <w:t xml:space="preserve"> </w:t>
      </w:r>
      <w:r>
        <w:rPr>
          <w:rFonts w:cs="Arial"/>
          <w:szCs w:val="20"/>
        </w:rPr>
        <w:tab/>
      </w:r>
      <w:r>
        <w:rPr>
          <w:rFonts w:cs="Arial"/>
          <w:szCs w:val="20"/>
        </w:rPr>
        <w:tab/>
        <w:t>Sokolovská 394/17, 186 00 Praha</w:t>
      </w:r>
    </w:p>
    <w:p w14:paraId="544C3709" w14:textId="77777777" w:rsidR="00AF5626" w:rsidRPr="00AC7013" w:rsidRDefault="00AF5626" w:rsidP="00AF5626">
      <w:pPr>
        <w:tabs>
          <w:tab w:val="left" w:pos="1701"/>
        </w:tabs>
        <w:rPr>
          <w:rFonts w:cs="Arial"/>
          <w:szCs w:val="20"/>
        </w:rPr>
      </w:pPr>
      <w:r w:rsidRPr="00AC7013">
        <w:rPr>
          <w:rFonts w:cs="Arial"/>
          <w:szCs w:val="20"/>
        </w:rPr>
        <w:t xml:space="preserve">kterou zastupuje: </w:t>
      </w:r>
      <w:r w:rsidRPr="00AC7013">
        <w:rPr>
          <w:rFonts w:cs="Arial"/>
          <w:szCs w:val="20"/>
        </w:rPr>
        <w:tab/>
      </w:r>
      <w:r w:rsidRPr="00AC7013">
        <w:rPr>
          <w:rFonts w:cs="Arial"/>
          <w:szCs w:val="20"/>
        </w:rPr>
        <w:tab/>
      </w:r>
      <w:r w:rsidRPr="00AC7013">
        <w:rPr>
          <w:rFonts w:cs="Arial"/>
          <w:szCs w:val="20"/>
        </w:rPr>
        <w:tab/>
        <w:t xml:space="preserve">Ing. </w:t>
      </w:r>
      <w:r>
        <w:rPr>
          <w:rFonts w:cs="Arial"/>
          <w:szCs w:val="20"/>
        </w:rPr>
        <w:t>Mgr. Vladimír Eck, předseda představenstva</w:t>
      </w:r>
      <w:r w:rsidRPr="00AC7013">
        <w:rPr>
          <w:rFonts w:cs="Arial"/>
          <w:szCs w:val="20"/>
        </w:rPr>
        <w:t xml:space="preserve"> </w:t>
      </w:r>
    </w:p>
    <w:p w14:paraId="0AE8468A" w14:textId="77777777" w:rsidR="00AF5626" w:rsidRPr="00AC7013" w:rsidRDefault="00AF5626" w:rsidP="00AF5626">
      <w:pPr>
        <w:tabs>
          <w:tab w:val="left" w:pos="1701"/>
        </w:tabs>
        <w:rPr>
          <w:rFonts w:cs="Arial"/>
          <w:szCs w:val="20"/>
        </w:rPr>
      </w:pPr>
      <w:r>
        <w:rPr>
          <w:rFonts w:cs="Arial"/>
          <w:szCs w:val="20"/>
        </w:rPr>
        <w:t xml:space="preserve">IČO: </w:t>
      </w:r>
      <w:r>
        <w:rPr>
          <w:rFonts w:cs="Arial"/>
          <w:szCs w:val="20"/>
        </w:rPr>
        <w:tab/>
      </w:r>
      <w:r>
        <w:rPr>
          <w:rFonts w:cs="Arial"/>
          <w:szCs w:val="20"/>
        </w:rPr>
        <w:tab/>
      </w:r>
      <w:r>
        <w:rPr>
          <w:rFonts w:cs="Arial"/>
          <w:szCs w:val="20"/>
        </w:rPr>
        <w:tab/>
        <w:t>49241494</w:t>
      </w:r>
    </w:p>
    <w:p w14:paraId="0BE6CFB0" w14:textId="77777777" w:rsidR="00AF5626" w:rsidRPr="00AC7013" w:rsidRDefault="00AF5626" w:rsidP="00AF5626">
      <w:pPr>
        <w:tabs>
          <w:tab w:val="left" w:pos="1701"/>
        </w:tabs>
        <w:rPr>
          <w:rFonts w:cs="Arial"/>
          <w:szCs w:val="20"/>
        </w:rPr>
      </w:pPr>
      <w:r>
        <w:rPr>
          <w:rFonts w:cs="Arial"/>
          <w:szCs w:val="20"/>
        </w:rPr>
        <w:t>DIČ:</w:t>
      </w:r>
      <w:r>
        <w:rPr>
          <w:rFonts w:cs="Arial"/>
          <w:szCs w:val="20"/>
        </w:rPr>
        <w:tab/>
      </w:r>
      <w:r>
        <w:rPr>
          <w:rFonts w:cs="Arial"/>
          <w:szCs w:val="20"/>
        </w:rPr>
        <w:tab/>
      </w:r>
      <w:r>
        <w:rPr>
          <w:rFonts w:cs="Arial"/>
          <w:szCs w:val="20"/>
        </w:rPr>
        <w:tab/>
        <w:t>CZ 49241494</w:t>
      </w:r>
    </w:p>
    <w:p w14:paraId="30BA4537" w14:textId="77777777" w:rsidR="00AF5626" w:rsidRDefault="00AF5626" w:rsidP="00AF5626">
      <w:pPr>
        <w:tabs>
          <w:tab w:val="left" w:pos="1701"/>
        </w:tabs>
        <w:ind w:left="425"/>
        <w:rPr>
          <w:rFonts w:cs="Arial"/>
          <w:szCs w:val="20"/>
        </w:rPr>
      </w:pPr>
    </w:p>
    <w:p w14:paraId="74FE243F" w14:textId="77777777" w:rsidR="00AF5626" w:rsidRPr="00AC7013" w:rsidRDefault="00AF5626" w:rsidP="00AF5626">
      <w:pPr>
        <w:tabs>
          <w:tab w:val="left" w:pos="1701"/>
        </w:tabs>
        <w:ind w:left="425"/>
        <w:rPr>
          <w:rFonts w:cs="Arial"/>
          <w:szCs w:val="20"/>
        </w:rPr>
      </w:pPr>
      <w:r w:rsidRPr="00AC7013">
        <w:rPr>
          <w:rFonts w:cs="Arial"/>
          <w:szCs w:val="20"/>
        </w:rPr>
        <w:t xml:space="preserve"> (dále jen „</w:t>
      </w:r>
      <w:r>
        <w:rPr>
          <w:rFonts w:cs="Arial"/>
          <w:szCs w:val="20"/>
        </w:rPr>
        <w:t>PGRLF</w:t>
      </w:r>
      <w:r w:rsidRPr="00AC7013">
        <w:rPr>
          <w:rFonts w:cs="Arial"/>
          <w:szCs w:val="20"/>
        </w:rPr>
        <w:t>“ nebo „Objednatel“)</w:t>
      </w:r>
    </w:p>
    <w:p w14:paraId="42B3BE21" w14:textId="77777777" w:rsidR="00B265C8" w:rsidRPr="00D75334" w:rsidRDefault="00DD6BDD" w:rsidP="00D75334">
      <w:pPr>
        <w:keepNext/>
        <w:spacing w:after="120"/>
        <w:jc w:val="left"/>
        <w:rPr>
          <w:rFonts w:cs="Arial"/>
          <w:b/>
          <w:szCs w:val="20"/>
        </w:rPr>
      </w:pPr>
      <w:r w:rsidRPr="00D75334">
        <w:rPr>
          <w:rFonts w:cs="Arial"/>
          <w:b/>
          <w:szCs w:val="20"/>
        </w:rPr>
        <w:t>a</w:t>
      </w:r>
    </w:p>
    <w:p w14:paraId="0491E1A4" w14:textId="77777777" w:rsidR="00B265C8" w:rsidRPr="007B231E" w:rsidRDefault="00B265C8" w:rsidP="00D75334">
      <w:pPr>
        <w:widowControl w:val="0"/>
        <w:spacing w:after="120" w:line="276" w:lineRule="auto"/>
        <w:contextualSpacing/>
        <w:outlineLvl w:val="1"/>
        <w:rPr>
          <w:rFonts w:cs="Arial"/>
          <w:b/>
          <w:bCs/>
          <w:szCs w:val="20"/>
          <w:highlight w:val="yellow"/>
        </w:rPr>
      </w:pPr>
      <w:r w:rsidRPr="007B231E">
        <w:rPr>
          <w:rFonts w:cs="Arial"/>
          <w:b/>
          <w:bCs/>
          <w:szCs w:val="20"/>
          <w:highlight w:val="yellow"/>
        </w:rPr>
        <w:t>[doplní Poskytovatel]</w:t>
      </w:r>
    </w:p>
    <w:p w14:paraId="6B8A0866" w14:textId="77777777" w:rsidR="00B265C8" w:rsidRPr="007B231E" w:rsidRDefault="00B265C8" w:rsidP="00B265C8">
      <w:pPr>
        <w:tabs>
          <w:tab w:val="left" w:pos="1701"/>
        </w:tabs>
        <w:spacing w:after="120" w:line="276" w:lineRule="auto"/>
        <w:contextualSpacing/>
        <w:rPr>
          <w:rFonts w:cs="Arial"/>
          <w:szCs w:val="20"/>
        </w:rPr>
      </w:pPr>
      <w:r w:rsidRPr="007B231E">
        <w:rPr>
          <w:rFonts w:cs="Arial"/>
          <w:szCs w:val="20"/>
        </w:rPr>
        <w:t>se sídlem:</w:t>
      </w:r>
      <w:r w:rsidRPr="007B231E">
        <w:rPr>
          <w:rFonts w:cs="Arial"/>
          <w:szCs w:val="20"/>
        </w:rPr>
        <w:tab/>
      </w:r>
      <w:r w:rsidRPr="007B231E">
        <w:rPr>
          <w:rFonts w:cs="Arial"/>
          <w:szCs w:val="20"/>
        </w:rPr>
        <w:tab/>
      </w:r>
      <w:r w:rsidRPr="007B231E">
        <w:rPr>
          <w:rFonts w:cs="Arial"/>
          <w:szCs w:val="20"/>
          <w:highlight w:val="yellow"/>
        </w:rPr>
        <w:t>[doplní Poskytovatel]</w:t>
      </w:r>
    </w:p>
    <w:p w14:paraId="29711742" w14:textId="77777777" w:rsidR="00B265C8" w:rsidRPr="007B231E" w:rsidRDefault="00B265C8" w:rsidP="00B265C8">
      <w:pPr>
        <w:tabs>
          <w:tab w:val="left" w:pos="1701"/>
        </w:tabs>
        <w:spacing w:after="120" w:line="276" w:lineRule="auto"/>
        <w:contextualSpacing/>
        <w:rPr>
          <w:rFonts w:cs="Arial"/>
          <w:szCs w:val="20"/>
        </w:rPr>
      </w:pPr>
      <w:r w:rsidRPr="007B231E">
        <w:rPr>
          <w:rFonts w:cs="Arial"/>
          <w:szCs w:val="20"/>
        </w:rPr>
        <w:t>kterou zastupuje/jí:</w:t>
      </w:r>
      <w:r w:rsidRPr="007B231E">
        <w:rPr>
          <w:rFonts w:cs="Arial"/>
          <w:szCs w:val="20"/>
        </w:rPr>
        <w:tab/>
      </w:r>
      <w:r w:rsidR="007B231E">
        <w:rPr>
          <w:rFonts w:cs="Arial"/>
          <w:szCs w:val="20"/>
        </w:rPr>
        <w:tab/>
      </w:r>
      <w:r w:rsidRPr="007B231E">
        <w:rPr>
          <w:rFonts w:cs="Arial"/>
          <w:szCs w:val="20"/>
          <w:highlight w:val="yellow"/>
        </w:rPr>
        <w:t>[doplní Poskytovatel]</w:t>
      </w:r>
    </w:p>
    <w:p w14:paraId="72960F86" w14:textId="77777777" w:rsidR="00B265C8" w:rsidRPr="007B231E" w:rsidRDefault="00B265C8" w:rsidP="00B265C8">
      <w:pPr>
        <w:tabs>
          <w:tab w:val="left" w:pos="1701"/>
        </w:tabs>
        <w:spacing w:after="120" w:line="276" w:lineRule="auto"/>
        <w:contextualSpacing/>
        <w:rPr>
          <w:rFonts w:cs="Arial"/>
          <w:szCs w:val="20"/>
        </w:rPr>
      </w:pPr>
      <w:r w:rsidRPr="007B231E">
        <w:rPr>
          <w:rFonts w:cs="Arial"/>
          <w:szCs w:val="20"/>
        </w:rPr>
        <w:t>IČO:</w:t>
      </w:r>
      <w:r w:rsidRPr="007B231E">
        <w:rPr>
          <w:rFonts w:cs="Arial"/>
          <w:szCs w:val="20"/>
        </w:rPr>
        <w:tab/>
      </w:r>
      <w:r w:rsidRPr="007B231E">
        <w:rPr>
          <w:rFonts w:cs="Arial"/>
          <w:szCs w:val="20"/>
        </w:rPr>
        <w:tab/>
      </w:r>
      <w:r w:rsidRPr="007B231E">
        <w:rPr>
          <w:rFonts w:cs="Arial"/>
          <w:szCs w:val="20"/>
          <w:highlight w:val="yellow"/>
        </w:rPr>
        <w:t>[doplní Poskytovatel]</w:t>
      </w:r>
    </w:p>
    <w:p w14:paraId="01DE6BA3" w14:textId="77777777" w:rsidR="00B265C8" w:rsidRPr="007B231E" w:rsidRDefault="00B265C8" w:rsidP="00B265C8">
      <w:pPr>
        <w:tabs>
          <w:tab w:val="left" w:pos="1701"/>
        </w:tabs>
        <w:spacing w:after="120" w:line="276" w:lineRule="auto"/>
        <w:contextualSpacing/>
        <w:rPr>
          <w:rFonts w:cs="Arial"/>
          <w:szCs w:val="20"/>
        </w:rPr>
      </w:pPr>
      <w:r w:rsidRPr="007B231E">
        <w:rPr>
          <w:rFonts w:cs="Arial"/>
          <w:szCs w:val="20"/>
        </w:rPr>
        <w:t>DIČ:</w:t>
      </w:r>
      <w:r w:rsidRPr="007B231E">
        <w:rPr>
          <w:rFonts w:cs="Arial"/>
          <w:szCs w:val="20"/>
        </w:rPr>
        <w:tab/>
      </w:r>
      <w:r w:rsidRPr="007B231E">
        <w:rPr>
          <w:rFonts w:cs="Arial"/>
          <w:szCs w:val="20"/>
        </w:rPr>
        <w:tab/>
      </w:r>
      <w:r w:rsidRPr="007B231E">
        <w:rPr>
          <w:rFonts w:cs="Arial"/>
          <w:szCs w:val="20"/>
          <w:highlight w:val="yellow"/>
        </w:rPr>
        <w:t>[doplní Poskytovatel]</w:t>
      </w:r>
    </w:p>
    <w:p w14:paraId="4CD40BAE" w14:textId="77777777" w:rsidR="00B265C8" w:rsidRPr="007B231E" w:rsidRDefault="00B265C8" w:rsidP="00B265C8">
      <w:pPr>
        <w:tabs>
          <w:tab w:val="left" w:pos="1701"/>
        </w:tabs>
        <w:spacing w:after="120" w:line="276" w:lineRule="auto"/>
        <w:contextualSpacing/>
        <w:rPr>
          <w:rFonts w:cs="Arial"/>
          <w:szCs w:val="20"/>
        </w:rPr>
      </w:pPr>
      <w:r w:rsidRPr="007B231E">
        <w:rPr>
          <w:rFonts w:cs="Arial"/>
          <w:szCs w:val="20"/>
        </w:rPr>
        <w:t>Bankovní spojení:</w:t>
      </w:r>
      <w:r w:rsidRPr="007B231E">
        <w:rPr>
          <w:rFonts w:cs="Arial"/>
          <w:szCs w:val="20"/>
        </w:rPr>
        <w:tab/>
      </w:r>
      <w:r w:rsidR="007B231E">
        <w:rPr>
          <w:rFonts w:cs="Arial"/>
          <w:szCs w:val="20"/>
        </w:rPr>
        <w:tab/>
      </w:r>
      <w:r w:rsidRPr="007B231E">
        <w:rPr>
          <w:rFonts w:cs="Arial"/>
          <w:szCs w:val="20"/>
          <w:highlight w:val="yellow"/>
        </w:rPr>
        <w:t>[doplní Poskytovatel]</w:t>
      </w:r>
    </w:p>
    <w:p w14:paraId="7DD0E648" w14:textId="77777777" w:rsidR="00B265C8" w:rsidRPr="007B231E" w:rsidRDefault="00B265C8" w:rsidP="00014BAA">
      <w:pPr>
        <w:tabs>
          <w:tab w:val="left" w:pos="1701"/>
        </w:tabs>
        <w:spacing w:after="120" w:line="276" w:lineRule="auto"/>
        <w:jc w:val="left"/>
        <w:rPr>
          <w:rFonts w:cs="Arial"/>
          <w:szCs w:val="20"/>
        </w:rPr>
      </w:pPr>
      <w:r w:rsidRPr="007B231E">
        <w:rPr>
          <w:rFonts w:cs="Arial"/>
          <w:szCs w:val="20"/>
        </w:rPr>
        <w:t>Číslo účtu:</w:t>
      </w:r>
      <w:r w:rsidRPr="007B231E">
        <w:rPr>
          <w:rFonts w:cs="Arial"/>
          <w:szCs w:val="20"/>
        </w:rPr>
        <w:tab/>
      </w:r>
      <w:r w:rsidR="007B231E">
        <w:rPr>
          <w:rFonts w:cs="Arial"/>
          <w:szCs w:val="20"/>
        </w:rPr>
        <w:tab/>
      </w:r>
      <w:r w:rsidRPr="007B231E">
        <w:rPr>
          <w:rFonts w:cs="Arial"/>
          <w:szCs w:val="20"/>
          <w:highlight w:val="yellow"/>
        </w:rPr>
        <w:t>[doplní Poskytovatel]</w:t>
      </w:r>
      <w:r w:rsidRPr="007B231E">
        <w:rPr>
          <w:rFonts w:cs="Arial"/>
          <w:szCs w:val="20"/>
        </w:rPr>
        <w:br/>
        <w:t>Zapsaná v</w:t>
      </w:r>
      <w:r w:rsidR="00D75334">
        <w:rPr>
          <w:rFonts w:cs="Arial"/>
          <w:szCs w:val="20"/>
        </w:rPr>
        <w:t xml:space="preserve"> </w:t>
      </w:r>
      <w:r w:rsidRPr="007B231E">
        <w:rPr>
          <w:rFonts w:cs="Arial"/>
          <w:szCs w:val="20"/>
          <w:highlight w:val="yellow"/>
        </w:rPr>
        <w:t>[doplní Poskytovatel]</w:t>
      </w:r>
      <w:r w:rsidR="00D75334">
        <w:rPr>
          <w:rFonts w:cs="Arial"/>
          <w:szCs w:val="20"/>
        </w:rPr>
        <w:t xml:space="preserve"> </w:t>
      </w:r>
      <w:r w:rsidRPr="007B231E">
        <w:rPr>
          <w:rFonts w:cs="Arial"/>
          <w:szCs w:val="20"/>
        </w:rPr>
        <w:t xml:space="preserve">rejstříku vedeném </w:t>
      </w:r>
      <w:r w:rsidRPr="007B231E">
        <w:rPr>
          <w:rFonts w:cs="Arial"/>
          <w:szCs w:val="20"/>
          <w:highlight w:val="yellow"/>
        </w:rPr>
        <w:t>[doplní Poskytovatel]</w:t>
      </w:r>
      <w:r w:rsidR="00D75334">
        <w:rPr>
          <w:rFonts w:cs="Arial"/>
          <w:szCs w:val="20"/>
        </w:rPr>
        <w:t xml:space="preserve"> </w:t>
      </w:r>
      <w:r w:rsidRPr="007B231E">
        <w:rPr>
          <w:rFonts w:cs="Arial"/>
          <w:szCs w:val="20"/>
        </w:rPr>
        <w:t>soudem </w:t>
      </w:r>
      <w:r w:rsidRPr="007B231E">
        <w:rPr>
          <w:rFonts w:cs="Arial"/>
          <w:szCs w:val="20"/>
          <w:highlight w:val="yellow"/>
        </w:rPr>
        <w:t>[doplní Poskytovatel]</w:t>
      </w:r>
      <w:r w:rsidRPr="007B231E">
        <w:rPr>
          <w:rFonts w:cs="Arial"/>
          <w:szCs w:val="20"/>
        </w:rPr>
        <w:t xml:space="preserve">, oddíl </w:t>
      </w:r>
      <w:r w:rsidRPr="007B231E">
        <w:rPr>
          <w:rFonts w:cs="Arial"/>
          <w:szCs w:val="20"/>
          <w:highlight w:val="yellow"/>
        </w:rPr>
        <w:t>[doplní Poskytovatel]</w:t>
      </w:r>
      <w:r w:rsidR="00D75334">
        <w:rPr>
          <w:rFonts w:cs="Arial"/>
          <w:szCs w:val="20"/>
        </w:rPr>
        <w:t xml:space="preserve"> </w:t>
      </w:r>
      <w:r w:rsidRPr="007B231E">
        <w:rPr>
          <w:rFonts w:cs="Arial"/>
          <w:szCs w:val="20"/>
        </w:rPr>
        <w:t xml:space="preserve">vložka </w:t>
      </w:r>
      <w:r w:rsidRPr="007B231E">
        <w:rPr>
          <w:rFonts w:cs="Arial"/>
          <w:szCs w:val="20"/>
          <w:highlight w:val="yellow"/>
        </w:rPr>
        <w:t>[doplní Poskytovatel]</w:t>
      </w:r>
    </w:p>
    <w:p w14:paraId="521F415B" w14:textId="77777777" w:rsidR="00B265C8" w:rsidRPr="007B231E" w:rsidRDefault="00B265C8" w:rsidP="00B265C8">
      <w:pPr>
        <w:tabs>
          <w:tab w:val="left" w:pos="1701"/>
        </w:tabs>
        <w:spacing w:after="120" w:line="276" w:lineRule="auto"/>
        <w:contextualSpacing/>
        <w:rPr>
          <w:rFonts w:cs="Arial"/>
          <w:szCs w:val="20"/>
        </w:rPr>
      </w:pPr>
      <w:r w:rsidRPr="007B231E">
        <w:rPr>
          <w:rFonts w:cs="Arial"/>
          <w:szCs w:val="20"/>
        </w:rPr>
        <w:t>(dále jen „</w:t>
      </w:r>
      <w:r w:rsidR="002F75CD" w:rsidRPr="007B231E">
        <w:rPr>
          <w:rFonts w:cs="Arial"/>
          <w:szCs w:val="20"/>
        </w:rPr>
        <w:t>Poskytovatel“)</w:t>
      </w:r>
    </w:p>
    <w:p w14:paraId="141B1ACD" w14:textId="77777777" w:rsidR="00B265C8" w:rsidRDefault="00B265C8" w:rsidP="00B265C8">
      <w:pPr>
        <w:autoSpaceDE w:val="0"/>
        <w:autoSpaceDN w:val="0"/>
        <w:adjustRightInd w:val="0"/>
        <w:spacing w:after="120" w:line="276" w:lineRule="auto"/>
        <w:contextualSpacing/>
        <w:rPr>
          <w:rFonts w:cs="Arial"/>
          <w:szCs w:val="20"/>
        </w:rPr>
      </w:pPr>
      <w:r w:rsidRPr="007B231E">
        <w:rPr>
          <w:rFonts w:cs="Arial"/>
          <w:szCs w:val="20"/>
        </w:rPr>
        <w:t xml:space="preserve">(společně též </w:t>
      </w:r>
      <w:r w:rsidRPr="007B231E">
        <w:rPr>
          <w:rFonts w:cs="Arial"/>
          <w:i/>
          <w:szCs w:val="20"/>
        </w:rPr>
        <w:t>„S</w:t>
      </w:r>
      <w:r w:rsidRPr="007B231E">
        <w:rPr>
          <w:rFonts w:cs="Arial"/>
          <w:szCs w:val="20"/>
        </w:rPr>
        <w:t>mluvní strany“ jednotlivě „Smluvní strana“)</w:t>
      </w:r>
    </w:p>
    <w:p w14:paraId="6EDFDCAC" w14:textId="77777777" w:rsidR="00D410EA" w:rsidRDefault="00D410EA" w:rsidP="00B265C8">
      <w:pPr>
        <w:autoSpaceDE w:val="0"/>
        <w:autoSpaceDN w:val="0"/>
        <w:adjustRightInd w:val="0"/>
        <w:spacing w:after="120" w:line="276" w:lineRule="auto"/>
        <w:contextualSpacing/>
        <w:rPr>
          <w:rFonts w:cs="Arial"/>
          <w:szCs w:val="20"/>
        </w:rPr>
      </w:pPr>
    </w:p>
    <w:p w14:paraId="1D21A726" w14:textId="77777777" w:rsidR="00D410EA" w:rsidRDefault="00D410EA" w:rsidP="00B265C8">
      <w:pPr>
        <w:autoSpaceDE w:val="0"/>
        <w:autoSpaceDN w:val="0"/>
        <w:adjustRightInd w:val="0"/>
        <w:spacing w:after="120" w:line="276" w:lineRule="auto"/>
        <w:contextualSpacing/>
        <w:rPr>
          <w:rFonts w:cs="Arial"/>
          <w:szCs w:val="20"/>
        </w:rPr>
      </w:pPr>
    </w:p>
    <w:p w14:paraId="2F162F9A" w14:textId="77777777" w:rsidR="00D410EA" w:rsidRDefault="00D410EA" w:rsidP="00B265C8">
      <w:pPr>
        <w:autoSpaceDE w:val="0"/>
        <w:autoSpaceDN w:val="0"/>
        <w:adjustRightInd w:val="0"/>
        <w:spacing w:after="120" w:line="276" w:lineRule="auto"/>
        <w:contextualSpacing/>
        <w:rPr>
          <w:rFonts w:cs="Arial"/>
          <w:szCs w:val="20"/>
        </w:rPr>
      </w:pPr>
    </w:p>
    <w:p w14:paraId="012CF5C6" w14:textId="77777777" w:rsidR="00D410EA" w:rsidRDefault="00D410EA" w:rsidP="00B265C8">
      <w:pPr>
        <w:autoSpaceDE w:val="0"/>
        <w:autoSpaceDN w:val="0"/>
        <w:adjustRightInd w:val="0"/>
        <w:spacing w:after="120" w:line="276" w:lineRule="auto"/>
        <w:contextualSpacing/>
        <w:rPr>
          <w:rFonts w:cs="Arial"/>
          <w:szCs w:val="20"/>
        </w:rPr>
      </w:pPr>
    </w:p>
    <w:p w14:paraId="34DD63B4" w14:textId="77777777" w:rsidR="00D410EA" w:rsidRDefault="00D410EA" w:rsidP="00B265C8">
      <w:pPr>
        <w:autoSpaceDE w:val="0"/>
        <w:autoSpaceDN w:val="0"/>
        <w:adjustRightInd w:val="0"/>
        <w:spacing w:after="120" w:line="276" w:lineRule="auto"/>
        <w:contextualSpacing/>
        <w:rPr>
          <w:rFonts w:cs="Arial"/>
          <w:szCs w:val="20"/>
        </w:rPr>
      </w:pPr>
    </w:p>
    <w:p w14:paraId="2C46C1C4" w14:textId="77777777" w:rsidR="00D410EA" w:rsidRDefault="00D410EA" w:rsidP="00B265C8">
      <w:pPr>
        <w:autoSpaceDE w:val="0"/>
        <w:autoSpaceDN w:val="0"/>
        <w:adjustRightInd w:val="0"/>
        <w:spacing w:after="120" w:line="276" w:lineRule="auto"/>
        <w:contextualSpacing/>
        <w:rPr>
          <w:rFonts w:cs="Arial"/>
          <w:szCs w:val="20"/>
        </w:rPr>
      </w:pPr>
    </w:p>
    <w:p w14:paraId="31844539" w14:textId="77777777" w:rsidR="00D410EA" w:rsidRDefault="00D410EA" w:rsidP="00B265C8">
      <w:pPr>
        <w:autoSpaceDE w:val="0"/>
        <w:autoSpaceDN w:val="0"/>
        <w:adjustRightInd w:val="0"/>
        <w:spacing w:after="120" w:line="276" w:lineRule="auto"/>
        <w:contextualSpacing/>
        <w:rPr>
          <w:rFonts w:cs="Arial"/>
          <w:szCs w:val="20"/>
        </w:rPr>
      </w:pPr>
    </w:p>
    <w:p w14:paraId="3A6062B4" w14:textId="77777777" w:rsidR="00D410EA" w:rsidRDefault="00D410EA" w:rsidP="00B265C8">
      <w:pPr>
        <w:autoSpaceDE w:val="0"/>
        <w:autoSpaceDN w:val="0"/>
        <w:adjustRightInd w:val="0"/>
        <w:spacing w:after="120" w:line="276" w:lineRule="auto"/>
        <w:contextualSpacing/>
        <w:rPr>
          <w:rFonts w:cs="Arial"/>
          <w:szCs w:val="20"/>
        </w:rPr>
      </w:pPr>
    </w:p>
    <w:p w14:paraId="1EB75E0F" w14:textId="77777777" w:rsidR="00D410EA" w:rsidRDefault="00D410EA" w:rsidP="00B265C8">
      <w:pPr>
        <w:autoSpaceDE w:val="0"/>
        <w:autoSpaceDN w:val="0"/>
        <w:adjustRightInd w:val="0"/>
        <w:spacing w:after="120" w:line="276" w:lineRule="auto"/>
        <w:contextualSpacing/>
        <w:rPr>
          <w:rFonts w:cs="Arial"/>
          <w:szCs w:val="20"/>
        </w:rPr>
      </w:pPr>
    </w:p>
    <w:p w14:paraId="7BA02C54" w14:textId="77777777" w:rsidR="00D410EA" w:rsidRDefault="00D410EA" w:rsidP="00B265C8">
      <w:pPr>
        <w:autoSpaceDE w:val="0"/>
        <w:autoSpaceDN w:val="0"/>
        <w:adjustRightInd w:val="0"/>
        <w:spacing w:after="120" w:line="276" w:lineRule="auto"/>
        <w:contextualSpacing/>
        <w:rPr>
          <w:rFonts w:cs="Arial"/>
          <w:szCs w:val="20"/>
        </w:rPr>
      </w:pPr>
    </w:p>
    <w:p w14:paraId="4AD18C46" w14:textId="77777777" w:rsidR="00D410EA" w:rsidRDefault="00D410EA" w:rsidP="00B265C8">
      <w:pPr>
        <w:autoSpaceDE w:val="0"/>
        <w:autoSpaceDN w:val="0"/>
        <w:adjustRightInd w:val="0"/>
        <w:spacing w:after="120" w:line="276" w:lineRule="auto"/>
        <w:contextualSpacing/>
        <w:rPr>
          <w:rFonts w:cs="Arial"/>
          <w:szCs w:val="20"/>
        </w:rPr>
      </w:pPr>
    </w:p>
    <w:p w14:paraId="63FF39B6" w14:textId="77777777" w:rsidR="00D410EA" w:rsidRPr="007B231E" w:rsidRDefault="00D410EA" w:rsidP="00B265C8">
      <w:pPr>
        <w:autoSpaceDE w:val="0"/>
        <w:autoSpaceDN w:val="0"/>
        <w:adjustRightInd w:val="0"/>
        <w:spacing w:after="120" w:line="276" w:lineRule="auto"/>
        <w:contextualSpacing/>
        <w:rPr>
          <w:rFonts w:cs="Arial"/>
          <w:szCs w:val="20"/>
        </w:rPr>
      </w:pPr>
    </w:p>
    <w:p w14:paraId="5155E49E" w14:textId="77777777" w:rsidR="002A512A" w:rsidRDefault="002A512A" w:rsidP="00B265C8">
      <w:pPr>
        <w:keepNext/>
        <w:spacing w:line="280" w:lineRule="atLeast"/>
        <w:jc w:val="center"/>
        <w:rPr>
          <w:rFonts w:cs="Arial"/>
          <w:b/>
          <w:szCs w:val="20"/>
        </w:rPr>
      </w:pPr>
    </w:p>
    <w:p w14:paraId="673051A5" w14:textId="77777777" w:rsidR="00B265C8" w:rsidRPr="007B231E" w:rsidRDefault="00DD6BDD" w:rsidP="00B265C8">
      <w:pPr>
        <w:keepNext/>
        <w:spacing w:line="280" w:lineRule="atLeast"/>
        <w:jc w:val="center"/>
        <w:rPr>
          <w:rFonts w:cs="Arial"/>
          <w:b/>
          <w:szCs w:val="20"/>
        </w:rPr>
      </w:pPr>
      <w:r w:rsidRPr="007B231E">
        <w:rPr>
          <w:rFonts w:cs="Arial"/>
          <w:b/>
          <w:szCs w:val="20"/>
        </w:rPr>
        <w:t>Preambule</w:t>
      </w:r>
    </w:p>
    <w:p w14:paraId="43B91563" w14:textId="64772808" w:rsidR="00D75334" w:rsidRPr="00D75334" w:rsidRDefault="00DD6BDD" w:rsidP="003846BC">
      <w:pPr>
        <w:pStyle w:val="Odstavecseseznamem"/>
        <w:numPr>
          <w:ilvl w:val="0"/>
          <w:numId w:val="1"/>
        </w:numPr>
        <w:spacing w:after="120" w:line="280" w:lineRule="atLeast"/>
        <w:ind w:left="357" w:hanging="357"/>
        <w:contextualSpacing w:val="0"/>
        <w:rPr>
          <w:rFonts w:cs="Arial"/>
          <w:szCs w:val="20"/>
        </w:rPr>
      </w:pPr>
      <w:r w:rsidRPr="007B231E">
        <w:rPr>
          <w:rFonts w:cs="Arial"/>
          <w:szCs w:val="20"/>
        </w:rPr>
        <w:t xml:space="preserve">Tato Smlouva </w:t>
      </w:r>
      <w:r w:rsidR="00D75334" w:rsidRPr="0060486C">
        <w:rPr>
          <w:rFonts w:cs="Arial"/>
        </w:rPr>
        <w:t xml:space="preserve">se uzavírá na základě </w:t>
      </w:r>
      <w:r w:rsidR="00AF5626">
        <w:rPr>
          <w:rFonts w:cs="Arial"/>
        </w:rPr>
        <w:t xml:space="preserve">řízení o zakázce malého rozsahu na elektronickém tržišti Gemin, č. </w:t>
      </w:r>
      <w:r w:rsidR="00AF5626" w:rsidRPr="00AF5626">
        <w:rPr>
          <w:rFonts w:cs="Arial"/>
          <w:highlight w:val="lightGray"/>
        </w:rPr>
        <w:t>………………….</w:t>
      </w:r>
      <w:r w:rsidR="00192D76">
        <w:rPr>
          <w:rFonts w:cs="Arial"/>
          <w:szCs w:val="20"/>
        </w:rPr>
        <w:t xml:space="preserve"> (dále jen „veřejná zakázka“)</w:t>
      </w:r>
      <w:r w:rsidR="00AF5626">
        <w:rPr>
          <w:rFonts w:cs="Arial"/>
        </w:rPr>
        <w:t>.</w:t>
      </w:r>
      <w:r w:rsidR="00D75334" w:rsidRPr="0060486C">
        <w:rPr>
          <w:rFonts w:cs="Arial"/>
        </w:rPr>
        <w:t xml:space="preserve"> </w:t>
      </w:r>
    </w:p>
    <w:p w14:paraId="2E7646C4" w14:textId="666FAAB0" w:rsidR="00D316D9" w:rsidRPr="003D160A" w:rsidRDefault="00D316D9" w:rsidP="003846BC">
      <w:pPr>
        <w:pStyle w:val="Odstavecseseznamem"/>
        <w:numPr>
          <w:ilvl w:val="0"/>
          <w:numId w:val="1"/>
        </w:numPr>
        <w:spacing w:after="120" w:line="280" w:lineRule="atLeast"/>
        <w:ind w:left="357" w:hanging="357"/>
        <w:contextualSpacing w:val="0"/>
        <w:rPr>
          <w:rFonts w:cs="Arial"/>
          <w:szCs w:val="20"/>
        </w:rPr>
      </w:pPr>
      <w:r w:rsidRPr="00011454">
        <w:rPr>
          <w:rFonts w:cs="Arial"/>
          <w:szCs w:val="20"/>
        </w:rPr>
        <w:t xml:space="preserve">Poskytovatel byl vybrán k uzavření </w:t>
      </w:r>
      <w:r w:rsidR="00D75334" w:rsidRPr="00011454">
        <w:rPr>
          <w:rFonts w:cs="Arial"/>
          <w:szCs w:val="20"/>
        </w:rPr>
        <w:t xml:space="preserve">této </w:t>
      </w:r>
      <w:r w:rsidRPr="00011454">
        <w:rPr>
          <w:rFonts w:cs="Arial"/>
          <w:szCs w:val="20"/>
        </w:rPr>
        <w:t>Smlouvy</w:t>
      </w:r>
      <w:r w:rsidR="00AF5626">
        <w:rPr>
          <w:rFonts w:cs="Arial"/>
          <w:szCs w:val="20"/>
        </w:rPr>
        <w:t xml:space="preserve">, jelikož nabídl nejlepší cenu, a to </w:t>
      </w:r>
      <w:r w:rsidR="00D75334" w:rsidRPr="00011454">
        <w:rPr>
          <w:rFonts w:cs="Arial"/>
          <w:szCs w:val="20"/>
        </w:rPr>
        <w:t>rozhodnutím</w:t>
      </w:r>
      <w:r w:rsidRPr="00011454">
        <w:rPr>
          <w:rFonts w:cs="Arial"/>
          <w:szCs w:val="20"/>
        </w:rPr>
        <w:t xml:space="preserve"> </w:t>
      </w:r>
      <w:r w:rsidR="00AF5626">
        <w:rPr>
          <w:rFonts w:cs="Arial"/>
          <w:szCs w:val="20"/>
        </w:rPr>
        <w:t xml:space="preserve">předsedy představenstva ze dne </w:t>
      </w:r>
      <w:r w:rsidR="00AF5626" w:rsidRPr="00AF5626">
        <w:rPr>
          <w:rFonts w:cs="Arial"/>
          <w:szCs w:val="20"/>
          <w:highlight w:val="lightGray"/>
        </w:rPr>
        <w:t>………………..</w:t>
      </w:r>
    </w:p>
    <w:p w14:paraId="0A8591D7" w14:textId="77777777" w:rsidR="00C900CF" w:rsidRPr="003D160A" w:rsidRDefault="00D316D9" w:rsidP="003846BC">
      <w:pPr>
        <w:pStyle w:val="Odstavecseseznamem"/>
        <w:numPr>
          <w:ilvl w:val="0"/>
          <w:numId w:val="1"/>
        </w:numPr>
        <w:spacing w:after="120" w:line="280" w:lineRule="atLeast"/>
        <w:ind w:left="357" w:hanging="357"/>
        <w:contextualSpacing w:val="0"/>
        <w:rPr>
          <w:rFonts w:cs="Arial"/>
          <w:szCs w:val="20"/>
        </w:rPr>
      </w:pPr>
      <w:r w:rsidRPr="00011454">
        <w:rPr>
          <w:rFonts w:cs="Arial"/>
          <w:szCs w:val="20"/>
        </w:rPr>
        <w:t>Tato Smlouva stanovuje</w:t>
      </w:r>
      <w:r w:rsidRPr="007B231E">
        <w:rPr>
          <w:rFonts w:cs="Arial"/>
          <w:szCs w:val="20"/>
        </w:rPr>
        <w:t xml:space="preserve"> základní obsah právního vztahu na poskytování požadovaného předmětu plnění mezi </w:t>
      </w:r>
      <w:r w:rsidR="00056F02" w:rsidRPr="007B231E">
        <w:rPr>
          <w:rFonts w:cs="Arial"/>
          <w:szCs w:val="20"/>
        </w:rPr>
        <w:t>S</w:t>
      </w:r>
      <w:r w:rsidRPr="007B231E">
        <w:rPr>
          <w:rFonts w:cs="Arial"/>
          <w:szCs w:val="20"/>
        </w:rPr>
        <w:t>mluvními stranami. Ustanovení této Smlouvy je třeba vykládat v souladu se zadávacími podmínkami výše uvedené veřejné zakázky.</w:t>
      </w:r>
    </w:p>
    <w:p w14:paraId="4138A744" w14:textId="77777777" w:rsidR="00C900CF" w:rsidRPr="007B231E" w:rsidRDefault="00C900CF" w:rsidP="003846BC">
      <w:pPr>
        <w:pStyle w:val="Odstavecseseznamem"/>
        <w:numPr>
          <w:ilvl w:val="0"/>
          <w:numId w:val="1"/>
        </w:numPr>
        <w:spacing w:after="120" w:line="280" w:lineRule="atLeast"/>
        <w:ind w:left="357" w:hanging="357"/>
        <w:contextualSpacing w:val="0"/>
        <w:rPr>
          <w:rFonts w:cs="Arial"/>
          <w:szCs w:val="20"/>
        </w:rPr>
      </w:pPr>
      <w:r w:rsidRPr="00011454">
        <w:rPr>
          <w:rFonts w:cs="Arial"/>
          <w:szCs w:val="20"/>
        </w:rPr>
        <w:t xml:space="preserve">Poskytovatel tímto prohlašuje, že </w:t>
      </w:r>
      <w:r w:rsidR="004A0D31" w:rsidRPr="00011454">
        <w:rPr>
          <w:rFonts w:cs="Arial"/>
          <w:szCs w:val="20"/>
        </w:rPr>
        <w:t xml:space="preserve">náležitě seznámil se všemi zadávacími podmínkami předmětné veřejné zakázky, že jsou mu známy veškeré technické, kvalitativní a jiné podmínky plnění a že </w:t>
      </w:r>
      <w:r w:rsidRPr="00011454">
        <w:rPr>
          <w:rFonts w:cs="Arial"/>
          <w:szCs w:val="20"/>
        </w:rPr>
        <w:t>je oprávněn poskyt</w:t>
      </w:r>
      <w:r w:rsidR="004B72DB" w:rsidRPr="00011454">
        <w:rPr>
          <w:rFonts w:cs="Arial"/>
          <w:szCs w:val="20"/>
        </w:rPr>
        <w:t>ovat</w:t>
      </w:r>
      <w:r w:rsidR="005672EF" w:rsidRPr="00011454">
        <w:rPr>
          <w:rFonts w:cs="Arial"/>
          <w:szCs w:val="20"/>
        </w:rPr>
        <w:t xml:space="preserve"> </w:t>
      </w:r>
      <w:r w:rsidRPr="00011454">
        <w:rPr>
          <w:rFonts w:cs="Arial"/>
          <w:szCs w:val="20"/>
        </w:rPr>
        <w:t>plnění</w:t>
      </w:r>
      <w:r w:rsidR="004B72DB" w:rsidRPr="00011454">
        <w:rPr>
          <w:rFonts w:cs="Arial"/>
          <w:szCs w:val="20"/>
        </w:rPr>
        <w:t xml:space="preserve"> </w:t>
      </w:r>
      <w:r w:rsidRPr="00011454">
        <w:rPr>
          <w:rFonts w:cs="Arial"/>
          <w:szCs w:val="20"/>
        </w:rPr>
        <w:t>dle této Smlouvy</w:t>
      </w:r>
      <w:r w:rsidR="004A0D31" w:rsidRPr="00011454">
        <w:rPr>
          <w:rFonts w:cs="Arial"/>
          <w:szCs w:val="20"/>
        </w:rPr>
        <w:t>.</w:t>
      </w:r>
      <w:r w:rsidRPr="007B231E">
        <w:rPr>
          <w:rFonts w:cs="Arial"/>
          <w:szCs w:val="20"/>
        </w:rPr>
        <w:t xml:space="preserve"> </w:t>
      </w:r>
    </w:p>
    <w:p w14:paraId="3575C474" w14:textId="77777777" w:rsidR="00DD6BDD" w:rsidRPr="004D6EC4" w:rsidRDefault="004D6EC4" w:rsidP="004C3EDE">
      <w:pPr>
        <w:pStyle w:val="Nadpis1"/>
      </w:pPr>
      <w:r>
        <w:t>Článek I.</w:t>
      </w:r>
      <w:r>
        <w:br/>
      </w:r>
      <w:r w:rsidR="002A512A" w:rsidRPr="004D6EC4">
        <w:t>Účel Smlouvy</w:t>
      </w:r>
    </w:p>
    <w:p w14:paraId="01FE6D70" w14:textId="5E0F8773" w:rsidR="006A4CE4" w:rsidRPr="007B231E" w:rsidRDefault="00AF5626" w:rsidP="003846BC">
      <w:pPr>
        <w:pStyle w:val="Odstavecseseznamem"/>
        <w:numPr>
          <w:ilvl w:val="0"/>
          <w:numId w:val="7"/>
        </w:numPr>
        <w:spacing w:after="120" w:line="280" w:lineRule="atLeast"/>
        <w:contextualSpacing w:val="0"/>
        <w:rPr>
          <w:rFonts w:cs="Arial"/>
          <w:szCs w:val="20"/>
        </w:rPr>
      </w:pPr>
      <w:r>
        <w:rPr>
          <w:rFonts w:cs="Arial"/>
          <w:szCs w:val="20"/>
        </w:rPr>
        <w:t xml:space="preserve">PGRLF </w:t>
      </w:r>
      <w:r w:rsidR="004C3EDE">
        <w:rPr>
          <w:rFonts w:cs="Arial"/>
          <w:szCs w:val="20"/>
        </w:rPr>
        <w:t xml:space="preserve">potřebuje zálohovat SW. </w:t>
      </w:r>
      <w:r w:rsidR="00D60D07">
        <w:rPr>
          <w:rFonts w:cs="Arial"/>
          <w:szCs w:val="20"/>
        </w:rPr>
        <w:t xml:space="preserve"> </w:t>
      </w:r>
    </w:p>
    <w:p w14:paraId="0D31B7AC" w14:textId="23D523A8" w:rsidR="002F19FA" w:rsidRPr="00EB3FE2" w:rsidRDefault="00296258" w:rsidP="003846BC">
      <w:pPr>
        <w:pStyle w:val="Odstavecseseznamem"/>
        <w:numPr>
          <w:ilvl w:val="0"/>
          <w:numId w:val="7"/>
        </w:numPr>
        <w:spacing w:after="120" w:line="280" w:lineRule="atLeast"/>
        <w:ind w:left="357" w:hanging="357"/>
        <w:contextualSpacing w:val="0"/>
        <w:rPr>
          <w:rFonts w:cs="Arial"/>
          <w:szCs w:val="20"/>
          <w:highlight w:val="yellow"/>
        </w:rPr>
      </w:pPr>
      <w:r>
        <w:rPr>
          <w:rFonts w:cs="Arial"/>
          <w:szCs w:val="20"/>
        </w:rPr>
        <w:t xml:space="preserve">Účelem této Smlouvy </w:t>
      </w:r>
      <w:r w:rsidR="003F299F">
        <w:rPr>
          <w:rFonts w:cs="Arial"/>
          <w:szCs w:val="20"/>
        </w:rPr>
        <w:t xml:space="preserve">je </w:t>
      </w:r>
      <w:r w:rsidR="00B62E7E">
        <w:rPr>
          <w:rFonts w:cs="Arial"/>
          <w:szCs w:val="20"/>
        </w:rPr>
        <w:t xml:space="preserve">zajistit větší </w:t>
      </w:r>
      <w:r w:rsidR="0093241A">
        <w:rPr>
          <w:rFonts w:cs="Arial"/>
          <w:szCs w:val="20"/>
        </w:rPr>
        <w:t xml:space="preserve">a sofistikovanější </w:t>
      </w:r>
      <w:r w:rsidR="004C3EDE">
        <w:rPr>
          <w:rFonts w:cs="Arial"/>
          <w:szCs w:val="20"/>
        </w:rPr>
        <w:t>zálohovací HW a</w:t>
      </w:r>
      <w:r w:rsidR="00B62E7E">
        <w:rPr>
          <w:rFonts w:cs="Arial"/>
          <w:szCs w:val="20"/>
        </w:rPr>
        <w:t xml:space="preserve"> licence </w:t>
      </w:r>
      <w:r w:rsidR="0093241A">
        <w:rPr>
          <w:rFonts w:cs="Arial"/>
          <w:szCs w:val="20"/>
        </w:rPr>
        <w:t xml:space="preserve">k software </w:t>
      </w:r>
      <w:r w:rsidR="00B62E7E" w:rsidRPr="00EB3FE2">
        <w:rPr>
          <w:rFonts w:cs="Arial"/>
          <w:szCs w:val="20"/>
          <w:highlight w:val="yellow"/>
        </w:rPr>
        <w:t>………..</w:t>
      </w:r>
      <w:r w:rsidR="00F71E68" w:rsidRPr="00EB3FE2">
        <w:rPr>
          <w:rFonts w:cs="Arial"/>
          <w:szCs w:val="20"/>
          <w:highlight w:val="yellow"/>
        </w:rPr>
        <w:t>.</w:t>
      </w:r>
      <w:r w:rsidR="00EB3FE2" w:rsidRPr="00EB3FE2">
        <w:rPr>
          <w:rFonts w:cs="Arial"/>
          <w:szCs w:val="20"/>
          <w:highlight w:val="yellow"/>
        </w:rPr>
        <w:t>(doplní dodavatel)</w:t>
      </w:r>
    </w:p>
    <w:p w14:paraId="475FF39C" w14:textId="77777777" w:rsidR="00DD6BDD" w:rsidRDefault="004D6EC4" w:rsidP="004C3EDE">
      <w:pPr>
        <w:pStyle w:val="Nadpis1"/>
      </w:pPr>
      <w:r>
        <w:t>Článek II.</w:t>
      </w:r>
      <w:r>
        <w:br/>
      </w:r>
      <w:r w:rsidR="002A512A">
        <w:t>Předmět S</w:t>
      </w:r>
      <w:r w:rsidR="00DD6BDD" w:rsidRPr="007B231E">
        <w:t>mlouvy</w:t>
      </w:r>
    </w:p>
    <w:p w14:paraId="4711955E" w14:textId="77777777" w:rsidR="00192D76" w:rsidRPr="00011454" w:rsidRDefault="00192D76" w:rsidP="003D160A">
      <w:pPr>
        <w:pStyle w:val="Odstavecseseznamem"/>
        <w:spacing w:after="120" w:line="280" w:lineRule="atLeast"/>
        <w:ind w:left="360"/>
        <w:contextualSpacing w:val="0"/>
        <w:rPr>
          <w:rFonts w:cs="Arial"/>
          <w:szCs w:val="20"/>
        </w:rPr>
      </w:pPr>
      <w:r w:rsidRPr="00011454">
        <w:rPr>
          <w:rFonts w:cs="Arial"/>
          <w:szCs w:val="20"/>
        </w:rPr>
        <w:t>Předmětem této Smlouvy je:</w:t>
      </w:r>
    </w:p>
    <w:p w14:paraId="089C0DFE" w14:textId="6E397EB8" w:rsidR="00192D76" w:rsidRPr="00011454" w:rsidRDefault="00192D76" w:rsidP="00296258">
      <w:pPr>
        <w:pStyle w:val="Odstavecseseznamem"/>
        <w:numPr>
          <w:ilvl w:val="0"/>
          <w:numId w:val="22"/>
        </w:numPr>
        <w:spacing w:after="120" w:line="280" w:lineRule="atLeast"/>
        <w:contextualSpacing w:val="0"/>
        <w:rPr>
          <w:rFonts w:cs="Arial"/>
          <w:szCs w:val="20"/>
        </w:rPr>
      </w:pPr>
      <w:r w:rsidRPr="00011454">
        <w:rPr>
          <w:rFonts w:cs="Arial"/>
          <w:szCs w:val="20"/>
        </w:rPr>
        <w:t xml:space="preserve">závazek Poskytovatele </w:t>
      </w:r>
      <w:r w:rsidR="00B62E7E">
        <w:rPr>
          <w:rFonts w:cs="Arial"/>
          <w:szCs w:val="20"/>
        </w:rPr>
        <w:t xml:space="preserve">dodat Objednateli </w:t>
      </w:r>
      <w:r w:rsidR="004C3EDE">
        <w:rPr>
          <w:rFonts w:cs="Arial"/>
          <w:szCs w:val="20"/>
        </w:rPr>
        <w:t>HW – Serve</w:t>
      </w:r>
      <w:r w:rsidR="00BB0827">
        <w:rPr>
          <w:rFonts w:cs="Arial"/>
          <w:szCs w:val="20"/>
        </w:rPr>
        <w:t>r</w:t>
      </w:r>
      <w:r w:rsidR="004C3EDE">
        <w:rPr>
          <w:rFonts w:cs="Arial"/>
          <w:szCs w:val="20"/>
        </w:rPr>
        <w:t xml:space="preserve"> 1 a Server 2 včetně tříleté podpory </w:t>
      </w:r>
      <w:r w:rsidR="00D372CE">
        <w:rPr>
          <w:rFonts w:cs="Arial"/>
          <w:szCs w:val="20"/>
        </w:rPr>
        <w:t xml:space="preserve">NBD on site </w:t>
      </w:r>
      <w:r w:rsidR="004C3EDE">
        <w:rPr>
          <w:rFonts w:cs="Arial"/>
          <w:szCs w:val="20"/>
        </w:rPr>
        <w:t xml:space="preserve">a licenci </w:t>
      </w:r>
      <w:r w:rsidR="00D372CE">
        <w:rPr>
          <w:rFonts w:cs="Arial"/>
          <w:szCs w:val="20"/>
        </w:rPr>
        <w:t xml:space="preserve">k software </w:t>
      </w:r>
      <w:r w:rsidR="004C3EDE" w:rsidRPr="004C3EDE">
        <w:rPr>
          <w:rFonts w:cs="Arial"/>
          <w:szCs w:val="20"/>
          <w:highlight w:val="yellow"/>
        </w:rPr>
        <w:t>…………………………(doplní dodavatel)</w:t>
      </w:r>
      <w:r w:rsidR="004C3EDE">
        <w:rPr>
          <w:rFonts w:cs="Arial"/>
          <w:szCs w:val="20"/>
        </w:rPr>
        <w:t xml:space="preserve"> včetně tříleté podpory – dle technické specifikace, která tvoří přílohu č. ………. této smlouvy </w:t>
      </w:r>
    </w:p>
    <w:p w14:paraId="65D190C1" w14:textId="5E6C5369" w:rsidR="00192D76" w:rsidRDefault="00192D76" w:rsidP="00296258">
      <w:pPr>
        <w:pStyle w:val="Odstavecseseznamem"/>
        <w:numPr>
          <w:ilvl w:val="0"/>
          <w:numId w:val="22"/>
        </w:numPr>
        <w:spacing w:after="120" w:line="280" w:lineRule="atLeast"/>
        <w:contextualSpacing w:val="0"/>
        <w:rPr>
          <w:rFonts w:cs="Arial"/>
          <w:szCs w:val="20"/>
        </w:rPr>
      </w:pPr>
      <w:r>
        <w:rPr>
          <w:rFonts w:cs="Arial"/>
          <w:szCs w:val="20"/>
        </w:rPr>
        <w:t xml:space="preserve">závazek </w:t>
      </w:r>
      <w:r w:rsidR="00B62E7E">
        <w:rPr>
          <w:rFonts w:cs="Arial"/>
          <w:szCs w:val="20"/>
        </w:rPr>
        <w:t>Objednatele</w:t>
      </w:r>
      <w:r>
        <w:rPr>
          <w:rFonts w:cs="Arial"/>
          <w:szCs w:val="20"/>
        </w:rPr>
        <w:t xml:space="preserve"> zaplatit Poskytovateli za řádně podle této Smlouvy poskytnuté plnění cenu dohodnutou touto Smlouvou;</w:t>
      </w:r>
    </w:p>
    <w:p w14:paraId="33AB20E5" w14:textId="77777777" w:rsidR="00192D76" w:rsidRDefault="00192D76" w:rsidP="003D160A">
      <w:pPr>
        <w:pStyle w:val="Odstavecseseznamem"/>
        <w:spacing w:after="120" w:line="280" w:lineRule="atLeast"/>
        <w:ind w:left="357"/>
        <w:contextualSpacing w:val="0"/>
        <w:rPr>
          <w:rFonts w:cs="Arial"/>
          <w:szCs w:val="20"/>
        </w:rPr>
      </w:pPr>
      <w:r>
        <w:rPr>
          <w:rFonts w:cs="Arial"/>
          <w:szCs w:val="20"/>
        </w:rPr>
        <w:t>to vše za podmínek v této Smlouvě uvedených.</w:t>
      </w:r>
    </w:p>
    <w:p w14:paraId="4719B06E" w14:textId="77777777" w:rsidR="00DD6BDD" w:rsidRPr="007B231E" w:rsidRDefault="004D6EC4" w:rsidP="004C3EDE">
      <w:pPr>
        <w:pStyle w:val="Nadpis1"/>
      </w:pPr>
      <w:r>
        <w:t>Článek III.</w:t>
      </w:r>
      <w:r>
        <w:br/>
      </w:r>
      <w:r w:rsidR="00DD6BDD" w:rsidRPr="007B231E">
        <w:t>Předmět plnění</w:t>
      </w:r>
    </w:p>
    <w:p w14:paraId="3F92517D" w14:textId="6BC189DD" w:rsidR="00FF4EA7" w:rsidRDefault="00FF4EA7" w:rsidP="003846BC">
      <w:pPr>
        <w:pStyle w:val="Odstavecseseznamem"/>
        <w:numPr>
          <w:ilvl w:val="0"/>
          <w:numId w:val="6"/>
        </w:numPr>
        <w:spacing w:after="120" w:line="280" w:lineRule="atLeast"/>
        <w:contextualSpacing w:val="0"/>
        <w:rPr>
          <w:rFonts w:cs="Arial"/>
          <w:szCs w:val="20"/>
        </w:rPr>
      </w:pPr>
      <w:r>
        <w:rPr>
          <w:rFonts w:cs="Arial"/>
          <w:szCs w:val="20"/>
        </w:rPr>
        <w:t>Poskytovatel se touto Smlouvou zavazuje p</w:t>
      </w:r>
      <w:r w:rsidR="00887329">
        <w:rPr>
          <w:rFonts w:cs="Arial"/>
          <w:szCs w:val="20"/>
        </w:rPr>
        <w:t>oskyt</w:t>
      </w:r>
      <w:r w:rsidR="00F14235">
        <w:rPr>
          <w:rFonts w:cs="Arial"/>
          <w:szCs w:val="20"/>
        </w:rPr>
        <w:t>nout</w:t>
      </w:r>
      <w:r w:rsidR="00887329">
        <w:rPr>
          <w:rFonts w:cs="Arial"/>
          <w:szCs w:val="20"/>
        </w:rPr>
        <w:t xml:space="preserve"> </w:t>
      </w:r>
      <w:r>
        <w:rPr>
          <w:rFonts w:cs="Arial"/>
          <w:szCs w:val="20"/>
        </w:rPr>
        <w:t xml:space="preserve">Objednateli </w:t>
      </w:r>
      <w:r w:rsidR="004C3EDE">
        <w:rPr>
          <w:rFonts w:cs="Arial"/>
          <w:szCs w:val="20"/>
        </w:rPr>
        <w:t xml:space="preserve">HW a </w:t>
      </w:r>
      <w:r>
        <w:rPr>
          <w:rFonts w:cs="Arial"/>
          <w:szCs w:val="20"/>
        </w:rPr>
        <w:t>licenc</w:t>
      </w:r>
      <w:r w:rsidR="004C3EDE">
        <w:rPr>
          <w:rFonts w:cs="Arial"/>
          <w:szCs w:val="20"/>
        </w:rPr>
        <w:t xml:space="preserve">i </w:t>
      </w:r>
      <w:r w:rsidR="00F14235">
        <w:rPr>
          <w:rFonts w:cs="Arial"/>
          <w:szCs w:val="20"/>
        </w:rPr>
        <w:t xml:space="preserve">k software </w:t>
      </w:r>
      <w:r w:rsidR="004C3EDE">
        <w:rPr>
          <w:rFonts w:cs="Arial"/>
          <w:szCs w:val="20"/>
        </w:rPr>
        <w:t>pro zálohování.</w:t>
      </w:r>
      <w:r w:rsidR="00B62E7E">
        <w:rPr>
          <w:rFonts w:cs="Arial"/>
          <w:szCs w:val="20"/>
        </w:rPr>
        <w:t xml:space="preserve"> Blíže je určeno v příloze této Smlouvy – Technické specifikaci</w:t>
      </w:r>
      <w:r>
        <w:rPr>
          <w:rFonts w:cs="Arial"/>
          <w:szCs w:val="20"/>
        </w:rPr>
        <w:t>.</w:t>
      </w:r>
      <w:r w:rsidR="00F7338F">
        <w:rPr>
          <w:rFonts w:cs="Arial"/>
          <w:szCs w:val="20"/>
        </w:rPr>
        <w:t xml:space="preserve"> Poskytovatel prohlašuje, že má oprávnění </w:t>
      </w:r>
      <w:r w:rsidR="004C3EDE">
        <w:rPr>
          <w:rFonts w:cs="Arial"/>
          <w:szCs w:val="20"/>
        </w:rPr>
        <w:t>celé plnění</w:t>
      </w:r>
      <w:r w:rsidR="00F7338F">
        <w:rPr>
          <w:rFonts w:cs="Arial"/>
          <w:szCs w:val="20"/>
        </w:rPr>
        <w:t xml:space="preserve"> poskytovat, a to i v České republice</w:t>
      </w:r>
      <w:r w:rsidR="004C3EDE">
        <w:rPr>
          <w:rFonts w:cs="Arial"/>
          <w:szCs w:val="20"/>
        </w:rPr>
        <w:t>, že je partnerem majitele licence</w:t>
      </w:r>
      <w:r w:rsidR="00F7338F">
        <w:rPr>
          <w:rFonts w:cs="Arial"/>
          <w:szCs w:val="20"/>
        </w:rPr>
        <w:t xml:space="preserve"> a že případně odpovídá za veškeré právní vady těchto licencí. </w:t>
      </w:r>
    </w:p>
    <w:p w14:paraId="6B4D06F8" w14:textId="6BAF176D" w:rsidR="00BA58AE" w:rsidRDefault="00BA58AE" w:rsidP="003846BC">
      <w:pPr>
        <w:pStyle w:val="Odstavecseseznamem"/>
        <w:numPr>
          <w:ilvl w:val="0"/>
          <w:numId w:val="6"/>
        </w:numPr>
        <w:spacing w:after="120" w:line="280" w:lineRule="atLeast"/>
        <w:contextualSpacing w:val="0"/>
        <w:rPr>
          <w:rFonts w:cs="Arial"/>
          <w:szCs w:val="20"/>
        </w:rPr>
      </w:pPr>
      <w:r w:rsidRPr="008E3948">
        <w:rPr>
          <w:rFonts w:cs="Arial"/>
          <w:szCs w:val="20"/>
        </w:rPr>
        <w:t>Poskytovatel</w:t>
      </w:r>
      <w:r>
        <w:rPr>
          <w:rFonts w:cs="Arial"/>
          <w:bCs/>
          <w:iCs/>
          <w:szCs w:val="20"/>
        </w:rPr>
        <w:t xml:space="preserve"> touto Smlouvou </w:t>
      </w:r>
      <w:r w:rsidR="00887329">
        <w:rPr>
          <w:rFonts w:cs="Arial"/>
          <w:bCs/>
          <w:iCs/>
          <w:szCs w:val="20"/>
        </w:rPr>
        <w:t xml:space="preserve">poskytuje Objednateli oprávnění k užití </w:t>
      </w:r>
      <w:r w:rsidR="004C3EDE">
        <w:rPr>
          <w:rFonts w:cs="Arial"/>
          <w:bCs/>
          <w:iCs/>
          <w:szCs w:val="20"/>
        </w:rPr>
        <w:t>předmětu smlouvy</w:t>
      </w:r>
      <w:r>
        <w:rPr>
          <w:rFonts w:cs="Arial"/>
          <w:bCs/>
          <w:iCs/>
          <w:szCs w:val="20"/>
        </w:rPr>
        <w:t xml:space="preserve"> </w:t>
      </w:r>
      <w:r w:rsidR="00B62E7E">
        <w:rPr>
          <w:rFonts w:cs="Arial"/>
          <w:szCs w:val="20"/>
        </w:rPr>
        <w:t xml:space="preserve">a zavazuje se poskytovat </w:t>
      </w:r>
      <w:r w:rsidR="00241223">
        <w:rPr>
          <w:rFonts w:cs="Arial"/>
          <w:szCs w:val="20"/>
        </w:rPr>
        <w:t>3</w:t>
      </w:r>
      <w:r w:rsidR="00120529">
        <w:rPr>
          <w:rFonts w:cs="Arial"/>
          <w:szCs w:val="20"/>
        </w:rPr>
        <w:t>letou</w:t>
      </w:r>
      <w:r w:rsidR="00B62E7E">
        <w:rPr>
          <w:rFonts w:cs="Arial"/>
          <w:szCs w:val="20"/>
        </w:rPr>
        <w:t xml:space="preserve"> podporu. </w:t>
      </w:r>
      <w:r>
        <w:rPr>
          <w:rFonts w:cs="Arial"/>
          <w:bCs/>
          <w:iCs/>
          <w:szCs w:val="20"/>
        </w:rPr>
        <w:t xml:space="preserve">Licenční podmínky jsou blíže </w:t>
      </w:r>
      <w:r w:rsidRPr="002D0DE0">
        <w:rPr>
          <w:rFonts w:cs="Arial"/>
          <w:bCs/>
          <w:iCs/>
          <w:szCs w:val="20"/>
        </w:rPr>
        <w:t>upraveny v čl.</w:t>
      </w:r>
      <w:r w:rsidR="00F10EA4" w:rsidRPr="002D0DE0">
        <w:rPr>
          <w:rFonts w:cs="Arial"/>
          <w:bCs/>
          <w:iCs/>
          <w:szCs w:val="20"/>
        </w:rPr>
        <w:t xml:space="preserve"> </w:t>
      </w:r>
      <w:r w:rsidRPr="002D0DE0">
        <w:rPr>
          <w:rFonts w:cs="Arial"/>
          <w:bCs/>
          <w:iCs/>
          <w:szCs w:val="20"/>
        </w:rPr>
        <w:t>V. a X. této</w:t>
      </w:r>
      <w:r>
        <w:rPr>
          <w:rFonts w:cs="Arial"/>
          <w:bCs/>
          <w:iCs/>
          <w:szCs w:val="20"/>
        </w:rPr>
        <w:t xml:space="preserve"> Smlouvy</w:t>
      </w:r>
      <w:r w:rsidR="00ED5292">
        <w:rPr>
          <w:rFonts w:cs="Arial"/>
          <w:bCs/>
          <w:iCs/>
          <w:szCs w:val="20"/>
        </w:rPr>
        <w:t xml:space="preserve"> </w:t>
      </w:r>
    </w:p>
    <w:p w14:paraId="05113AC7" w14:textId="77777777" w:rsidR="00174CEF" w:rsidRPr="00623951" w:rsidRDefault="00410B2A" w:rsidP="003846BC">
      <w:pPr>
        <w:pStyle w:val="Odstavecseseznamem"/>
        <w:numPr>
          <w:ilvl w:val="0"/>
          <w:numId w:val="6"/>
        </w:numPr>
        <w:spacing w:after="120" w:line="280" w:lineRule="atLeast"/>
        <w:contextualSpacing w:val="0"/>
        <w:rPr>
          <w:rFonts w:cs="Arial"/>
          <w:szCs w:val="20"/>
        </w:rPr>
      </w:pPr>
      <w:r>
        <w:rPr>
          <w:rFonts w:cs="Arial"/>
          <w:szCs w:val="20"/>
        </w:rPr>
        <w:t xml:space="preserve">Poskytovatel se zavazuje k </w:t>
      </w:r>
      <w:r w:rsidR="00BB3D9C">
        <w:rPr>
          <w:rFonts w:cs="Arial"/>
          <w:szCs w:val="20"/>
        </w:rPr>
        <w:t>p</w:t>
      </w:r>
      <w:r w:rsidR="00BA58AE" w:rsidRPr="00623951">
        <w:rPr>
          <w:rFonts w:cs="Arial"/>
          <w:szCs w:val="20"/>
        </w:rPr>
        <w:t xml:space="preserve">oskytování podpory </w:t>
      </w:r>
      <w:r w:rsidR="00623951" w:rsidRPr="00623951">
        <w:rPr>
          <w:rFonts w:cs="Arial"/>
          <w:szCs w:val="20"/>
        </w:rPr>
        <w:t>V</w:t>
      </w:r>
      <w:r w:rsidR="00BA58AE" w:rsidRPr="00623951">
        <w:rPr>
          <w:rFonts w:cs="Arial"/>
          <w:szCs w:val="20"/>
        </w:rPr>
        <w:t>ýrobce</w:t>
      </w:r>
      <w:r w:rsidR="00623951" w:rsidRPr="00623951">
        <w:rPr>
          <w:rFonts w:cs="Arial"/>
          <w:szCs w:val="20"/>
        </w:rPr>
        <w:t xml:space="preserve"> </w:t>
      </w:r>
      <w:r w:rsidR="00490D9F">
        <w:rPr>
          <w:rFonts w:cs="Arial"/>
          <w:szCs w:val="20"/>
        </w:rPr>
        <w:t>(</w:t>
      </w:r>
      <w:r w:rsidR="00490D9F" w:rsidRPr="007B231E">
        <w:rPr>
          <w:rFonts w:cs="Arial"/>
          <w:szCs w:val="20"/>
        </w:rPr>
        <w:t>maintenance &amp; support</w:t>
      </w:r>
      <w:r w:rsidR="00490D9F">
        <w:rPr>
          <w:rFonts w:cs="Arial"/>
          <w:szCs w:val="20"/>
        </w:rPr>
        <w:t>)</w:t>
      </w:r>
      <w:r>
        <w:rPr>
          <w:rFonts w:cs="Arial"/>
          <w:szCs w:val="20"/>
        </w:rPr>
        <w:t>, která</w:t>
      </w:r>
      <w:r w:rsidR="00490D9F">
        <w:rPr>
          <w:rFonts w:cs="Arial"/>
          <w:szCs w:val="20"/>
        </w:rPr>
        <w:t xml:space="preserve"> </w:t>
      </w:r>
      <w:r w:rsidR="00623951">
        <w:rPr>
          <w:rFonts w:cs="Arial"/>
          <w:szCs w:val="20"/>
        </w:rPr>
        <w:t xml:space="preserve">zahrnuje </w:t>
      </w:r>
      <w:r w:rsidR="00623951" w:rsidRPr="00623951">
        <w:rPr>
          <w:rFonts w:cs="Arial"/>
          <w:szCs w:val="20"/>
        </w:rPr>
        <w:t>zejména</w:t>
      </w:r>
      <w:r w:rsidR="00623951">
        <w:rPr>
          <w:rFonts w:cs="Arial"/>
          <w:szCs w:val="20"/>
        </w:rPr>
        <w:t>:</w:t>
      </w:r>
    </w:p>
    <w:p w14:paraId="0108A051" w14:textId="77777777" w:rsidR="00623951" w:rsidRPr="00623951" w:rsidRDefault="00623951" w:rsidP="003846BC">
      <w:pPr>
        <w:pStyle w:val="Odstavecseseznamem"/>
        <w:numPr>
          <w:ilvl w:val="0"/>
          <w:numId w:val="8"/>
        </w:numPr>
        <w:spacing w:after="160" w:line="280" w:lineRule="atLeast"/>
        <w:rPr>
          <w:rFonts w:cs="Arial"/>
          <w:szCs w:val="20"/>
        </w:rPr>
      </w:pPr>
      <w:r w:rsidRPr="00623951">
        <w:rPr>
          <w:rFonts w:cs="Arial"/>
          <w:szCs w:val="20"/>
        </w:rPr>
        <w:t>technickou podporu Výrobce</w:t>
      </w:r>
      <w:r w:rsidR="00BB3D9C">
        <w:rPr>
          <w:rFonts w:cs="Arial"/>
          <w:szCs w:val="20"/>
        </w:rPr>
        <w:t>;</w:t>
      </w:r>
    </w:p>
    <w:p w14:paraId="42FAE37F" w14:textId="3BF22156" w:rsidR="00623951" w:rsidRDefault="00623951" w:rsidP="003846BC">
      <w:pPr>
        <w:pStyle w:val="Odstavecseseznamem"/>
        <w:numPr>
          <w:ilvl w:val="0"/>
          <w:numId w:val="8"/>
        </w:numPr>
        <w:spacing w:after="160" w:line="280" w:lineRule="atLeast"/>
        <w:rPr>
          <w:rFonts w:cs="Arial"/>
          <w:szCs w:val="20"/>
        </w:rPr>
      </w:pPr>
      <w:r>
        <w:rPr>
          <w:rFonts w:cs="Arial"/>
          <w:szCs w:val="20"/>
        </w:rPr>
        <w:t>poskytování aktuálních verzí produktu</w:t>
      </w:r>
      <w:r w:rsidR="00BB3D9C">
        <w:rPr>
          <w:rFonts w:cs="Arial"/>
          <w:szCs w:val="20"/>
        </w:rPr>
        <w:t>;</w:t>
      </w:r>
    </w:p>
    <w:p w14:paraId="2DF64F16" w14:textId="52F5BD4D" w:rsidR="00887329" w:rsidRPr="00887329" w:rsidRDefault="00623951" w:rsidP="00980EAA">
      <w:pPr>
        <w:pStyle w:val="Odstavecseseznamem"/>
        <w:numPr>
          <w:ilvl w:val="0"/>
          <w:numId w:val="8"/>
        </w:numPr>
        <w:spacing w:after="120" w:line="280" w:lineRule="atLeast"/>
        <w:ind w:left="714" w:hanging="357"/>
        <w:contextualSpacing w:val="0"/>
        <w:rPr>
          <w:rFonts w:cs="Arial"/>
          <w:szCs w:val="20"/>
        </w:rPr>
      </w:pPr>
      <w:r w:rsidRPr="00887329">
        <w:rPr>
          <w:rFonts w:cs="Arial"/>
          <w:szCs w:val="20"/>
        </w:rPr>
        <w:t>poskytování aktualizací a opravných balíčků produktu (upgrade/update/ patch</w:t>
      </w:r>
      <w:r w:rsidR="00F30BC1">
        <w:rPr>
          <w:rFonts w:cs="Arial"/>
          <w:szCs w:val="20"/>
        </w:rPr>
        <w:t>e</w:t>
      </w:r>
      <w:r w:rsidRPr="00887329">
        <w:rPr>
          <w:rFonts w:cs="Arial"/>
          <w:szCs w:val="20"/>
        </w:rPr>
        <w:t>s…).</w:t>
      </w:r>
    </w:p>
    <w:p w14:paraId="69162441" w14:textId="138F8570" w:rsidR="007F4EE5" w:rsidRDefault="007F4EE5" w:rsidP="00887329">
      <w:pPr>
        <w:pStyle w:val="Odstavecseseznamem"/>
        <w:numPr>
          <w:ilvl w:val="0"/>
          <w:numId w:val="6"/>
        </w:numPr>
        <w:spacing w:after="120" w:line="280" w:lineRule="atLeast"/>
        <w:contextualSpacing w:val="0"/>
        <w:rPr>
          <w:rFonts w:cs="Arial"/>
          <w:szCs w:val="20"/>
        </w:rPr>
      </w:pPr>
      <w:r w:rsidRPr="00887329">
        <w:rPr>
          <w:rFonts w:cs="Arial"/>
          <w:szCs w:val="20"/>
        </w:rPr>
        <w:lastRenderedPageBreak/>
        <w:t>Základní komunikační postup ve věci poskytování podpory podle této Smlouvy je stanoven v čl. </w:t>
      </w:r>
      <w:r w:rsidR="00BB3D9C">
        <w:rPr>
          <w:rFonts w:cs="Arial"/>
          <w:szCs w:val="20"/>
        </w:rPr>
        <w:t>XI</w:t>
      </w:r>
      <w:r w:rsidRPr="00887329">
        <w:rPr>
          <w:rFonts w:cs="Arial"/>
          <w:szCs w:val="20"/>
        </w:rPr>
        <w:t>I. této Smlouvy.</w:t>
      </w:r>
    </w:p>
    <w:p w14:paraId="1179C0F6" w14:textId="77777777" w:rsidR="00DD6BDD" w:rsidRPr="007B231E" w:rsidRDefault="004D6EC4" w:rsidP="004C3EDE">
      <w:pPr>
        <w:pStyle w:val="Nadpis1"/>
      </w:pPr>
      <w:r>
        <w:t>Článek IV.</w:t>
      </w:r>
      <w:r>
        <w:br/>
      </w:r>
      <w:r w:rsidR="00DD6BDD" w:rsidRPr="007B231E">
        <w:t>Cena plnění</w:t>
      </w:r>
    </w:p>
    <w:p w14:paraId="06EC4DB3" w14:textId="03FEC7B3" w:rsidR="0087337C" w:rsidRPr="007B231E" w:rsidRDefault="00B62E7E" w:rsidP="003846BC">
      <w:pPr>
        <w:pStyle w:val="Odstavecseseznamem"/>
        <w:numPr>
          <w:ilvl w:val="0"/>
          <w:numId w:val="2"/>
        </w:numPr>
        <w:rPr>
          <w:rFonts w:cs="Arial"/>
          <w:szCs w:val="20"/>
        </w:rPr>
      </w:pPr>
      <w:r>
        <w:rPr>
          <w:rFonts w:cs="Arial"/>
          <w:szCs w:val="20"/>
        </w:rPr>
        <w:t>Objednatel</w:t>
      </w:r>
      <w:r w:rsidR="0087337C" w:rsidRPr="007B231E">
        <w:rPr>
          <w:rFonts w:cs="Arial"/>
          <w:szCs w:val="20"/>
        </w:rPr>
        <w:t xml:space="preserve"> se zavazuje zaplatit Poskytovateli za řádné a včasné splnění předmětu plnění této Smlouvy cenu ve výši a lhůt</w:t>
      </w:r>
      <w:r w:rsidR="00E87795" w:rsidRPr="007B231E">
        <w:rPr>
          <w:rFonts w:cs="Arial"/>
          <w:szCs w:val="20"/>
        </w:rPr>
        <w:t>ách</w:t>
      </w:r>
      <w:r w:rsidR="0087337C" w:rsidRPr="007B231E">
        <w:rPr>
          <w:rFonts w:cs="Arial"/>
          <w:szCs w:val="20"/>
        </w:rPr>
        <w:t xml:space="preserve"> splatnosti </w:t>
      </w:r>
      <w:r w:rsidR="00E87795" w:rsidRPr="007B231E">
        <w:rPr>
          <w:rFonts w:cs="Arial"/>
          <w:szCs w:val="20"/>
        </w:rPr>
        <w:t>stanovených</w:t>
      </w:r>
      <w:r w:rsidR="0087337C" w:rsidRPr="007B231E">
        <w:rPr>
          <w:rFonts w:cs="Arial"/>
          <w:szCs w:val="20"/>
        </w:rPr>
        <w:t xml:space="preserve"> touto Smlouvou. </w:t>
      </w:r>
    </w:p>
    <w:p w14:paraId="326D8593" w14:textId="77777777" w:rsidR="007C69E4" w:rsidRPr="007B231E" w:rsidRDefault="007C69E4" w:rsidP="007C69E4">
      <w:pPr>
        <w:pStyle w:val="Odstavecseseznamem"/>
        <w:ind w:left="360"/>
        <w:rPr>
          <w:rFonts w:cs="Arial"/>
          <w:szCs w:val="20"/>
        </w:rPr>
      </w:pPr>
    </w:p>
    <w:p w14:paraId="2EAA1F10" w14:textId="77777777" w:rsidR="00BA3260" w:rsidRDefault="00192D76" w:rsidP="003846BC">
      <w:pPr>
        <w:pStyle w:val="Odstavecseseznamem"/>
        <w:numPr>
          <w:ilvl w:val="0"/>
          <w:numId w:val="2"/>
        </w:numPr>
        <w:rPr>
          <w:rFonts w:cs="Arial"/>
          <w:szCs w:val="20"/>
        </w:rPr>
      </w:pPr>
      <w:r>
        <w:rPr>
          <w:rFonts w:cs="Arial"/>
          <w:szCs w:val="20"/>
        </w:rPr>
        <w:t>C</w:t>
      </w:r>
      <w:r w:rsidR="00BA3260" w:rsidRPr="007B231E">
        <w:rPr>
          <w:rFonts w:cs="Arial"/>
          <w:szCs w:val="20"/>
        </w:rPr>
        <w:t>ena plnění je stanovena v souladu se zákonem č. 526/1990 Sb., o cenách, ve znění pozdějších předpisů, a to na základě cenové nabídky Poskytovatele předložené v rámci předmětné veřejné zakázky.</w:t>
      </w:r>
    </w:p>
    <w:p w14:paraId="4F76674D" w14:textId="77777777" w:rsidR="00BA3260" w:rsidRPr="007B231E" w:rsidRDefault="00BA3260" w:rsidP="00BA3260">
      <w:pPr>
        <w:pStyle w:val="Odstavecseseznamem"/>
        <w:ind w:left="360"/>
        <w:rPr>
          <w:rFonts w:cs="Arial"/>
          <w:szCs w:val="20"/>
        </w:rPr>
      </w:pPr>
    </w:p>
    <w:p w14:paraId="399CD0A7" w14:textId="77777777" w:rsidR="00386366" w:rsidRDefault="00192D76" w:rsidP="003846BC">
      <w:pPr>
        <w:pStyle w:val="Odstavecseseznamem"/>
        <w:numPr>
          <w:ilvl w:val="0"/>
          <w:numId w:val="2"/>
        </w:numPr>
        <w:rPr>
          <w:rFonts w:cs="Arial"/>
          <w:szCs w:val="20"/>
        </w:rPr>
      </w:pPr>
      <w:r>
        <w:rPr>
          <w:rFonts w:cs="Arial"/>
          <w:szCs w:val="20"/>
        </w:rPr>
        <w:t xml:space="preserve">Cena </w:t>
      </w:r>
      <w:r w:rsidR="00B62E7E">
        <w:rPr>
          <w:rFonts w:cs="Arial"/>
          <w:szCs w:val="20"/>
        </w:rPr>
        <w:t xml:space="preserve">za </w:t>
      </w:r>
    </w:p>
    <w:p w14:paraId="4FFD7767" w14:textId="77777777" w:rsidR="00386366" w:rsidRPr="00386366" w:rsidRDefault="00386366" w:rsidP="00386366">
      <w:pPr>
        <w:pStyle w:val="Odstavecseseznamem"/>
        <w:rPr>
          <w:rFonts w:cs="Arial"/>
          <w:szCs w:val="20"/>
        </w:rPr>
      </w:pPr>
    </w:p>
    <w:p w14:paraId="3B7B82C7" w14:textId="77777777" w:rsidR="00386366" w:rsidRDefault="004C3EDE" w:rsidP="00386366">
      <w:pPr>
        <w:pStyle w:val="Odstavecseseznamem"/>
        <w:numPr>
          <w:ilvl w:val="1"/>
          <w:numId w:val="2"/>
        </w:numPr>
        <w:rPr>
          <w:rFonts w:cs="Arial"/>
          <w:szCs w:val="20"/>
        </w:rPr>
      </w:pPr>
      <w:r>
        <w:rPr>
          <w:rFonts w:cs="Arial"/>
          <w:szCs w:val="20"/>
        </w:rPr>
        <w:t xml:space="preserve">Server 1 činí </w:t>
      </w:r>
      <w:r w:rsidRPr="004C3EDE">
        <w:rPr>
          <w:rFonts w:cs="Arial"/>
          <w:szCs w:val="20"/>
          <w:highlight w:val="yellow"/>
        </w:rPr>
        <w:t>……………………</w:t>
      </w:r>
      <w:r w:rsidR="00C92211">
        <w:rPr>
          <w:rFonts w:cs="Arial"/>
          <w:szCs w:val="20"/>
        </w:rPr>
        <w:t xml:space="preserve"> </w:t>
      </w:r>
      <w:r>
        <w:rPr>
          <w:rFonts w:cs="Arial"/>
          <w:szCs w:val="20"/>
        </w:rPr>
        <w:t xml:space="preserve">(doplní poskytovatel), za </w:t>
      </w:r>
    </w:p>
    <w:p w14:paraId="6BB00635" w14:textId="3F35E1F2" w:rsidR="00386366" w:rsidRDefault="004C3EDE" w:rsidP="00386366">
      <w:pPr>
        <w:pStyle w:val="Odstavecseseznamem"/>
        <w:numPr>
          <w:ilvl w:val="1"/>
          <w:numId w:val="2"/>
        </w:numPr>
        <w:rPr>
          <w:rFonts w:cs="Arial"/>
          <w:szCs w:val="20"/>
        </w:rPr>
      </w:pPr>
      <w:r>
        <w:rPr>
          <w:rFonts w:cs="Arial"/>
          <w:szCs w:val="20"/>
        </w:rPr>
        <w:t>Server</w:t>
      </w:r>
      <w:r w:rsidR="00386366">
        <w:rPr>
          <w:rFonts w:cs="Arial"/>
          <w:szCs w:val="20"/>
        </w:rPr>
        <w:t xml:space="preserve"> </w:t>
      </w:r>
      <w:r>
        <w:rPr>
          <w:rFonts w:cs="Arial"/>
          <w:szCs w:val="20"/>
        </w:rPr>
        <w:t xml:space="preserve">2 činí </w:t>
      </w:r>
      <w:r w:rsidR="00C416DF" w:rsidRPr="004C3EDE">
        <w:rPr>
          <w:rFonts w:cs="Arial"/>
          <w:szCs w:val="20"/>
          <w:highlight w:val="yellow"/>
        </w:rPr>
        <w:t>……………………</w:t>
      </w:r>
      <w:r w:rsidR="00C416DF">
        <w:rPr>
          <w:rFonts w:cs="Arial"/>
          <w:szCs w:val="20"/>
        </w:rPr>
        <w:t xml:space="preserve"> </w:t>
      </w:r>
      <w:r>
        <w:rPr>
          <w:rFonts w:cs="Arial"/>
          <w:szCs w:val="20"/>
        </w:rPr>
        <w:t xml:space="preserve">(doplní poskytovatel), za </w:t>
      </w:r>
    </w:p>
    <w:p w14:paraId="3B8A72E7" w14:textId="0CBF4310" w:rsidR="00192D76" w:rsidRDefault="00B62E7E" w:rsidP="000618F3">
      <w:pPr>
        <w:pStyle w:val="Odstavecseseznamem"/>
        <w:numPr>
          <w:ilvl w:val="1"/>
          <w:numId w:val="2"/>
        </w:numPr>
        <w:rPr>
          <w:rFonts w:cs="Arial"/>
          <w:szCs w:val="20"/>
        </w:rPr>
      </w:pPr>
      <w:r w:rsidRPr="000618F3">
        <w:rPr>
          <w:rFonts w:cs="Arial"/>
          <w:szCs w:val="20"/>
        </w:rPr>
        <w:t>licenc</w:t>
      </w:r>
      <w:r w:rsidR="004C3EDE" w:rsidRPr="000618F3">
        <w:rPr>
          <w:rFonts w:cs="Arial"/>
          <w:szCs w:val="20"/>
        </w:rPr>
        <w:t>i</w:t>
      </w:r>
      <w:r w:rsidR="00192D76" w:rsidRPr="000618F3">
        <w:rPr>
          <w:rFonts w:cs="Arial"/>
          <w:szCs w:val="20"/>
        </w:rPr>
        <w:t xml:space="preserve"> </w:t>
      </w:r>
      <w:r w:rsidR="00386366" w:rsidRPr="000618F3">
        <w:rPr>
          <w:rFonts w:cs="Arial"/>
          <w:szCs w:val="20"/>
        </w:rPr>
        <w:t xml:space="preserve">k software </w:t>
      </w:r>
      <w:r w:rsidR="00192D76" w:rsidRPr="000618F3">
        <w:rPr>
          <w:rFonts w:cs="Arial"/>
          <w:szCs w:val="20"/>
        </w:rPr>
        <w:t>činí</w:t>
      </w:r>
      <w:r w:rsidR="003D7DFD" w:rsidRPr="000618F3">
        <w:rPr>
          <w:rFonts w:cs="Arial"/>
          <w:szCs w:val="20"/>
        </w:rPr>
        <w:t xml:space="preserve"> </w:t>
      </w:r>
      <w:r w:rsidR="003D7DFD" w:rsidRPr="000618F3">
        <w:rPr>
          <w:rFonts w:cs="Arial"/>
          <w:bCs/>
          <w:szCs w:val="20"/>
          <w:shd w:val="clear" w:color="auto" w:fill="D9D9D9" w:themeFill="background1" w:themeFillShade="D9"/>
        </w:rPr>
        <w:t>[</w:t>
      </w:r>
      <w:r w:rsidR="00BB09D2" w:rsidRPr="000618F3">
        <w:rPr>
          <w:rFonts w:cs="Arial"/>
          <w:bCs/>
          <w:szCs w:val="20"/>
          <w:highlight w:val="yellow"/>
          <w:shd w:val="clear" w:color="auto" w:fill="D9D9D9" w:themeFill="background1" w:themeFillShade="D9"/>
        </w:rPr>
        <w:t>doplní Poskytovatel</w:t>
      </w:r>
      <w:r w:rsidR="003D7DFD" w:rsidRPr="000618F3">
        <w:rPr>
          <w:rFonts w:cs="Arial"/>
          <w:bCs/>
          <w:szCs w:val="20"/>
          <w:highlight w:val="yellow"/>
          <w:shd w:val="clear" w:color="auto" w:fill="D9D9D9" w:themeFill="background1" w:themeFillShade="D9"/>
        </w:rPr>
        <w:t>]</w:t>
      </w:r>
      <w:r w:rsidR="003D7DFD" w:rsidRPr="000618F3">
        <w:rPr>
          <w:rFonts w:cs="Arial"/>
          <w:szCs w:val="20"/>
        </w:rPr>
        <w:t xml:space="preserve"> </w:t>
      </w:r>
      <w:r w:rsidRPr="000618F3">
        <w:rPr>
          <w:rFonts w:cs="Arial"/>
          <w:szCs w:val="20"/>
        </w:rPr>
        <w:t>………………</w:t>
      </w:r>
      <w:r w:rsidR="003D7DFD" w:rsidRPr="000618F3">
        <w:rPr>
          <w:rFonts w:cs="Arial"/>
          <w:szCs w:val="20"/>
        </w:rPr>
        <w:t>Kč bez DPH</w:t>
      </w:r>
      <w:r w:rsidRPr="000618F3">
        <w:rPr>
          <w:rFonts w:cs="Arial"/>
          <w:szCs w:val="20"/>
        </w:rPr>
        <w:t>.</w:t>
      </w:r>
      <w:r w:rsidR="003D7DFD" w:rsidRPr="000618F3">
        <w:rPr>
          <w:rFonts w:cs="Arial"/>
          <w:szCs w:val="20"/>
        </w:rPr>
        <w:t xml:space="preserve"> </w:t>
      </w:r>
    </w:p>
    <w:p w14:paraId="207C7B15" w14:textId="154900BD" w:rsidR="000618F3" w:rsidRPr="000618F3" w:rsidRDefault="000618F3" w:rsidP="000618F3">
      <w:pPr>
        <w:ind w:left="360"/>
        <w:rPr>
          <w:rFonts w:cs="Arial"/>
          <w:szCs w:val="20"/>
        </w:rPr>
      </w:pPr>
      <w:r>
        <w:rPr>
          <w:rFonts w:cs="Arial"/>
          <w:szCs w:val="20"/>
        </w:rPr>
        <w:t xml:space="preserve">Do ceny je již zahrnuta </w:t>
      </w:r>
      <w:r w:rsidR="006B7792">
        <w:rPr>
          <w:rFonts w:cs="Arial"/>
          <w:szCs w:val="20"/>
        </w:rPr>
        <w:t xml:space="preserve">3letá podpora. </w:t>
      </w:r>
    </w:p>
    <w:p w14:paraId="4966E6DA" w14:textId="01C05474" w:rsidR="00BA3260" w:rsidRPr="007B231E" w:rsidRDefault="00192D76" w:rsidP="003846BC">
      <w:pPr>
        <w:pStyle w:val="Odstavecseseznamem"/>
        <w:numPr>
          <w:ilvl w:val="0"/>
          <w:numId w:val="2"/>
        </w:numPr>
        <w:rPr>
          <w:rFonts w:cs="Arial"/>
          <w:szCs w:val="20"/>
        </w:rPr>
      </w:pPr>
      <w:r>
        <w:rPr>
          <w:rFonts w:cs="Arial"/>
          <w:szCs w:val="20"/>
        </w:rPr>
        <w:t xml:space="preserve">Celková cena plnění </w:t>
      </w:r>
      <w:r w:rsidR="000107CF">
        <w:rPr>
          <w:rFonts w:cs="Arial"/>
          <w:szCs w:val="20"/>
        </w:rPr>
        <w:t xml:space="preserve">činí </w:t>
      </w:r>
      <w:r w:rsidR="000107CF" w:rsidRPr="000107CF">
        <w:rPr>
          <w:rFonts w:cs="Arial"/>
          <w:szCs w:val="20"/>
          <w:highlight w:val="yellow"/>
        </w:rPr>
        <w:t>…………………………</w:t>
      </w:r>
      <w:r w:rsidR="000107CF">
        <w:rPr>
          <w:rFonts w:cs="Arial"/>
          <w:szCs w:val="20"/>
        </w:rPr>
        <w:t xml:space="preserve"> bez DPH</w:t>
      </w:r>
    </w:p>
    <w:p w14:paraId="0BB3185C" w14:textId="77777777" w:rsidR="003D7DFD" w:rsidRPr="007B231E" w:rsidRDefault="003D7DFD" w:rsidP="003D7DFD">
      <w:pPr>
        <w:pStyle w:val="Odstavecseseznamem"/>
        <w:ind w:left="360"/>
        <w:rPr>
          <w:rFonts w:cs="Arial"/>
          <w:szCs w:val="20"/>
        </w:rPr>
      </w:pPr>
    </w:p>
    <w:p w14:paraId="70BA28C2" w14:textId="77777777" w:rsidR="003D7DFD" w:rsidRPr="007B231E" w:rsidRDefault="00BB09D2" w:rsidP="003846BC">
      <w:pPr>
        <w:pStyle w:val="Odstavecseseznamem"/>
        <w:numPr>
          <w:ilvl w:val="0"/>
          <w:numId w:val="2"/>
        </w:numPr>
        <w:rPr>
          <w:rFonts w:cs="Arial"/>
          <w:szCs w:val="20"/>
        </w:rPr>
      </w:pPr>
      <w:r>
        <w:rPr>
          <w:rFonts w:cs="Arial"/>
          <w:szCs w:val="20"/>
        </w:rPr>
        <w:t xml:space="preserve">Shora uvedené ceny plnění bez DPH jsou konečné a nepřekročitelné a zahrnují úhradu za veškerá plnění dle této Smlouvy, tj. i odměnu za poskytnutou licenci v odpovídajícím rozsahu. </w:t>
      </w:r>
      <w:r w:rsidR="003D7DFD" w:rsidRPr="007B231E">
        <w:rPr>
          <w:rFonts w:cs="Arial"/>
          <w:szCs w:val="20"/>
        </w:rPr>
        <w:t xml:space="preserve"> </w:t>
      </w:r>
    </w:p>
    <w:p w14:paraId="30BA822E" w14:textId="77777777" w:rsidR="00BA3260" w:rsidRPr="007B231E" w:rsidRDefault="00BA3260" w:rsidP="00BA3260">
      <w:pPr>
        <w:pStyle w:val="Odstavecseseznamem"/>
        <w:ind w:left="360"/>
        <w:rPr>
          <w:rFonts w:cs="Arial"/>
          <w:szCs w:val="20"/>
        </w:rPr>
      </w:pPr>
    </w:p>
    <w:p w14:paraId="7E20E12B" w14:textId="77777777" w:rsidR="00BA3260" w:rsidRPr="007B231E" w:rsidRDefault="00BB09D2" w:rsidP="003846BC">
      <w:pPr>
        <w:pStyle w:val="Odstavecseseznamem"/>
        <w:numPr>
          <w:ilvl w:val="0"/>
          <w:numId w:val="2"/>
        </w:numPr>
        <w:rPr>
          <w:rFonts w:cs="Arial"/>
          <w:szCs w:val="20"/>
        </w:rPr>
      </w:pPr>
      <w:r>
        <w:rPr>
          <w:rFonts w:cs="Arial"/>
          <w:szCs w:val="20"/>
        </w:rPr>
        <w:t xml:space="preserve">Ke shora uvedeným cenám </w:t>
      </w:r>
      <w:r w:rsidR="00BA3260" w:rsidRPr="007B231E">
        <w:rPr>
          <w:rFonts w:cs="Arial"/>
          <w:szCs w:val="20"/>
        </w:rPr>
        <w:t xml:space="preserve">bude Poskytovatelem účtována daň z přidané hodnoty </w:t>
      </w:r>
      <w:r>
        <w:rPr>
          <w:rFonts w:cs="Arial"/>
          <w:szCs w:val="20"/>
        </w:rPr>
        <w:t>v zákonem stanovené výši, platné ke dni uskutečnění zdanitelného plnění. Za správnost stanovení sazby DPH a vyčíslení výše DPH odpovídá Poskytovatel.</w:t>
      </w:r>
    </w:p>
    <w:p w14:paraId="4E6B333E" w14:textId="77777777" w:rsidR="00BA3260" w:rsidRPr="007B231E" w:rsidRDefault="00BA3260" w:rsidP="00EA0004">
      <w:pPr>
        <w:rPr>
          <w:rFonts w:cs="Arial"/>
          <w:szCs w:val="20"/>
        </w:rPr>
      </w:pPr>
    </w:p>
    <w:p w14:paraId="0199BED9" w14:textId="77777777" w:rsidR="00DD6BDD" w:rsidRPr="007B231E" w:rsidRDefault="004D6EC4" w:rsidP="004C3EDE">
      <w:pPr>
        <w:pStyle w:val="Nadpis1"/>
      </w:pPr>
      <w:r>
        <w:t>Článek V.</w:t>
      </w:r>
      <w:r>
        <w:br/>
      </w:r>
      <w:r w:rsidR="00DD6BDD" w:rsidRPr="007B231E">
        <w:t>Doba</w:t>
      </w:r>
      <w:r w:rsidR="00CE5412">
        <w:t>, způsob</w:t>
      </w:r>
      <w:r w:rsidR="00CD1AF1" w:rsidRPr="007B231E">
        <w:t xml:space="preserve"> </w:t>
      </w:r>
      <w:r w:rsidR="00DD6BDD" w:rsidRPr="007B231E">
        <w:t>a místo plnění</w:t>
      </w:r>
    </w:p>
    <w:p w14:paraId="023B3ED6" w14:textId="41A8D4D8" w:rsidR="00BB09D2" w:rsidRPr="00F10EA4" w:rsidRDefault="00BD3724" w:rsidP="003846BC">
      <w:pPr>
        <w:pStyle w:val="Odstavecseseznamem"/>
        <w:numPr>
          <w:ilvl w:val="0"/>
          <w:numId w:val="9"/>
        </w:numPr>
        <w:spacing w:after="120" w:line="280" w:lineRule="atLeast"/>
        <w:contextualSpacing w:val="0"/>
        <w:rPr>
          <w:rFonts w:cs="Arial"/>
          <w:szCs w:val="20"/>
        </w:rPr>
      </w:pPr>
      <w:r w:rsidRPr="006D5647">
        <w:rPr>
          <w:rFonts w:cs="Arial"/>
          <w:b/>
          <w:szCs w:val="20"/>
        </w:rPr>
        <w:t>L</w:t>
      </w:r>
      <w:r w:rsidR="00094CCC" w:rsidRPr="006D5647">
        <w:rPr>
          <w:rFonts w:cs="Arial"/>
          <w:b/>
          <w:szCs w:val="20"/>
        </w:rPr>
        <w:t>icenc</w:t>
      </w:r>
      <w:r w:rsidRPr="006D5647">
        <w:rPr>
          <w:rFonts w:cs="Arial"/>
          <w:b/>
          <w:szCs w:val="20"/>
        </w:rPr>
        <w:t>e</w:t>
      </w:r>
      <w:r w:rsidR="004C3EDE">
        <w:rPr>
          <w:rFonts w:cs="Arial"/>
          <w:szCs w:val="20"/>
        </w:rPr>
        <w:t xml:space="preserve"> je</w:t>
      </w:r>
      <w:r w:rsidR="000107CF">
        <w:rPr>
          <w:rFonts w:cs="Arial"/>
          <w:szCs w:val="20"/>
        </w:rPr>
        <w:t xml:space="preserve"> poskyto</w:t>
      </w:r>
      <w:r w:rsidR="004C3EDE">
        <w:rPr>
          <w:rFonts w:cs="Arial"/>
          <w:szCs w:val="20"/>
        </w:rPr>
        <w:t>vána</w:t>
      </w:r>
      <w:r w:rsidR="000107CF">
        <w:rPr>
          <w:rFonts w:cs="Arial"/>
          <w:szCs w:val="20"/>
        </w:rPr>
        <w:t xml:space="preserve"> na dobu </w:t>
      </w:r>
      <w:r w:rsidR="00A179A4">
        <w:rPr>
          <w:rFonts w:cs="Arial"/>
          <w:szCs w:val="20"/>
        </w:rPr>
        <w:t>neurčitou.</w:t>
      </w:r>
      <w:r w:rsidR="004C3EDE">
        <w:rPr>
          <w:rFonts w:cs="Arial"/>
          <w:szCs w:val="20"/>
        </w:rPr>
        <w:t xml:space="preserve"> HW je předáváno do vlastnictví dne podepsání Akceptačního protokolu po fyzickém předání.</w:t>
      </w:r>
    </w:p>
    <w:p w14:paraId="35E64D78" w14:textId="45D3E9BF" w:rsidR="00F10EA4" w:rsidRDefault="00F10EA4" w:rsidP="003846BC">
      <w:pPr>
        <w:pStyle w:val="Odstavecseseznamem"/>
        <w:numPr>
          <w:ilvl w:val="0"/>
          <w:numId w:val="9"/>
        </w:numPr>
        <w:spacing w:after="120" w:line="280" w:lineRule="atLeast"/>
        <w:contextualSpacing w:val="0"/>
        <w:rPr>
          <w:rFonts w:cs="Arial"/>
          <w:szCs w:val="20"/>
        </w:rPr>
      </w:pPr>
      <w:r w:rsidRPr="004C2FCA">
        <w:rPr>
          <w:rFonts w:cs="Arial"/>
          <w:szCs w:val="20"/>
        </w:rPr>
        <w:t>P</w:t>
      </w:r>
      <w:r w:rsidR="00094CCC" w:rsidRPr="004C2FCA">
        <w:rPr>
          <w:rFonts w:cs="Arial"/>
          <w:szCs w:val="20"/>
        </w:rPr>
        <w:t>odpor</w:t>
      </w:r>
      <w:r w:rsidR="00C63FEE" w:rsidRPr="004C2FCA">
        <w:rPr>
          <w:rFonts w:cs="Arial"/>
          <w:szCs w:val="20"/>
        </w:rPr>
        <w:t>a</w:t>
      </w:r>
      <w:r w:rsidR="0073442C" w:rsidRPr="008E3948">
        <w:rPr>
          <w:rFonts w:cs="Arial"/>
          <w:szCs w:val="20"/>
        </w:rPr>
        <w:t xml:space="preserve"> </w:t>
      </w:r>
      <w:r>
        <w:rPr>
          <w:rFonts w:cs="Arial"/>
          <w:szCs w:val="20"/>
        </w:rPr>
        <w:t xml:space="preserve">Výrobce bude </w:t>
      </w:r>
      <w:r w:rsidR="00291944">
        <w:rPr>
          <w:rFonts w:cs="Arial"/>
          <w:szCs w:val="20"/>
        </w:rPr>
        <w:t xml:space="preserve">poskytována </w:t>
      </w:r>
      <w:r w:rsidR="004D2230">
        <w:rPr>
          <w:rFonts w:cs="Arial"/>
          <w:szCs w:val="20"/>
        </w:rPr>
        <w:t xml:space="preserve">na HW </w:t>
      </w:r>
      <w:r w:rsidR="00291944">
        <w:rPr>
          <w:rFonts w:cs="Arial"/>
          <w:szCs w:val="20"/>
        </w:rPr>
        <w:t>v </w:t>
      </w:r>
      <w:r>
        <w:rPr>
          <w:rFonts w:cs="Arial"/>
          <w:szCs w:val="20"/>
        </w:rPr>
        <w:t>období</w:t>
      </w:r>
      <w:r w:rsidR="00C63FEE" w:rsidRPr="008E3948">
        <w:rPr>
          <w:rFonts w:cs="Arial"/>
          <w:szCs w:val="20"/>
        </w:rPr>
        <w:t xml:space="preserve"> </w:t>
      </w:r>
      <w:r w:rsidR="00BA3260" w:rsidRPr="00F10EA4">
        <w:rPr>
          <w:rFonts w:cs="Arial"/>
          <w:szCs w:val="20"/>
        </w:rPr>
        <w:t xml:space="preserve">od </w:t>
      </w:r>
      <w:r w:rsidR="00A0451F">
        <w:rPr>
          <w:rFonts w:cs="Arial"/>
          <w:szCs w:val="20"/>
        </w:rPr>
        <w:t xml:space="preserve">podepsání Akceptačního protokolu a předání HW na dobu 3 let, </w:t>
      </w:r>
      <w:r w:rsidR="004D2230">
        <w:rPr>
          <w:rFonts w:cs="Arial"/>
          <w:szCs w:val="20"/>
        </w:rPr>
        <w:t xml:space="preserve"> na licenci od </w:t>
      </w:r>
      <w:r w:rsidR="00A0451F">
        <w:rPr>
          <w:rFonts w:cs="Arial"/>
          <w:szCs w:val="20"/>
        </w:rPr>
        <w:t>podpisu Akceptačního protokolu na dobu 3 let.</w:t>
      </w:r>
      <w:r w:rsidR="004D2230">
        <w:rPr>
          <w:rFonts w:cs="Arial"/>
          <w:szCs w:val="20"/>
        </w:rPr>
        <w:t xml:space="preserve"> </w:t>
      </w:r>
    </w:p>
    <w:p w14:paraId="7D6BAC2E" w14:textId="1C56CB51" w:rsidR="00654B6C" w:rsidRPr="00654B6C" w:rsidRDefault="00654B6C" w:rsidP="00654B6C">
      <w:pPr>
        <w:pStyle w:val="Odstavecseseznamem"/>
        <w:numPr>
          <w:ilvl w:val="0"/>
          <w:numId w:val="9"/>
        </w:numPr>
        <w:spacing w:after="120" w:line="280" w:lineRule="atLeast"/>
        <w:contextualSpacing w:val="0"/>
        <w:rPr>
          <w:rFonts w:cs="Arial"/>
          <w:szCs w:val="20"/>
        </w:rPr>
      </w:pPr>
      <w:r w:rsidRPr="00654B6C">
        <w:rPr>
          <w:rFonts w:cs="Arial"/>
          <w:szCs w:val="20"/>
        </w:rPr>
        <w:t xml:space="preserve">Poskytovatel </w:t>
      </w:r>
      <w:r w:rsidR="009623E3">
        <w:rPr>
          <w:rFonts w:cs="Arial"/>
          <w:szCs w:val="20"/>
        </w:rPr>
        <w:t xml:space="preserve">je povinen dodat </w:t>
      </w:r>
      <w:r w:rsidR="004D2230">
        <w:rPr>
          <w:rFonts w:cs="Arial"/>
          <w:szCs w:val="20"/>
        </w:rPr>
        <w:t xml:space="preserve">HW a </w:t>
      </w:r>
      <w:r w:rsidR="009623E3">
        <w:rPr>
          <w:rFonts w:cs="Arial"/>
          <w:szCs w:val="20"/>
        </w:rPr>
        <w:t>lice</w:t>
      </w:r>
      <w:r w:rsidR="004D2230">
        <w:rPr>
          <w:rFonts w:cs="Arial"/>
          <w:szCs w:val="20"/>
        </w:rPr>
        <w:t>nci</w:t>
      </w:r>
      <w:r w:rsidRPr="00654B6C">
        <w:rPr>
          <w:rFonts w:cs="Arial"/>
          <w:szCs w:val="20"/>
        </w:rPr>
        <w:t xml:space="preserve"> </w:t>
      </w:r>
      <w:r w:rsidR="008F095E">
        <w:rPr>
          <w:rFonts w:cs="Arial"/>
          <w:szCs w:val="20"/>
        </w:rPr>
        <w:t xml:space="preserve">k software </w:t>
      </w:r>
      <w:r w:rsidRPr="00654B6C">
        <w:rPr>
          <w:rFonts w:cs="Arial"/>
          <w:szCs w:val="20"/>
        </w:rPr>
        <w:t xml:space="preserve">do </w:t>
      </w:r>
      <w:r w:rsidR="00386087">
        <w:rPr>
          <w:rFonts w:cs="Arial"/>
          <w:szCs w:val="20"/>
        </w:rPr>
        <w:t>45</w:t>
      </w:r>
      <w:r w:rsidRPr="00654B6C">
        <w:rPr>
          <w:rFonts w:cs="Arial"/>
          <w:szCs w:val="20"/>
        </w:rPr>
        <w:t xml:space="preserve"> dnů </w:t>
      </w:r>
      <w:r w:rsidR="000107CF">
        <w:rPr>
          <w:rFonts w:cs="Arial"/>
          <w:szCs w:val="20"/>
        </w:rPr>
        <w:t>od výzvy Objednatele</w:t>
      </w:r>
      <w:r w:rsidR="009623E3">
        <w:rPr>
          <w:rFonts w:cs="Arial"/>
          <w:szCs w:val="20"/>
        </w:rPr>
        <w:t>/od uveřejnění Smlouvy v Registru smluv (podle toho, které datum nastane později)</w:t>
      </w:r>
      <w:r w:rsidR="00594819">
        <w:rPr>
          <w:rFonts w:cs="Arial"/>
          <w:szCs w:val="20"/>
        </w:rPr>
        <w:t>.</w:t>
      </w:r>
    </w:p>
    <w:p w14:paraId="26B968A2" w14:textId="223AAAB5" w:rsidR="005F134B" w:rsidRDefault="004D2230" w:rsidP="004C2FCA">
      <w:pPr>
        <w:pStyle w:val="Odstavecseseznamem"/>
        <w:numPr>
          <w:ilvl w:val="0"/>
          <w:numId w:val="9"/>
        </w:numPr>
        <w:spacing w:after="120" w:line="280" w:lineRule="atLeast"/>
        <w:contextualSpacing w:val="0"/>
        <w:rPr>
          <w:rFonts w:cs="Arial"/>
          <w:szCs w:val="20"/>
        </w:rPr>
      </w:pPr>
      <w:r>
        <w:rPr>
          <w:rFonts w:cs="Arial"/>
          <w:szCs w:val="20"/>
        </w:rPr>
        <w:t>Dodání HW a licence</w:t>
      </w:r>
      <w:r w:rsidR="005F134B">
        <w:rPr>
          <w:rFonts w:cs="Arial"/>
          <w:szCs w:val="20"/>
        </w:rPr>
        <w:t xml:space="preserve"> </w:t>
      </w:r>
      <w:r w:rsidR="005C6751">
        <w:rPr>
          <w:rFonts w:cs="Arial"/>
          <w:szCs w:val="20"/>
        </w:rPr>
        <w:t xml:space="preserve">k software </w:t>
      </w:r>
      <w:r w:rsidR="005F134B">
        <w:rPr>
          <w:rFonts w:cs="Arial"/>
          <w:szCs w:val="20"/>
        </w:rPr>
        <w:t xml:space="preserve">bude </w:t>
      </w:r>
      <w:r w:rsidR="00CE0ED9">
        <w:rPr>
          <w:rFonts w:cs="Arial"/>
          <w:szCs w:val="20"/>
        </w:rPr>
        <w:t xml:space="preserve">Poskytovateli </w:t>
      </w:r>
      <w:r w:rsidR="005F134B">
        <w:rPr>
          <w:rFonts w:cs="Arial"/>
          <w:szCs w:val="20"/>
        </w:rPr>
        <w:t xml:space="preserve">písemně potvrzeno </w:t>
      </w:r>
      <w:r w:rsidR="00CE0ED9">
        <w:rPr>
          <w:rFonts w:cs="Arial"/>
          <w:szCs w:val="20"/>
        </w:rPr>
        <w:t>p</w:t>
      </w:r>
      <w:r w:rsidR="005F134B">
        <w:rPr>
          <w:rFonts w:cs="Arial"/>
          <w:szCs w:val="20"/>
        </w:rPr>
        <w:t xml:space="preserve">ověřenou osobou Objednatele </w:t>
      </w:r>
      <w:r w:rsidR="00CE0ED9">
        <w:rPr>
          <w:rFonts w:cs="Arial"/>
          <w:szCs w:val="20"/>
        </w:rPr>
        <w:t>uvedenou v</w:t>
      </w:r>
      <w:r w:rsidR="005F134B">
        <w:rPr>
          <w:rFonts w:cs="Arial"/>
          <w:szCs w:val="20"/>
        </w:rPr>
        <w:t xml:space="preserve"> čl. XIII. </w:t>
      </w:r>
      <w:r w:rsidR="00CE0ED9">
        <w:rPr>
          <w:rFonts w:cs="Arial"/>
          <w:szCs w:val="20"/>
        </w:rPr>
        <w:t>této Smlouvy</w:t>
      </w:r>
      <w:r w:rsidR="005F134B">
        <w:rPr>
          <w:rFonts w:cs="Arial"/>
          <w:szCs w:val="20"/>
        </w:rPr>
        <w:t xml:space="preserve"> (dále jen „Potvrzení“)</w:t>
      </w:r>
      <w:r w:rsidR="00CE0ED9">
        <w:rPr>
          <w:rFonts w:cs="Arial"/>
          <w:szCs w:val="20"/>
        </w:rPr>
        <w:t>. Potvrzení bude zasláno Pověřené osobě Poskytovatele uvedené v čl. XIII. této Smlouvy</w:t>
      </w:r>
      <w:r w:rsidR="00654B6C">
        <w:rPr>
          <w:rFonts w:cs="Arial"/>
          <w:szCs w:val="20"/>
        </w:rPr>
        <w:t xml:space="preserve">, a to do </w:t>
      </w:r>
      <w:r w:rsidR="00844695">
        <w:rPr>
          <w:rFonts w:cs="Arial"/>
          <w:szCs w:val="20"/>
        </w:rPr>
        <w:t>5</w:t>
      </w:r>
      <w:r w:rsidR="000107CF">
        <w:rPr>
          <w:rFonts w:cs="Arial"/>
          <w:szCs w:val="20"/>
        </w:rPr>
        <w:t xml:space="preserve"> </w:t>
      </w:r>
      <w:r w:rsidR="00654B6C">
        <w:rPr>
          <w:rFonts w:cs="Arial"/>
          <w:szCs w:val="20"/>
        </w:rPr>
        <w:t xml:space="preserve">pracovních dnů. V případě, že nebude toto </w:t>
      </w:r>
      <w:r w:rsidR="005F1E66">
        <w:rPr>
          <w:rFonts w:cs="Arial"/>
          <w:szCs w:val="20"/>
        </w:rPr>
        <w:t>P</w:t>
      </w:r>
      <w:r w:rsidR="00654B6C">
        <w:rPr>
          <w:rFonts w:cs="Arial"/>
          <w:szCs w:val="20"/>
        </w:rPr>
        <w:t>otvrzení</w:t>
      </w:r>
      <w:r w:rsidR="005F1E66">
        <w:rPr>
          <w:rFonts w:cs="Arial"/>
          <w:szCs w:val="20"/>
        </w:rPr>
        <w:t xml:space="preserve"> </w:t>
      </w:r>
      <w:r w:rsidR="009623E3">
        <w:rPr>
          <w:rFonts w:cs="Arial"/>
          <w:szCs w:val="20"/>
        </w:rPr>
        <w:t>v</w:t>
      </w:r>
      <w:r w:rsidR="00654B6C">
        <w:rPr>
          <w:rFonts w:cs="Arial"/>
          <w:szCs w:val="20"/>
        </w:rPr>
        <w:t xml:space="preserve"> této lhůtě zasláno, má se za to, že bylo </w:t>
      </w:r>
      <w:r w:rsidR="003835BB">
        <w:rPr>
          <w:rFonts w:cs="Arial"/>
          <w:szCs w:val="20"/>
        </w:rPr>
        <w:t xml:space="preserve">zasláno </w:t>
      </w:r>
      <w:r w:rsidR="00654B6C">
        <w:rPr>
          <w:rFonts w:cs="Arial"/>
          <w:szCs w:val="20"/>
        </w:rPr>
        <w:t>uplynutím této lhůty.</w:t>
      </w:r>
    </w:p>
    <w:p w14:paraId="31EFD583" w14:textId="3400ADFB" w:rsidR="007F4EE5" w:rsidRPr="006F6AA9" w:rsidRDefault="007F4EE5" w:rsidP="004C2FCA">
      <w:pPr>
        <w:pStyle w:val="Odstavecseseznamem"/>
        <w:numPr>
          <w:ilvl w:val="0"/>
          <w:numId w:val="9"/>
        </w:numPr>
        <w:spacing w:after="120" w:line="280" w:lineRule="atLeast"/>
        <w:contextualSpacing w:val="0"/>
        <w:rPr>
          <w:rFonts w:cs="Arial"/>
          <w:szCs w:val="20"/>
        </w:rPr>
      </w:pPr>
      <w:r w:rsidRPr="006F6AA9">
        <w:rPr>
          <w:rFonts w:cs="Arial"/>
          <w:szCs w:val="20"/>
        </w:rPr>
        <w:t xml:space="preserve">Poskytování podpory </w:t>
      </w:r>
      <w:r w:rsidR="00FB096A">
        <w:rPr>
          <w:rFonts w:cs="Arial"/>
          <w:szCs w:val="20"/>
        </w:rPr>
        <w:t>Výrobce</w:t>
      </w:r>
      <w:r w:rsidRPr="006F6AA9">
        <w:rPr>
          <w:rFonts w:cs="Arial"/>
          <w:szCs w:val="20"/>
        </w:rPr>
        <w:t xml:space="preserve"> (rozsah a způsob) se </w:t>
      </w:r>
      <w:r>
        <w:rPr>
          <w:rFonts w:cs="Arial"/>
          <w:szCs w:val="20"/>
        </w:rPr>
        <w:t xml:space="preserve">dále </w:t>
      </w:r>
      <w:r w:rsidRPr="006F6AA9">
        <w:rPr>
          <w:rFonts w:cs="Arial"/>
          <w:szCs w:val="20"/>
        </w:rPr>
        <w:t>řídí zejména ustanovením čl. I</w:t>
      </w:r>
      <w:r>
        <w:rPr>
          <w:rFonts w:cs="Arial"/>
          <w:szCs w:val="20"/>
        </w:rPr>
        <w:t>I</w:t>
      </w:r>
      <w:r w:rsidR="00194BF7">
        <w:rPr>
          <w:rFonts w:cs="Arial"/>
          <w:szCs w:val="20"/>
        </w:rPr>
        <w:t>I</w:t>
      </w:r>
      <w:r w:rsidRPr="006F6AA9">
        <w:rPr>
          <w:rFonts w:cs="Arial"/>
          <w:szCs w:val="20"/>
        </w:rPr>
        <w:t xml:space="preserve">. </w:t>
      </w:r>
      <w:r>
        <w:rPr>
          <w:rFonts w:cs="Arial"/>
          <w:szCs w:val="20"/>
        </w:rPr>
        <w:t>této Smlouvy.</w:t>
      </w:r>
      <w:r w:rsidRPr="006F6AA9">
        <w:rPr>
          <w:rFonts w:cs="Arial"/>
          <w:szCs w:val="20"/>
        </w:rPr>
        <w:tab/>
      </w:r>
    </w:p>
    <w:p w14:paraId="58DEC114" w14:textId="4A91BF0B" w:rsidR="001669C1" w:rsidRPr="007B231E" w:rsidRDefault="001669C1" w:rsidP="003846BC">
      <w:pPr>
        <w:pStyle w:val="Odstavecseseznamem"/>
        <w:numPr>
          <w:ilvl w:val="0"/>
          <w:numId w:val="9"/>
        </w:numPr>
        <w:spacing w:after="120" w:line="280" w:lineRule="atLeast"/>
        <w:contextualSpacing w:val="0"/>
        <w:rPr>
          <w:rFonts w:cs="Arial"/>
          <w:szCs w:val="20"/>
        </w:rPr>
      </w:pPr>
      <w:r w:rsidRPr="004C2FCA">
        <w:rPr>
          <w:rFonts w:cs="Arial"/>
          <w:szCs w:val="20"/>
        </w:rPr>
        <w:t>Mís</w:t>
      </w:r>
      <w:r w:rsidR="00BB09D2" w:rsidRPr="004C2FCA">
        <w:rPr>
          <w:rFonts w:cs="Arial"/>
          <w:szCs w:val="20"/>
        </w:rPr>
        <w:t>tem plnění</w:t>
      </w:r>
      <w:r w:rsidR="00BB09D2">
        <w:rPr>
          <w:rFonts w:cs="Arial"/>
          <w:szCs w:val="20"/>
        </w:rPr>
        <w:t xml:space="preserve"> je sídlo Objednatele</w:t>
      </w:r>
      <w:r w:rsidR="004626BC">
        <w:rPr>
          <w:rFonts w:cs="Arial"/>
          <w:szCs w:val="20"/>
        </w:rPr>
        <w:t>.</w:t>
      </w:r>
    </w:p>
    <w:p w14:paraId="74A208D5" w14:textId="716CEC73" w:rsidR="00DD6BDD" w:rsidRPr="007B231E" w:rsidRDefault="004D6EC4" w:rsidP="004C3EDE">
      <w:pPr>
        <w:pStyle w:val="Nadpis1"/>
      </w:pPr>
      <w:r>
        <w:lastRenderedPageBreak/>
        <w:t>Článek VI.</w:t>
      </w:r>
      <w:r>
        <w:br/>
      </w:r>
      <w:r w:rsidR="00DD6BDD" w:rsidRPr="007B231E">
        <w:t>Fakturační a platební podmínky</w:t>
      </w:r>
      <w:r w:rsidR="00A179A4">
        <w:t xml:space="preserve">  </w:t>
      </w:r>
    </w:p>
    <w:p w14:paraId="0739DB27" w14:textId="77777777" w:rsidR="001669C1" w:rsidRPr="00F10EA4" w:rsidRDefault="00E66FC4" w:rsidP="00D63830">
      <w:pPr>
        <w:pStyle w:val="Odstavecseseznamem"/>
        <w:numPr>
          <w:ilvl w:val="0"/>
          <w:numId w:val="10"/>
        </w:numPr>
        <w:spacing w:after="120" w:line="280" w:lineRule="atLeast"/>
        <w:contextualSpacing w:val="0"/>
        <w:rPr>
          <w:rFonts w:cs="Arial"/>
          <w:szCs w:val="20"/>
        </w:rPr>
      </w:pPr>
      <w:r w:rsidRPr="007B231E">
        <w:rPr>
          <w:rFonts w:cs="Arial"/>
          <w:szCs w:val="20"/>
        </w:rPr>
        <w:t xml:space="preserve">Úhrada ceny </w:t>
      </w:r>
      <w:r w:rsidR="00E87795" w:rsidRPr="007B231E">
        <w:rPr>
          <w:rFonts w:cs="Arial"/>
          <w:szCs w:val="20"/>
        </w:rPr>
        <w:t xml:space="preserve">za poskytované </w:t>
      </w:r>
      <w:r w:rsidRPr="007B231E">
        <w:rPr>
          <w:rFonts w:cs="Arial"/>
          <w:szCs w:val="20"/>
        </w:rPr>
        <w:t xml:space="preserve">plnění </w:t>
      </w:r>
      <w:r w:rsidR="00E87795" w:rsidRPr="007B231E">
        <w:rPr>
          <w:rFonts w:cs="Arial"/>
          <w:szCs w:val="20"/>
        </w:rPr>
        <w:t>podle této Smlouvy bude prováděna bezhotovostním převodem na bankovní účet Poskytovatele, uvedený v záhlaví této S</w:t>
      </w:r>
      <w:r w:rsidR="00FE3D8A" w:rsidRPr="007B231E">
        <w:rPr>
          <w:rFonts w:cs="Arial"/>
          <w:szCs w:val="20"/>
        </w:rPr>
        <w:t>mlouvy, a to na základě daňových dokladů – faktur</w:t>
      </w:r>
      <w:r w:rsidR="00E87795" w:rsidRPr="007B231E">
        <w:rPr>
          <w:rFonts w:cs="Arial"/>
          <w:szCs w:val="20"/>
        </w:rPr>
        <w:t xml:space="preserve"> (dále jen „faktura“) vystavených Poskytovatelem.</w:t>
      </w:r>
    </w:p>
    <w:p w14:paraId="51991FBD" w14:textId="3B76FA24" w:rsidR="00E66FC4" w:rsidRPr="00F10EA4" w:rsidRDefault="00017477" w:rsidP="003846BC">
      <w:pPr>
        <w:pStyle w:val="Odstavecseseznamem"/>
        <w:numPr>
          <w:ilvl w:val="0"/>
          <w:numId w:val="10"/>
        </w:numPr>
        <w:spacing w:after="120" w:line="280" w:lineRule="atLeast"/>
        <w:contextualSpacing w:val="0"/>
        <w:rPr>
          <w:rFonts w:cs="Arial"/>
          <w:szCs w:val="20"/>
        </w:rPr>
      </w:pPr>
      <w:r>
        <w:rPr>
          <w:rFonts w:cs="Arial"/>
          <w:szCs w:val="20"/>
        </w:rPr>
        <w:t>Celková c</w:t>
      </w:r>
      <w:r w:rsidR="00D40874">
        <w:rPr>
          <w:rFonts w:cs="Arial"/>
          <w:szCs w:val="20"/>
        </w:rPr>
        <w:t>ena plnění</w:t>
      </w:r>
      <w:r>
        <w:rPr>
          <w:rFonts w:cs="Arial"/>
          <w:szCs w:val="20"/>
        </w:rPr>
        <w:t xml:space="preserve"> uvedená v čl. IV.</w:t>
      </w:r>
      <w:r w:rsidR="00D75757">
        <w:rPr>
          <w:rFonts w:cs="Arial"/>
          <w:szCs w:val="20"/>
        </w:rPr>
        <w:t xml:space="preserve"> odst.</w:t>
      </w:r>
      <w:r w:rsidR="00A45070">
        <w:rPr>
          <w:rFonts w:cs="Arial"/>
          <w:szCs w:val="20"/>
        </w:rPr>
        <w:t xml:space="preserve"> </w:t>
      </w:r>
      <w:r w:rsidR="00980EAA">
        <w:rPr>
          <w:rFonts w:cs="Arial"/>
          <w:szCs w:val="20"/>
        </w:rPr>
        <w:t>4</w:t>
      </w:r>
      <w:r w:rsidR="002668AF">
        <w:rPr>
          <w:rFonts w:cs="Arial"/>
          <w:szCs w:val="20"/>
        </w:rPr>
        <w:t>.</w:t>
      </w:r>
      <w:r w:rsidR="00A45070">
        <w:rPr>
          <w:rFonts w:cs="Arial"/>
          <w:szCs w:val="20"/>
        </w:rPr>
        <w:t xml:space="preserve"> </w:t>
      </w:r>
      <w:r w:rsidR="00516548" w:rsidRPr="007B231E">
        <w:rPr>
          <w:rFonts w:cs="Arial"/>
          <w:szCs w:val="20"/>
        </w:rPr>
        <w:t xml:space="preserve"> této </w:t>
      </w:r>
      <w:r w:rsidR="00C63FEE" w:rsidRPr="007B231E">
        <w:rPr>
          <w:rFonts w:cs="Arial"/>
          <w:szCs w:val="20"/>
        </w:rPr>
        <w:t>S</w:t>
      </w:r>
      <w:r w:rsidR="00516548" w:rsidRPr="007B231E">
        <w:rPr>
          <w:rFonts w:cs="Arial"/>
          <w:szCs w:val="20"/>
        </w:rPr>
        <w:t xml:space="preserve">mlouvy bude </w:t>
      </w:r>
      <w:r>
        <w:rPr>
          <w:rFonts w:cs="Arial"/>
          <w:szCs w:val="20"/>
        </w:rPr>
        <w:t>u</w:t>
      </w:r>
      <w:r w:rsidR="00516548" w:rsidRPr="007B231E">
        <w:rPr>
          <w:rFonts w:cs="Arial"/>
          <w:szCs w:val="20"/>
        </w:rPr>
        <w:t>hrazen</w:t>
      </w:r>
      <w:r w:rsidR="00D40874">
        <w:rPr>
          <w:rFonts w:cs="Arial"/>
          <w:szCs w:val="20"/>
        </w:rPr>
        <w:t>a</w:t>
      </w:r>
      <w:r w:rsidR="00516548" w:rsidRPr="007B231E">
        <w:rPr>
          <w:rFonts w:cs="Arial"/>
          <w:szCs w:val="20"/>
        </w:rPr>
        <w:t xml:space="preserve"> </w:t>
      </w:r>
      <w:r w:rsidR="004626BC">
        <w:rPr>
          <w:rFonts w:cs="Arial"/>
          <w:szCs w:val="20"/>
        </w:rPr>
        <w:t>jednorázově</w:t>
      </w:r>
      <w:r w:rsidR="00256A76">
        <w:rPr>
          <w:rFonts w:cs="Arial"/>
          <w:szCs w:val="20"/>
        </w:rPr>
        <w:t>.</w:t>
      </w:r>
      <w:r w:rsidR="008B0D97">
        <w:rPr>
          <w:rFonts w:cs="Arial"/>
          <w:szCs w:val="20"/>
        </w:rPr>
        <w:t xml:space="preserve"> </w:t>
      </w:r>
    </w:p>
    <w:p w14:paraId="1D3FF6B0" w14:textId="008734D0" w:rsidR="00BB09D2" w:rsidRDefault="004626BC" w:rsidP="003846BC">
      <w:pPr>
        <w:pStyle w:val="Odstavecseseznamem"/>
        <w:numPr>
          <w:ilvl w:val="0"/>
          <w:numId w:val="10"/>
        </w:numPr>
        <w:spacing w:after="120" w:line="280" w:lineRule="atLeast"/>
        <w:contextualSpacing w:val="0"/>
        <w:rPr>
          <w:rFonts w:cs="Arial"/>
          <w:szCs w:val="20"/>
        </w:rPr>
      </w:pPr>
      <w:r>
        <w:rPr>
          <w:rFonts w:cs="Arial"/>
          <w:szCs w:val="20"/>
        </w:rPr>
        <w:t>Faktura</w:t>
      </w:r>
      <w:r w:rsidR="007C69E4" w:rsidRPr="007B231E">
        <w:rPr>
          <w:rFonts w:cs="Arial"/>
          <w:szCs w:val="20"/>
        </w:rPr>
        <w:t xml:space="preserve"> bude Poskytovatel</w:t>
      </w:r>
      <w:r>
        <w:rPr>
          <w:rFonts w:cs="Arial"/>
          <w:szCs w:val="20"/>
        </w:rPr>
        <w:t>em</w:t>
      </w:r>
      <w:r w:rsidR="007C69E4" w:rsidRPr="007B231E">
        <w:rPr>
          <w:rFonts w:cs="Arial"/>
          <w:szCs w:val="20"/>
        </w:rPr>
        <w:t xml:space="preserve"> </w:t>
      </w:r>
      <w:r>
        <w:rPr>
          <w:rFonts w:cs="Arial"/>
          <w:szCs w:val="20"/>
        </w:rPr>
        <w:t xml:space="preserve">doručena v elektronické podobě na adresu </w:t>
      </w:r>
      <w:r w:rsidR="004E675B" w:rsidRPr="004E675B">
        <w:rPr>
          <w:rFonts w:cs="Arial"/>
          <w:szCs w:val="20"/>
        </w:rPr>
        <w:t>faktury@pgrlf.cz, a</w:t>
      </w:r>
      <w:r>
        <w:rPr>
          <w:rFonts w:cs="Arial"/>
          <w:szCs w:val="20"/>
        </w:rPr>
        <w:t xml:space="preserve"> to nejdříve po podepsání akceptačního protokolu.</w:t>
      </w:r>
    </w:p>
    <w:p w14:paraId="39E7875E" w14:textId="2388C505" w:rsidR="007C69E4" w:rsidRPr="007B231E" w:rsidRDefault="00BB09D2" w:rsidP="003846BC">
      <w:pPr>
        <w:pStyle w:val="Odstavecseseznamem"/>
        <w:numPr>
          <w:ilvl w:val="0"/>
          <w:numId w:val="10"/>
        </w:numPr>
        <w:spacing w:after="120" w:line="280" w:lineRule="atLeast"/>
        <w:contextualSpacing w:val="0"/>
        <w:rPr>
          <w:rFonts w:cs="Arial"/>
          <w:szCs w:val="20"/>
        </w:rPr>
      </w:pPr>
      <w:r>
        <w:rPr>
          <w:rFonts w:cs="Arial"/>
          <w:szCs w:val="20"/>
        </w:rPr>
        <w:t>J</w:t>
      </w:r>
      <w:r w:rsidR="007C69E4" w:rsidRPr="007B231E">
        <w:rPr>
          <w:rFonts w:cs="Arial"/>
          <w:szCs w:val="20"/>
        </w:rPr>
        <w:t xml:space="preserve">ako </w:t>
      </w:r>
      <w:r w:rsidR="00E87795" w:rsidRPr="007B231E">
        <w:rPr>
          <w:rFonts w:cs="Arial"/>
          <w:szCs w:val="20"/>
        </w:rPr>
        <w:t>odběratel</w:t>
      </w:r>
      <w:r w:rsidR="007C69E4" w:rsidRPr="007B231E">
        <w:rPr>
          <w:rFonts w:cs="Arial"/>
          <w:szCs w:val="20"/>
        </w:rPr>
        <w:t xml:space="preserve"> musí být vždy uveden</w:t>
      </w:r>
      <w:r w:rsidR="004626BC">
        <w:rPr>
          <w:rFonts w:cs="Arial"/>
          <w:szCs w:val="20"/>
        </w:rPr>
        <w:t xml:space="preserve"> PGRLF. </w:t>
      </w:r>
    </w:p>
    <w:p w14:paraId="0240FB4B" w14:textId="50FB1573" w:rsidR="007C69E4" w:rsidRPr="007B231E" w:rsidRDefault="00501E33" w:rsidP="003846BC">
      <w:pPr>
        <w:pStyle w:val="Odstavecseseznamem"/>
        <w:numPr>
          <w:ilvl w:val="0"/>
          <w:numId w:val="10"/>
        </w:numPr>
        <w:spacing w:after="120" w:line="280" w:lineRule="atLeast"/>
        <w:contextualSpacing w:val="0"/>
        <w:rPr>
          <w:rFonts w:cs="Arial"/>
          <w:szCs w:val="20"/>
        </w:rPr>
      </w:pPr>
      <w:r>
        <w:rPr>
          <w:rFonts w:cs="Arial"/>
          <w:szCs w:val="20"/>
        </w:rPr>
        <w:t xml:space="preserve">Smluvní strany se dohodly na lhůtě splatnosti všech faktur 30 dnů od data doručení příslušné faktury </w:t>
      </w:r>
      <w:r w:rsidR="004626BC">
        <w:rPr>
          <w:rFonts w:cs="Arial"/>
          <w:szCs w:val="20"/>
        </w:rPr>
        <w:t>na adresu faktury@pgrlf.cz</w:t>
      </w:r>
      <w:r>
        <w:rPr>
          <w:rFonts w:cs="Arial"/>
          <w:szCs w:val="20"/>
        </w:rPr>
        <w:t>.</w:t>
      </w:r>
    </w:p>
    <w:p w14:paraId="11F50D11" w14:textId="4B72C54D" w:rsidR="007C69E4" w:rsidRPr="007B231E" w:rsidRDefault="007C69E4" w:rsidP="003846BC">
      <w:pPr>
        <w:pStyle w:val="Odstavecseseznamem"/>
        <w:numPr>
          <w:ilvl w:val="0"/>
          <w:numId w:val="10"/>
        </w:numPr>
        <w:spacing w:after="120" w:line="280" w:lineRule="atLeast"/>
        <w:contextualSpacing w:val="0"/>
        <w:rPr>
          <w:rFonts w:cs="Arial"/>
          <w:szCs w:val="20"/>
        </w:rPr>
      </w:pPr>
      <w:r w:rsidRPr="007B231E">
        <w:rPr>
          <w:rFonts w:cs="Arial"/>
          <w:szCs w:val="20"/>
        </w:rPr>
        <w:t xml:space="preserve">Za den úhrady je považován den odepsání fakturované částky z účtu </w:t>
      </w:r>
      <w:r w:rsidR="009467D3">
        <w:rPr>
          <w:rFonts w:cs="Arial"/>
          <w:szCs w:val="20"/>
        </w:rPr>
        <w:t>PGRLF</w:t>
      </w:r>
      <w:r w:rsidRPr="007B231E">
        <w:rPr>
          <w:rFonts w:cs="Arial"/>
          <w:szCs w:val="20"/>
        </w:rPr>
        <w:t xml:space="preserve"> ve prospěch účtu Poskytovatele. </w:t>
      </w:r>
    </w:p>
    <w:p w14:paraId="01030E16" w14:textId="77777777" w:rsidR="007C69E4" w:rsidRPr="007B231E" w:rsidRDefault="007C69E4" w:rsidP="003846BC">
      <w:pPr>
        <w:pStyle w:val="Odstavecseseznamem"/>
        <w:numPr>
          <w:ilvl w:val="0"/>
          <w:numId w:val="10"/>
        </w:numPr>
        <w:spacing w:after="120" w:line="280" w:lineRule="atLeast"/>
        <w:contextualSpacing w:val="0"/>
        <w:rPr>
          <w:rFonts w:cs="Arial"/>
          <w:szCs w:val="20"/>
        </w:rPr>
      </w:pPr>
      <w:r w:rsidRPr="007B231E">
        <w:rPr>
          <w:rFonts w:cs="Arial"/>
          <w:szCs w:val="20"/>
        </w:rPr>
        <w:t xml:space="preserve">Veškeré faktury musí obsahovat všechny náležitosti řádného účetního a daňového dokladu ve smyslu příslušných zákonných ustanovení, zejména zákona č. 235/2004 Sb., o dani z přidané hodnoty, ve znění pozdějších předpisů (dále též jen „zákon o DPH“), zákona č. 563/1991 Sb., o účetnictví, ve znění pozdějších předpisů a § 435 občanského zákoníku. Každá faktura musí obsahovat číslo této Smlouvy. </w:t>
      </w:r>
    </w:p>
    <w:p w14:paraId="6D40225A" w14:textId="60BDA46D" w:rsidR="007C69E4" w:rsidRPr="007B231E" w:rsidRDefault="007C69E4" w:rsidP="003846BC">
      <w:pPr>
        <w:pStyle w:val="Odstavecseseznamem"/>
        <w:numPr>
          <w:ilvl w:val="0"/>
          <w:numId w:val="10"/>
        </w:numPr>
        <w:spacing w:after="120" w:line="280" w:lineRule="atLeast"/>
        <w:contextualSpacing w:val="0"/>
        <w:rPr>
          <w:rFonts w:cs="Arial"/>
          <w:szCs w:val="20"/>
        </w:rPr>
      </w:pPr>
      <w:r w:rsidRPr="007B231E">
        <w:rPr>
          <w:rFonts w:cs="Arial"/>
          <w:szCs w:val="20"/>
        </w:rPr>
        <w:t>V případě, že faktura nebude mít veškeré náležitosti podle výše uvedených právních předpisů a podle této Smlouvy</w:t>
      </w:r>
      <w:r w:rsidR="00647456" w:rsidRPr="007B231E">
        <w:rPr>
          <w:rFonts w:cs="Arial"/>
          <w:szCs w:val="20"/>
        </w:rPr>
        <w:t xml:space="preserve">, </w:t>
      </w:r>
      <w:r w:rsidRPr="007B231E">
        <w:rPr>
          <w:rFonts w:cs="Arial"/>
          <w:szCs w:val="20"/>
        </w:rPr>
        <w:t xml:space="preserve">je </w:t>
      </w:r>
      <w:r w:rsidR="009467D3">
        <w:rPr>
          <w:rFonts w:cs="Arial"/>
          <w:szCs w:val="20"/>
        </w:rPr>
        <w:t>Objednatel</w:t>
      </w:r>
      <w:r w:rsidRPr="007B231E">
        <w:rPr>
          <w:rFonts w:cs="Arial"/>
          <w:szCs w:val="20"/>
        </w:rPr>
        <w:t xml:space="preserve"> oprávněn před uplynutím lhůty splatnosti fakturu vrátit Poskytovateli. Ve vrácené faktuře musí uvést důvod vrácení. Poskytovatel je povinen podle povahy nesprávnosti fakturu opravit nebo nově vyhotovit. Oprávněným vrácením faktury přestává běžet původní lhůta splatnosti. Celá lhůta splatnosti (30 dní) počíná běžet znovu od opětovného doručení náležitě doplněné nebo opravené faktury </w:t>
      </w:r>
      <w:r w:rsidR="009467D3">
        <w:rPr>
          <w:rFonts w:cs="Arial"/>
          <w:szCs w:val="20"/>
        </w:rPr>
        <w:t>naadresu faktury@pgrlf.cz</w:t>
      </w:r>
      <w:r w:rsidRPr="007B231E">
        <w:rPr>
          <w:rFonts w:cs="Arial"/>
          <w:szCs w:val="20"/>
        </w:rPr>
        <w:t xml:space="preserve">. </w:t>
      </w:r>
    </w:p>
    <w:p w14:paraId="5072D806" w14:textId="77777777" w:rsidR="007C69E4" w:rsidRPr="007B231E" w:rsidRDefault="007C69E4" w:rsidP="003846BC">
      <w:pPr>
        <w:pStyle w:val="Odstavecseseznamem"/>
        <w:numPr>
          <w:ilvl w:val="0"/>
          <w:numId w:val="10"/>
        </w:numPr>
        <w:spacing w:after="120" w:line="280" w:lineRule="atLeast"/>
        <w:contextualSpacing w:val="0"/>
        <w:rPr>
          <w:rFonts w:cs="Arial"/>
          <w:szCs w:val="20"/>
        </w:rPr>
      </w:pPr>
      <w:r w:rsidRPr="007B231E">
        <w:rPr>
          <w:rFonts w:cs="Arial"/>
          <w:szCs w:val="20"/>
        </w:rPr>
        <w:t>Poskytovatel prohlašuje, že účet uvedený v záhlaví této Smlouvy je účtem zveřejněným správcem daně způsobem umožňujícím dálkový přístup ve smyslu § 96 odst. 2 zákona o DPH. V případě, že Poskytovatel nebude mít v době uskutečnění zdanitelného plnění bankovní účet uvedený v záhlaví této Smlouvy způsobem zveřejněn, uhradí Objednatel Poskytovateli v dohodnutém termínu splatnosti příslušné faktury pouze částku představující dohodnutou cenu plnění bez DPH. Částku rovnající se výši DPH z Poskytovatelem fakturované ceny plnění uhradí Objednatel, v souladu s § 109 a zákona o DPH, finančnímu úřadu místně příslušnému Poskytovateli. Poskytovatel výslovně prohlašuje, že příslušnou cenu plnění bude považovat tímto za zaplacenou.</w:t>
      </w:r>
    </w:p>
    <w:p w14:paraId="60D630D3" w14:textId="6659DC03" w:rsidR="00E66FC4" w:rsidRPr="007B231E" w:rsidRDefault="007C69E4" w:rsidP="003846BC">
      <w:pPr>
        <w:pStyle w:val="Odstavecseseznamem"/>
        <w:numPr>
          <w:ilvl w:val="0"/>
          <w:numId w:val="10"/>
        </w:numPr>
        <w:spacing w:after="120" w:line="280" w:lineRule="atLeast"/>
        <w:contextualSpacing w:val="0"/>
        <w:rPr>
          <w:rFonts w:cs="Arial"/>
          <w:szCs w:val="20"/>
        </w:rPr>
      </w:pPr>
      <w:r w:rsidRPr="007B231E">
        <w:rPr>
          <w:rFonts w:cs="Arial"/>
          <w:szCs w:val="20"/>
        </w:rPr>
        <w:t xml:space="preserve">Pokud v době uskutečnění zdanitelného plnění bude Poskytovatel uveden v aplikaci „Registr DPH“ jako nespolehlivý plátce, ve smyslu příslušných ustanovení zákona o DPH, dohodly se Smluvní strany, že </w:t>
      </w:r>
      <w:r w:rsidR="009467D3">
        <w:rPr>
          <w:rFonts w:cs="Arial"/>
          <w:szCs w:val="20"/>
        </w:rPr>
        <w:t>Objednatel</w:t>
      </w:r>
      <w:r w:rsidRPr="007B231E">
        <w:rPr>
          <w:rFonts w:cs="Arial"/>
          <w:szCs w:val="20"/>
        </w:rPr>
        <w:t xml:space="preserve"> bude postupovat při úhradě ceny plnění</w:t>
      </w:r>
      <w:r w:rsidR="00D44B66" w:rsidRPr="007B231E">
        <w:rPr>
          <w:rFonts w:cs="Arial"/>
          <w:szCs w:val="20"/>
        </w:rPr>
        <w:t xml:space="preserve"> </w:t>
      </w:r>
      <w:r w:rsidRPr="007B231E">
        <w:rPr>
          <w:rFonts w:cs="Arial"/>
          <w:szCs w:val="20"/>
        </w:rPr>
        <w:t xml:space="preserve">způsobem uvedeným v odst. </w:t>
      </w:r>
      <w:r w:rsidR="008658DD" w:rsidRPr="007B231E">
        <w:rPr>
          <w:rFonts w:cs="Arial"/>
          <w:szCs w:val="20"/>
        </w:rPr>
        <w:t>1</w:t>
      </w:r>
      <w:r w:rsidR="00E862A7">
        <w:rPr>
          <w:rFonts w:cs="Arial"/>
          <w:szCs w:val="20"/>
        </w:rPr>
        <w:t>1</w:t>
      </w:r>
      <w:r w:rsidRPr="007B231E">
        <w:rPr>
          <w:rFonts w:cs="Arial"/>
          <w:szCs w:val="20"/>
        </w:rPr>
        <w:t xml:space="preserve">. tohoto článku. </w:t>
      </w:r>
    </w:p>
    <w:p w14:paraId="141BF5E8" w14:textId="0E150790" w:rsidR="00E87795" w:rsidRPr="007B231E" w:rsidRDefault="00E87795" w:rsidP="003846BC">
      <w:pPr>
        <w:pStyle w:val="Odstavecseseznamem"/>
        <w:numPr>
          <w:ilvl w:val="0"/>
          <w:numId w:val="10"/>
        </w:numPr>
        <w:spacing w:after="120" w:line="280" w:lineRule="atLeast"/>
        <w:contextualSpacing w:val="0"/>
        <w:rPr>
          <w:rFonts w:cs="Arial"/>
          <w:szCs w:val="20"/>
        </w:rPr>
      </w:pPr>
      <w:r w:rsidRPr="007B231E">
        <w:rPr>
          <w:rFonts w:cs="Arial"/>
          <w:szCs w:val="20"/>
        </w:rPr>
        <w:t xml:space="preserve">Změna </w:t>
      </w:r>
      <w:r w:rsidR="008658DD" w:rsidRPr="007B231E">
        <w:rPr>
          <w:rFonts w:cs="Arial"/>
          <w:szCs w:val="20"/>
        </w:rPr>
        <w:t>účtu</w:t>
      </w:r>
      <w:r w:rsidR="009467D3">
        <w:rPr>
          <w:rFonts w:cs="Arial"/>
          <w:szCs w:val="20"/>
        </w:rPr>
        <w:t xml:space="preserve"> Poskytovatele je možná sdělení</w:t>
      </w:r>
      <w:r w:rsidR="004D2230">
        <w:rPr>
          <w:rFonts w:cs="Arial"/>
          <w:szCs w:val="20"/>
        </w:rPr>
        <w:t>m</w:t>
      </w:r>
      <w:r w:rsidR="009467D3">
        <w:rPr>
          <w:rFonts w:cs="Arial"/>
          <w:szCs w:val="20"/>
        </w:rPr>
        <w:t xml:space="preserve"> oprávněné osoby Poskytovatele oprávněné osobě Objednatele bez nutnosti vyhotovovat dodatek k této Smlouvě. </w:t>
      </w:r>
    </w:p>
    <w:p w14:paraId="0FB5844D" w14:textId="77777777" w:rsidR="00065A25" w:rsidRPr="007B231E" w:rsidRDefault="002D0DE0" w:rsidP="004C3EDE">
      <w:pPr>
        <w:pStyle w:val="Nadpis1"/>
      </w:pPr>
      <w:r>
        <w:t>Článek VII.</w:t>
      </w:r>
      <w:r>
        <w:br/>
      </w:r>
      <w:r w:rsidR="00DD6BDD" w:rsidRPr="007B231E">
        <w:t xml:space="preserve">Sankční ujednání </w:t>
      </w:r>
    </w:p>
    <w:p w14:paraId="41A1283C" w14:textId="2796D203" w:rsidR="00C8489C" w:rsidRPr="008C6BA5" w:rsidRDefault="005F672C" w:rsidP="003846BC">
      <w:pPr>
        <w:pStyle w:val="Odstavecseseznamem"/>
        <w:numPr>
          <w:ilvl w:val="0"/>
          <w:numId w:val="11"/>
        </w:numPr>
        <w:spacing w:after="120" w:line="280" w:lineRule="atLeast"/>
        <w:contextualSpacing w:val="0"/>
        <w:rPr>
          <w:rFonts w:cs="Arial"/>
          <w:szCs w:val="20"/>
        </w:rPr>
      </w:pPr>
      <w:r w:rsidRPr="008C6BA5">
        <w:rPr>
          <w:rFonts w:cs="Arial"/>
          <w:szCs w:val="20"/>
        </w:rPr>
        <w:t>Při nedodržení termín</w:t>
      </w:r>
      <w:r w:rsidR="000A3905" w:rsidRPr="008C6BA5">
        <w:rPr>
          <w:rFonts w:cs="Arial"/>
          <w:szCs w:val="20"/>
        </w:rPr>
        <w:t>u</w:t>
      </w:r>
      <w:r w:rsidRPr="008C6BA5">
        <w:rPr>
          <w:rFonts w:cs="Arial"/>
          <w:szCs w:val="20"/>
        </w:rPr>
        <w:t xml:space="preserve"> plnění </w:t>
      </w:r>
      <w:r w:rsidR="00083EE4" w:rsidRPr="008C6BA5">
        <w:rPr>
          <w:rFonts w:cs="Arial"/>
          <w:szCs w:val="20"/>
        </w:rPr>
        <w:t xml:space="preserve">Poskytovatele dohodnutého </w:t>
      </w:r>
      <w:r w:rsidR="008C6BA5" w:rsidRPr="008C6BA5">
        <w:rPr>
          <w:rFonts w:cs="Arial"/>
          <w:szCs w:val="20"/>
        </w:rPr>
        <w:t>v čl. V.</w:t>
      </w:r>
      <w:r w:rsidR="00083EE4" w:rsidRPr="008C6BA5">
        <w:rPr>
          <w:rFonts w:cs="Arial"/>
          <w:szCs w:val="20"/>
        </w:rPr>
        <w:t xml:space="preserve"> odst. </w:t>
      </w:r>
      <w:r w:rsidR="009623E3">
        <w:rPr>
          <w:rFonts w:cs="Arial"/>
          <w:szCs w:val="20"/>
        </w:rPr>
        <w:t>3</w:t>
      </w:r>
      <w:r w:rsidR="00654B6C" w:rsidRPr="00654B6C">
        <w:rPr>
          <w:rFonts w:cs="Arial"/>
          <w:szCs w:val="20"/>
        </w:rPr>
        <w:t>.</w:t>
      </w:r>
      <w:r w:rsidR="00B44B56">
        <w:rPr>
          <w:rFonts w:cs="Arial"/>
          <w:szCs w:val="20"/>
        </w:rPr>
        <w:t xml:space="preserve"> </w:t>
      </w:r>
      <w:r w:rsidR="00083EE4" w:rsidRPr="008C6BA5">
        <w:rPr>
          <w:rFonts w:cs="Arial"/>
          <w:szCs w:val="20"/>
        </w:rPr>
        <w:t xml:space="preserve">této Smlouvy, je </w:t>
      </w:r>
      <w:r w:rsidR="008C6BA5" w:rsidRPr="008C6BA5">
        <w:rPr>
          <w:rFonts w:cs="Arial"/>
          <w:szCs w:val="20"/>
        </w:rPr>
        <w:t>Objednatel oprávněn</w:t>
      </w:r>
      <w:r w:rsidR="00083EE4" w:rsidRPr="008C6BA5">
        <w:rPr>
          <w:rFonts w:cs="Arial"/>
          <w:szCs w:val="20"/>
        </w:rPr>
        <w:t xml:space="preserve"> vyúčtovat </w:t>
      </w:r>
      <w:r w:rsidR="00A45278" w:rsidRPr="008C6BA5">
        <w:rPr>
          <w:rFonts w:cs="Arial"/>
          <w:szCs w:val="20"/>
        </w:rPr>
        <w:t>Posky</w:t>
      </w:r>
      <w:r w:rsidR="00083EE4" w:rsidRPr="008C6BA5">
        <w:rPr>
          <w:rFonts w:cs="Arial"/>
          <w:szCs w:val="20"/>
        </w:rPr>
        <w:t>tov</w:t>
      </w:r>
      <w:r w:rsidR="00A45278" w:rsidRPr="008C6BA5">
        <w:rPr>
          <w:rFonts w:cs="Arial"/>
          <w:szCs w:val="20"/>
        </w:rPr>
        <w:t>a</w:t>
      </w:r>
      <w:r w:rsidR="00083EE4" w:rsidRPr="008C6BA5">
        <w:rPr>
          <w:rFonts w:cs="Arial"/>
          <w:szCs w:val="20"/>
        </w:rPr>
        <w:t xml:space="preserve">teli smluvní pokutu ve výši </w:t>
      </w:r>
      <w:r w:rsidR="00637812">
        <w:rPr>
          <w:rFonts w:cs="Arial"/>
          <w:szCs w:val="20"/>
        </w:rPr>
        <w:t xml:space="preserve">500,- </w:t>
      </w:r>
      <w:r w:rsidR="00083EE4" w:rsidRPr="008C6BA5">
        <w:rPr>
          <w:rFonts w:cs="Arial"/>
          <w:szCs w:val="20"/>
        </w:rPr>
        <w:t xml:space="preserve">Kč za každý den prodlení </w:t>
      </w:r>
      <w:r w:rsidR="004D2230">
        <w:rPr>
          <w:rFonts w:cs="Arial"/>
          <w:szCs w:val="20"/>
        </w:rPr>
        <w:t xml:space="preserve">a za každou položku plnění (Sefrver 1, Server 2 a licence) </w:t>
      </w:r>
      <w:r w:rsidR="00083EE4" w:rsidRPr="008C6BA5">
        <w:rPr>
          <w:rFonts w:cs="Arial"/>
          <w:szCs w:val="20"/>
        </w:rPr>
        <w:t xml:space="preserve">a </w:t>
      </w:r>
      <w:r w:rsidR="00A45278" w:rsidRPr="008C6BA5">
        <w:rPr>
          <w:rFonts w:cs="Arial"/>
          <w:szCs w:val="20"/>
        </w:rPr>
        <w:t>Poskytova</w:t>
      </w:r>
      <w:r w:rsidR="00083EE4" w:rsidRPr="008C6BA5">
        <w:rPr>
          <w:rFonts w:cs="Arial"/>
          <w:szCs w:val="20"/>
        </w:rPr>
        <w:t>tel se zavazuje vyúčtovanou smluvní pokutu uhradit.</w:t>
      </w:r>
    </w:p>
    <w:p w14:paraId="5E914A5B" w14:textId="2F8A3FB2" w:rsidR="00065A25" w:rsidRPr="007B231E" w:rsidRDefault="00065A25" w:rsidP="003846BC">
      <w:pPr>
        <w:pStyle w:val="Odstavecseseznamem"/>
        <w:numPr>
          <w:ilvl w:val="0"/>
          <w:numId w:val="11"/>
        </w:numPr>
        <w:spacing w:after="120" w:line="280" w:lineRule="atLeast"/>
        <w:contextualSpacing w:val="0"/>
        <w:rPr>
          <w:rFonts w:cs="Arial"/>
          <w:szCs w:val="20"/>
        </w:rPr>
      </w:pPr>
      <w:r w:rsidRPr="008C6BA5">
        <w:rPr>
          <w:rFonts w:cs="Arial"/>
          <w:szCs w:val="20"/>
        </w:rPr>
        <w:lastRenderedPageBreak/>
        <w:t xml:space="preserve">V případě prodlení </w:t>
      </w:r>
      <w:r w:rsidR="00637812">
        <w:rPr>
          <w:rFonts w:cs="Arial"/>
          <w:szCs w:val="20"/>
        </w:rPr>
        <w:t>Objednatele</w:t>
      </w:r>
      <w:r w:rsidRPr="008C6BA5">
        <w:rPr>
          <w:rFonts w:cs="Arial"/>
          <w:szCs w:val="20"/>
        </w:rPr>
        <w:t xml:space="preserve"> se zaplacením faktury může Poskytovatel vyúčtovat</w:t>
      </w:r>
      <w:r w:rsidRPr="007B231E">
        <w:rPr>
          <w:rFonts w:cs="Arial"/>
          <w:szCs w:val="20"/>
        </w:rPr>
        <w:t xml:space="preserve"> </w:t>
      </w:r>
      <w:r w:rsidR="00637812">
        <w:rPr>
          <w:rFonts w:cs="Arial"/>
          <w:szCs w:val="20"/>
        </w:rPr>
        <w:t>Objednateli</w:t>
      </w:r>
      <w:r w:rsidRPr="007B231E">
        <w:rPr>
          <w:rFonts w:cs="Arial"/>
          <w:szCs w:val="20"/>
        </w:rPr>
        <w:t xml:space="preserve"> úrok z prodlení ve výši 0,02 % z nezaplacené částky předmětné faktury za každý den prodlení.</w:t>
      </w:r>
    </w:p>
    <w:p w14:paraId="06DE669E" w14:textId="65BA611C" w:rsidR="00E92AD4" w:rsidRPr="007B231E" w:rsidRDefault="005C6638" w:rsidP="003846BC">
      <w:pPr>
        <w:pStyle w:val="Odstavecseseznamem"/>
        <w:numPr>
          <w:ilvl w:val="0"/>
          <w:numId w:val="11"/>
        </w:numPr>
        <w:spacing w:after="120" w:line="280" w:lineRule="atLeast"/>
        <w:contextualSpacing w:val="0"/>
        <w:rPr>
          <w:rFonts w:cs="Arial"/>
          <w:szCs w:val="20"/>
        </w:rPr>
      </w:pPr>
      <w:r w:rsidRPr="007B231E">
        <w:rPr>
          <w:rFonts w:cs="Arial"/>
          <w:szCs w:val="20"/>
        </w:rPr>
        <w:t xml:space="preserve">Ujednáním o smluvní pokutě ani zaplacením smluvní pokuty Poskytovatelem není dotčeno právo </w:t>
      </w:r>
      <w:r w:rsidR="00637812">
        <w:rPr>
          <w:rFonts w:cs="Arial"/>
          <w:szCs w:val="20"/>
        </w:rPr>
        <w:t>smluvních stran</w:t>
      </w:r>
      <w:r w:rsidRPr="007B231E">
        <w:rPr>
          <w:rFonts w:cs="Arial"/>
          <w:szCs w:val="20"/>
        </w:rPr>
        <w:t xml:space="preserve"> na náhradu škody vzniklé z důvodu porušení povinnosti </w:t>
      </w:r>
      <w:r w:rsidR="00AB2B95">
        <w:rPr>
          <w:rFonts w:cs="Arial"/>
          <w:szCs w:val="20"/>
        </w:rPr>
        <w:t xml:space="preserve">utvrzené </w:t>
      </w:r>
      <w:r w:rsidRPr="007B231E">
        <w:rPr>
          <w:rFonts w:cs="Arial"/>
          <w:szCs w:val="20"/>
        </w:rPr>
        <w:t>smluvní pokutou.</w:t>
      </w:r>
    </w:p>
    <w:p w14:paraId="1D1381E9" w14:textId="77777777" w:rsidR="00DD6BDD" w:rsidRPr="007B231E" w:rsidRDefault="002D0DE0" w:rsidP="004C3EDE">
      <w:pPr>
        <w:pStyle w:val="Nadpis1"/>
      </w:pPr>
      <w:r>
        <w:t>Článek VIII.</w:t>
      </w:r>
      <w:r>
        <w:br/>
      </w:r>
      <w:r w:rsidR="00DD6BDD" w:rsidRPr="007B231E">
        <w:t xml:space="preserve">Odpovědnost za </w:t>
      </w:r>
      <w:r w:rsidR="00E87795" w:rsidRPr="007B231E">
        <w:t>škodu</w:t>
      </w:r>
      <w:r w:rsidR="0055117E" w:rsidRPr="007B231E">
        <w:t>,</w:t>
      </w:r>
      <w:r w:rsidR="00ED6A5A" w:rsidRPr="007B231E">
        <w:t xml:space="preserve"> záruka</w:t>
      </w:r>
      <w:r w:rsidR="00E87795" w:rsidRPr="007B231E">
        <w:t xml:space="preserve"> a pojištění</w:t>
      </w:r>
    </w:p>
    <w:p w14:paraId="106B7834" w14:textId="77777777" w:rsidR="00E87795" w:rsidRPr="007B231E" w:rsidRDefault="00E87795" w:rsidP="003846BC">
      <w:pPr>
        <w:numPr>
          <w:ilvl w:val="0"/>
          <w:numId w:val="5"/>
        </w:numPr>
        <w:spacing w:after="120" w:line="276" w:lineRule="auto"/>
        <w:rPr>
          <w:rFonts w:cs="Arial"/>
          <w:szCs w:val="20"/>
        </w:rPr>
      </w:pPr>
      <w:r w:rsidRPr="007B231E">
        <w:rPr>
          <w:rFonts w:cs="Arial"/>
          <w:szCs w:val="20"/>
        </w:rPr>
        <w:t>Odpovědnost za škodu se řídí příslušnými ustanoveními občanského zákoníku, zejména dle § 2894 a násl. a § 2913 občanského zákoníku.</w:t>
      </w:r>
    </w:p>
    <w:p w14:paraId="05EF0AFB" w14:textId="49BCFC02" w:rsidR="00E87795" w:rsidRPr="007B231E" w:rsidRDefault="00E87795" w:rsidP="003846BC">
      <w:pPr>
        <w:numPr>
          <w:ilvl w:val="0"/>
          <w:numId w:val="5"/>
        </w:numPr>
        <w:spacing w:after="120" w:line="276" w:lineRule="auto"/>
        <w:rPr>
          <w:rFonts w:cs="Arial"/>
          <w:szCs w:val="20"/>
        </w:rPr>
      </w:pPr>
      <w:r w:rsidRPr="007B231E">
        <w:rPr>
          <w:rFonts w:cs="Arial"/>
          <w:szCs w:val="20"/>
        </w:rPr>
        <w:t xml:space="preserve">Smluvní strany se dohodly, že maximální výše náhrady škody vzniklé Smluvním stranám při plnění této Smlouvy nebo v souvislosti s plněním podle této Smlouvy je pro obě Smluvní strany limitována částkou </w:t>
      </w:r>
      <w:r w:rsidR="004D2230">
        <w:rPr>
          <w:rFonts w:cs="Arial"/>
          <w:szCs w:val="20"/>
        </w:rPr>
        <w:t xml:space="preserve">2 000 000,- </w:t>
      </w:r>
      <w:r w:rsidRPr="007B231E">
        <w:rPr>
          <w:rFonts w:cs="Arial"/>
          <w:szCs w:val="20"/>
        </w:rPr>
        <w:t>Kč</w:t>
      </w:r>
      <w:r w:rsidR="00F647CD">
        <w:rPr>
          <w:rFonts w:cs="Arial"/>
          <w:szCs w:val="20"/>
        </w:rPr>
        <w:t>.</w:t>
      </w:r>
    </w:p>
    <w:p w14:paraId="3E84F97A" w14:textId="78FF536E" w:rsidR="00E87795" w:rsidRPr="007B231E" w:rsidRDefault="00E87795" w:rsidP="003846BC">
      <w:pPr>
        <w:numPr>
          <w:ilvl w:val="0"/>
          <w:numId w:val="5"/>
        </w:numPr>
        <w:spacing w:after="120" w:line="276" w:lineRule="auto"/>
        <w:rPr>
          <w:rFonts w:cs="Arial"/>
          <w:szCs w:val="20"/>
        </w:rPr>
      </w:pPr>
      <w:r w:rsidRPr="007B231E">
        <w:rPr>
          <w:rFonts w:cs="Arial"/>
          <w:szCs w:val="20"/>
        </w:rPr>
        <w:t xml:space="preserve">Poskytovatel se zavazuje být po celou dobu trvání této Smlouvy pojištěn pro případ vzniku odpovědnosti za škodu, která může vzniknout Objednateli nebo třetí osobě při plnění závazků Poskytovatele dle této Smlouvy nebo v souvislosti s plněním těchto závazků. Toto pojištění musí být sjednáno s pojistnou </w:t>
      </w:r>
      <w:r w:rsidRPr="00D410EA">
        <w:rPr>
          <w:rFonts w:cs="Arial"/>
          <w:szCs w:val="20"/>
        </w:rPr>
        <w:t>částkou ne nižší než</w:t>
      </w:r>
      <w:r w:rsidR="00F647CD">
        <w:rPr>
          <w:rFonts w:cs="Arial"/>
          <w:szCs w:val="20"/>
        </w:rPr>
        <w:t xml:space="preserve"> </w:t>
      </w:r>
      <w:r w:rsidR="004D2230">
        <w:rPr>
          <w:rFonts w:cs="Arial"/>
          <w:szCs w:val="20"/>
        </w:rPr>
        <w:t>2 000 000,-</w:t>
      </w:r>
      <w:r w:rsidRPr="00D410EA">
        <w:rPr>
          <w:rFonts w:cs="Arial"/>
          <w:szCs w:val="20"/>
        </w:rPr>
        <w:t xml:space="preserve"> Kč</w:t>
      </w:r>
      <w:r w:rsidR="00F647CD">
        <w:rPr>
          <w:rFonts w:cs="Arial"/>
          <w:szCs w:val="20"/>
        </w:rPr>
        <w:t>.</w:t>
      </w:r>
    </w:p>
    <w:p w14:paraId="0E63A34D" w14:textId="77777777" w:rsidR="00E87795" w:rsidRPr="007B231E" w:rsidRDefault="00E87795" w:rsidP="003846BC">
      <w:pPr>
        <w:numPr>
          <w:ilvl w:val="0"/>
          <w:numId w:val="5"/>
        </w:numPr>
        <w:spacing w:after="120" w:line="276" w:lineRule="auto"/>
        <w:rPr>
          <w:rFonts w:cs="Arial"/>
          <w:szCs w:val="20"/>
        </w:rPr>
      </w:pPr>
      <w:r w:rsidRPr="007B231E">
        <w:rPr>
          <w:rFonts w:cs="Arial"/>
          <w:szCs w:val="20"/>
        </w:rPr>
        <w:t>Poskytovatel je povinen na výzvu Pověřené osoby Objednatele doložit, že je pojištěn pro případ odpovědnosti za škodu v požadovaném rozsahu, a to vždy nejpozději do 10 pracovních dnů od doručení výzvy Objednatele. Poskytovatel k prokázání splnění tohoto požadavku předloží Objednateli dokumenty, ze kterých bude splnění požadavku na pojištění vyplývat, tj. pojistnou smlouvu nebo pojistku a doklad o zaplacení pojistného na příslušné období, pojistný certifikát, či obdobný doklad vydaný příslušnou pojišťovnou.</w:t>
      </w:r>
    </w:p>
    <w:p w14:paraId="1F7C7C9E" w14:textId="2FDCE277" w:rsidR="00AE06DA" w:rsidRDefault="00AE06DA" w:rsidP="003846BC">
      <w:pPr>
        <w:numPr>
          <w:ilvl w:val="0"/>
          <w:numId w:val="5"/>
        </w:numPr>
        <w:spacing w:after="120" w:line="276" w:lineRule="auto"/>
        <w:rPr>
          <w:rFonts w:cs="Arial"/>
          <w:szCs w:val="20"/>
        </w:rPr>
      </w:pPr>
      <w:r w:rsidRPr="007B231E">
        <w:rPr>
          <w:rFonts w:cs="Arial"/>
          <w:szCs w:val="20"/>
        </w:rPr>
        <w:t>V případě nesplnění povinnosti Poskytovatele stanovené v odst. 3.</w:t>
      </w:r>
      <w:r w:rsidR="00274A1B">
        <w:rPr>
          <w:rFonts w:cs="Arial"/>
          <w:szCs w:val="20"/>
        </w:rPr>
        <w:t xml:space="preserve"> nebo 4.</w:t>
      </w:r>
      <w:r w:rsidRPr="007B231E">
        <w:rPr>
          <w:rFonts w:cs="Arial"/>
          <w:szCs w:val="20"/>
        </w:rPr>
        <w:t xml:space="preserve"> tohoto článku je </w:t>
      </w:r>
      <w:r w:rsidR="00F647CD">
        <w:rPr>
          <w:rFonts w:cs="Arial"/>
          <w:szCs w:val="20"/>
        </w:rPr>
        <w:t>Objednatel</w:t>
      </w:r>
      <w:r w:rsidRPr="007B231E">
        <w:rPr>
          <w:rFonts w:cs="Arial"/>
          <w:szCs w:val="20"/>
        </w:rPr>
        <w:t xml:space="preserve"> oprávněn vyúčtovat Poskytovateli smluvní pokutu ve výši</w:t>
      </w:r>
      <w:r>
        <w:rPr>
          <w:rFonts w:cs="Arial"/>
          <w:szCs w:val="20"/>
        </w:rPr>
        <w:t xml:space="preserve"> </w:t>
      </w:r>
      <w:r w:rsidR="00F647CD">
        <w:rPr>
          <w:rFonts w:cs="Arial"/>
          <w:szCs w:val="20"/>
        </w:rPr>
        <w:t>2</w:t>
      </w:r>
      <w:r w:rsidR="00274A1B" w:rsidRPr="00D410EA">
        <w:rPr>
          <w:rFonts w:cs="Arial"/>
          <w:szCs w:val="20"/>
        </w:rPr>
        <w:t>00</w:t>
      </w:r>
      <w:r w:rsidRPr="00D410EA">
        <w:rPr>
          <w:rFonts w:cs="Arial"/>
          <w:szCs w:val="20"/>
        </w:rPr>
        <w:t xml:space="preserve"> Kč, a to</w:t>
      </w:r>
      <w:r>
        <w:rPr>
          <w:rFonts w:cs="Arial"/>
          <w:szCs w:val="20"/>
        </w:rPr>
        <w:t xml:space="preserve"> </w:t>
      </w:r>
      <w:r w:rsidR="00274A1B">
        <w:rPr>
          <w:rFonts w:cs="Arial"/>
          <w:szCs w:val="20"/>
        </w:rPr>
        <w:t>za každý i jen započatý kalendářní den, kdy porušení této povinnosti trvá a Poskytovatel je povinen tuto částku uhradit.</w:t>
      </w:r>
    </w:p>
    <w:p w14:paraId="47E8CACB" w14:textId="5A4393B3" w:rsidR="004D2230" w:rsidRDefault="004D2230" w:rsidP="003846BC">
      <w:pPr>
        <w:numPr>
          <w:ilvl w:val="0"/>
          <w:numId w:val="5"/>
        </w:numPr>
        <w:spacing w:after="120" w:line="276" w:lineRule="auto"/>
        <w:rPr>
          <w:rFonts w:cs="Arial"/>
          <w:szCs w:val="20"/>
        </w:rPr>
      </w:pPr>
      <w:r>
        <w:rPr>
          <w:rFonts w:cs="Arial"/>
          <w:szCs w:val="20"/>
        </w:rPr>
        <w:t>Na dodávaný HW se sjednává záruka v délce 36 měsíců. Záruční doba začne běžen od podepsání Akceptačních protokolů na HW a na licenci.</w:t>
      </w:r>
    </w:p>
    <w:p w14:paraId="6D861151" w14:textId="2C375481" w:rsidR="004D2230" w:rsidRDefault="004D2230" w:rsidP="003846BC">
      <w:pPr>
        <w:numPr>
          <w:ilvl w:val="0"/>
          <w:numId w:val="5"/>
        </w:numPr>
        <w:spacing w:after="120" w:line="276" w:lineRule="auto"/>
        <w:rPr>
          <w:rFonts w:cs="Arial"/>
          <w:szCs w:val="20"/>
        </w:rPr>
      </w:pPr>
      <w:r>
        <w:rPr>
          <w:rFonts w:cs="Arial"/>
          <w:szCs w:val="20"/>
        </w:rPr>
        <w:t xml:space="preserve">Poskytovatel </w:t>
      </w:r>
      <w:r w:rsidRPr="00BB39AA">
        <w:rPr>
          <w:rFonts w:cs="Arial"/>
          <w:szCs w:val="20"/>
        </w:rPr>
        <w:t xml:space="preserve">se zavazuje po dobu záruky odstraňovat vady předaného plnění v termínu nejpozději do konce </w:t>
      </w:r>
      <w:r>
        <w:rPr>
          <w:rFonts w:cs="Arial"/>
          <w:szCs w:val="20"/>
        </w:rPr>
        <w:t xml:space="preserve">3. </w:t>
      </w:r>
      <w:r w:rsidRPr="00BB39AA">
        <w:rPr>
          <w:rFonts w:cs="Arial"/>
          <w:szCs w:val="20"/>
        </w:rPr>
        <w:t xml:space="preserve">pracovního dne (tj. do 17:00 hodin) následujícího po dni oficiálního předání reklamace (popisu vady), tj. jejím </w:t>
      </w:r>
      <w:r>
        <w:rPr>
          <w:rFonts w:cs="Arial"/>
          <w:szCs w:val="20"/>
        </w:rPr>
        <w:t xml:space="preserve">prokazatelným </w:t>
      </w:r>
      <w:r w:rsidRPr="00BB39AA">
        <w:rPr>
          <w:rFonts w:cs="Arial"/>
          <w:szCs w:val="20"/>
        </w:rPr>
        <w:t>nahlášením</w:t>
      </w:r>
      <w:r>
        <w:rPr>
          <w:rFonts w:cs="Arial"/>
          <w:szCs w:val="20"/>
        </w:rPr>
        <w:t>.</w:t>
      </w:r>
    </w:p>
    <w:p w14:paraId="05C5835B" w14:textId="77777777" w:rsidR="00F64349" w:rsidRPr="007B231E" w:rsidRDefault="002D0DE0" w:rsidP="004C3EDE">
      <w:pPr>
        <w:pStyle w:val="Nadpis1"/>
      </w:pPr>
      <w:r>
        <w:t>Článek IX.</w:t>
      </w:r>
      <w:r>
        <w:br/>
      </w:r>
      <w:r w:rsidR="00DD6BDD" w:rsidRPr="007B231E">
        <w:t>Ochrana informací, údajů a dat</w:t>
      </w:r>
    </w:p>
    <w:p w14:paraId="054CF841" w14:textId="77777777" w:rsidR="00F64349" w:rsidRPr="007B231E" w:rsidRDefault="00F64349" w:rsidP="003846BC">
      <w:pPr>
        <w:pStyle w:val="Odstavecseseznamem"/>
        <w:numPr>
          <w:ilvl w:val="0"/>
          <w:numId w:val="12"/>
        </w:numPr>
        <w:spacing w:after="120" w:line="280" w:lineRule="atLeast"/>
        <w:contextualSpacing w:val="0"/>
        <w:rPr>
          <w:rFonts w:cs="Arial"/>
          <w:szCs w:val="20"/>
        </w:rPr>
      </w:pPr>
      <w:r w:rsidRPr="007B231E">
        <w:rPr>
          <w:rFonts w:cs="Arial"/>
          <w:szCs w:val="20"/>
        </w:rPr>
        <w:t>Smluvní strany se zavazují uchovat v tajnosti veškeré skutečnosti, informace a údaje týkající se druhé Smluvní strany, předmětu plnění této Smlouvy nebo s předmětem plnění související, které naplňují znaky obchodního tajemství uvedené v § 504 občanského zákoníku a které Smluvní strana je výslovně označí jako „obchodní tajemství“. Veškeré takové skutečnosti jsou pak ve smyslu cit. ustanovení považovány za zákonem chráněné obchodní tajemství.</w:t>
      </w:r>
    </w:p>
    <w:p w14:paraId="74DC7FF2" w14:textId="077F4873" w:rsidR="000408EA" w:rsidRPr="00CE5412" w:rsidRDefault="000408EA" w:rsidP="003846BC">
      <w:pPr>
        <w:pStyle w:val="Odstavecseseznamem"/>
        <w:numPr>
          <w:ilvl w:val="0"/>
          <w:numId w:val="12"/>
        </w:numPr>
        <w:spacing w:after="120" w:line="280" w:lineRule="atLeast"/>
        <w:contextualSpacing w:val="0"/>
        <w:rPr>
          <w:rFonts w:cs="Arial"/>
          <w:szCs w:val="20"/>
        </w:rPr>
      </w:pPr>
      <w:r w:rsidRPr="007B231E">
        <w:rPr>
          <w:rFonts w:cs="Arial"/>
          <w:szCs w:val="20"/>
        </w:rPr>
        <w:t xml:space="preserve">S odkazem </w:t>
      </w:r>
      <w:r w:rsidR="00956E08">
        <w:rPr>
          <w:rFonts w:cs="Arial"/>
          <w:szCs w:val="20"/>
        </w:rPr>
        <w:t xml:space="preserve">na </w:t>
      </w:r>
      <w:r w:rsidRPr="007B231E">
        <w:rPr>
          <w:rFonts w:cs="Arial"/>
          <w:szCs w:val="20"/>
        </w:rPr>
        <w:t xml:space="preserve">Nařízení Evropského parlamentu a Rady (EU) 2016/679 o ochraně fyzických osob v souvislosti se zpracováním osobních údajů a o volném pohybu těchto údajů a o zrušení směrnice 95/46/ES (obecné nařízení o ochraně osobních údajů), </w:t>
      </w:r>
      <w:r w:rsidR="00AE06DA">
        <w:rPr>
          <w:rFonts w:cs="Arial"/>
          <w:szCs w:val="20"/>
        </w:rPr>
        <w:t xml:space="preserve">zákon č. 110/2019 Sb., o zpracování osobních údajů, </w:t>
      </w:r>
      <w:r w:rsidRPr="007B231E">
        <w:rPr>
          <w:rFonts w:cs="Arial"/>
          <w:szCs w:val="20"/>
        </w:rPr>
        <w:t xml:space="preserve">a dále na zákon č. 181/2014 Sb. o kybernetické bezpečnosti a o změně souvisejících zákonů (zákon o kybernetické bezpečnosti), ve znění pozdějších předpisů, se Poskytovatel zavazuje učinit taková opatření, aby veškeré osoby, které se podílejí na realizaci jeho závazků z této  Smlouvy, zachovávaly mlčenlivost o veškerých osobních údajích, jakož i o </w:t>
      </w:r>
      <w:r w:rsidR="00AE06DA">
        <w:rPr>
          <w:rFonts w:cs="Arial"/>
          <w:szCs w:val="20"/>
        </w:rPr>
        <w:t>technických a organizačních</w:t>
      </w:r>
      <w:r w:rsidRPr="007B231E">
        <w:rPr>
          <w:rFonts w:cs="Arial"/>
          <w:szCs w:val="20"/>
        </w:rPr>
        <w:t xml:space="preserve"> opatřeních k jejich ochraně, o nichž se při plnění závazků dozvěděly, </w:t>
      </w:r>
      <w:r w:rsidRPr="007B231E">
        <w:rPr>
          <w:rFonts w:cs="Arial"/>
          <w:szCs w:val="20"/>
        </w:rPr>
        <w:lastRenderedPageBreak/>
        <w:t xml:space="preserve">včetně těch, které </w:t>
      </w:r>
      <w:r w:rsidR="00956E08">
        <w:rPr>
          <w:rFonts w:cs="Arial"/>
          <w:szCs w:val="20"/>
        </w:rPr>
        <w:t>Objednatel</w:t>
      </w:r>
      <w:r w:rsidRPr="007B231E">
        <w:rPr>
          <w:rFonts w:cs="Arial"/>
          <w:szCs w:val="20"/>
        </w:rPr>
        <w:t xml:space="preserve"> eviduje pomocí výpočetní techniky, či jinak. Toto ujednání platí i v případě nahrazení uvedených právních předpisů předpisy jinými.</w:t>
      </w:r>
    </w:p>
    <w:p w14:paraId="4A2558CE" w14:textId="77777777" w:rsidR="000408EA" w:rsidRPr="00CE5412" w:rsidRDefault="000408EA" w:rsidP="003846BC">
      <w:pPr>
        <w:pStyle w:val="Odstavecseseznamem"/>
        <w:numPr>
          <w:ilvl w:val="0"/>
          <w:numId w:val="12"/>
        </w:numPr>
        <w:spacing w:after="120" w:line="280" w:lineRule="atLeast"/>
        <w:contextualSpacing w:val="0"/>
        <w:rPr>
          <w:rFonts w:cs="Arial"/>
          <w:szCs w:val="20"/>
        </w:rPr>
      </w:pPr>
      <w:r w:rsidRPr="007B231E">
        <w:rPr>
          <w:rFonts w:cs="Arial"/>
          <w:szCs w:val="20"/>
        </w:rPr>
        <w:t>Poskytovatel se dále zavazuje zajistit, aby veškeré osoby, které se podílejí na realizaci jeho závazků z této Smlouvy, zachovávaly mlčenlivost o veškerých dalších skutečnostech, údajích a datech, o nichž se při plnění těchto závazků dozvěděly, a které nejsou veřejně známé nebo veřejně dostupné.</w:t>
      </w:r>
    </w:p>
    <w:p w14:paraId="15CCB446" w14:textId="77777777" w:rsidR="000408EA" w:rsidRPr="00CE5412" w:rsidRDefault="000408EA" w:rsidP="003846BC">
      <w:pPr>
        <w:pStyle w:val="Odstavecseseznamem"/>
        <w:numPr>
          <w:ilvl w:val="0"/>
          <w:numId w:val="12"/>
        </w:numPr>
        <w:spacing w:after="120" w:line="280" w:lineRule="atLeast"/>
        <w:contextualSpacing w:val="0"/>
        <w:rPr>
          <w:rFonts w:cs="Arial"/>
          <w:szCs w:val="20"/>
        </w:rPr>
      </w:pPr>
      <w:r w:rsidRPr="007B231E">
        <w:rPr>
          <w:rFonts w:cs="Arial"/>
          <w:szCs w:val="20"/>
        </w:rPr>
        <w:t xml:space="preserve">Za porušení závazků uvedených v odst. 2. a 3. tohoto článku se považuje i využití těchto skutečností, údajů a dat, jakož i dalších vědomostí pro vlastní prospěch Poskytovatele, prospěch třetí osoby nebo pro jiné důvody. </w:t>
      </w:r>
    </w:p>
    <w:p w14:paraId="692CA84F" w14:textId="77777777" w:rsidR="000408EA" w:rsidRPr="00CE5412" w:rsidRDefault="000408EA" w:rsidP="003846BC">
      <w:pPr>
        <w:pStyle w:val="Odstavecseseznamem"/>
        <w:numPr>
          <w:ilvl w:val="0"/>
          <w:numId w:val="12"/>
        </w:numPr>
        <w:spacing w:after="120" w:line="280" w:lineRule="atLeast"/>
        <w:contextualSpacing w:val="0"/>
        <w:rPr>
          <w:rFonts w:cs="Arial"/>
          <w:szCs w:val="20"/>
        </w:rPr>
      </w:pPr>
      <w:r w:rsidRPr="007B231E">
        <w:rPr>
          <w:rFonts w:cs="Arial"/>
          <w:szCs w:val="20"/>
        </w:rPr>
        <w:t>Poskytnutí informací na základě povinností stanovených Smluvním stranám obecně závaznými právními předpisy České republiky včetně přímo použitelných předpisů Evropské unie není považováno za porušení povinností Smluvních stran sjednaných v tomto článku.</w:t>
      </w:r>
    </w:p>
    <w:p w14:paraId="7141D874" w14:textId="51AA8066" w:rsidR="000408EA" w:rsidRPr="00CE5412" w:rsidRDefault="000408EA" w:rsidP="003846BC">
      <w:pPr>
        <w:pStyle w:val="Odstavecseseznamem"/>
        <w:numPr>
          <w:ilvl w:val="0"/>
          <w:numId w:val="12"/>
        </w:numPr>
        <w:spacing w:after="120" w:line="280" w:lineRule="atLeast"/>
        <w:contextualSpacing w:val="0"/>
        <w:rPr>
          <w:rFonts w:cs="Arial"/>
          <w:szCs w:val="20"/>
        </w:rPr>
      </w:pPr>
      <w:r w:rsidRPr="007B231E">
        <w:rPr>
          <w:rFonts w:cs="Arial"/>
          <w:szCs w:val="20"/>
        </w:rPr>
        <w:t xml:space="preserve">Za porušení závazku uvedeného v odstavci 2. tohoto článku je Poskytovatel povinen zaplatit </w:t>
      </w:r>
      <w:r w:rsidR="007054E5">
        <w:rPr>
          <w:rFonts w:cs="Arial"/>
          <w:szCs w:val="20"/>
        </w:rPr>
        <w:t>Objednateli</w:t>
      </w:r>
      <w:r w:rsidRPr="007B231E">
        <w:rPr>
          <w:rFonts w:cs="Arial"/>
          <w:szCs w:val="20"/>
        </w:rPr>
        <w:t xml:space="preserve"> v každém jednotlivém případě smluvní pokutu ve vý</w:t>
      </w:r>
      <w:r w:rsidRPr="00D410EA">
        <w:rPr>
          <w:rFonts w:cs="Arial"/>
          <w:szCs w:val="20"/>
        </w:rPr>
        <w:t xml:space="preserve">ši </w:t>
      </w:r>
      <w:r w:rsidR="00956E08">
        <w:rPr>
          <w:rFonts w:cs="Arial"/>
          <w:szCs w:val="20"/>
        </w:rPr>
        <w:t>5</w:t>
      </w:r>
      <w:r w:rsidRPr="00D410EA">
        <w:rPr>
          <w:rFonts w:cs="Arial"/>
          <w:szCs w:val="20"/>
        </w:rPr>
        <w:t>00 000 Kč</w:t>
      </w:r>
      <w:r w:rsidR="00956E08">
        <w:rPr>
          <w:rFonts w:cs="Arial"/>
          <w:szCs w:val="20"/>
        </w:rPr>
        <w:t>.</w:t>
      </w:r>
      <w:r w:rsidRPr="007B231E">
        <w:rPr>
          <w:rFonts w:cs="Arial"/>
          <w:szCs w:val="20"/>
        </w:rPr>
        <w:t xml:space="preserve"> </w:t>
      </w:r>
      <w:r w:rsidR="00501E33" w:rsidRPr="007B231E">
        <w:rPr>
          <w:rFonts w:cs="Arial"/>
          <w:szCs w:val="20"/>
        </w:rPr>
        <w:t xml:space="preserve">Za porušení závazku uvedeného v odstavci 3. tohoto článku je Poskytovatel povinen zaplatit </w:t>
      </w:r>
      <w:r w:rsidR="00956E08">
        <w:rPr>
          <w:rFonts w:cs="Arial"/>
          <w:szCs w:val="20"/>
        </w:rPr>
        <w:t>Objednateli</w:t>
      </w:r>
      <w:r w:rsidR="00501E33" w:rsidRPr="007B231E">
        <w:rPr>
          <w:rFonts w:cs="Arial"/>
          <w:szCs w:val="20"/>
        </w:rPr>
        <w:t xml:space="preserve"> v každém jednotlivém případě smluvní pokutu ve </w:t>
      </w:r>
      <w:r w:rsidR="00501E33" w:rsidRPr="00D410EA">
        <w:rPr>
          <w:rFonts w:cs="Arial"/>
          <w:szCs w:val="20"/>
        </w:rPr>
        <w:t xml:space="preserve">výši 100 000 Kč. </w:t>
      </w:r>
      <w:r w:rsidRPr="00D410EA">
        <w:rPr>
          <w:rFonts w:cs="Arial"/>
          <w:szCs w:val="20"/>
        </w:rPr>
        <w:t>Uje</w:t>
      </w:r>
      <w:r w:rsidRPr="007B231E">
        <w:rPr>
          <w:rFonts w:cs="Arial"/>
          <w:szCs w:val="20"/>
        </w:rPr>
        <w:t xml:space="preserve">dnáním o smluvní pokutě ani zaplacením smluvní pokuty není dotčeno právo </w:t>
      </w:r>
      <w:r w:rsidR="00956E08">
        <w:rPr>
          <w:rFonts w:cs="Arial"/>
          <w:szCs w:val="20"/>
        </w:rPr>
        <w:t>Objednatele</w:t>
      </w:r>
      <w:r w:rsidRPr="007B231E">
        <w:rPr>
          <w:rFonts w:cs="Arial"/>
          <w:szCs w:val="20"/>
        </w:rPr>
        <w:t xml:space="preserve"> na náhradu škody vzniklé z porušení povinnosti, ke kterému se smluvní pokuta vztahuje.</w:t>
      </w:r>
    </w:p>
    <w:p w14:paraId="0619E0B7" w14:textId="77777777" w:rsidR="000408EA" w:rsidRPr="007B231E" w:rsidRDefault="000408EA" w:rsidP="003846BC">
      <w:pPr>
        <w:pStyle w:val="Odstavecseseznamem"/>
        <w:numPr>
          <w:ilvl w:val="0"/>
          <w:numId w:val="12"/>
        </w:numPr>
        <w:spacing w:after="120" w:line="280" w:lineRule="atLeast"/>
        <w:contextualSpacing w:val="0"/>
        <w:rPr>
          <w:rFonts w:cs="Arial"/>
          <w:szCs w:val="20"/>
        </w:rPr>
      </w:pPr>
      <w:r w:rsidRPr="007B231E">
        <w:rPr>
          <w:rFonts w:cs="Arial"/>
          <w:szCs w:val="20"/>
        </w:rPr>
        <w:t>Závazky Smluvních stran uvedené v tomto článku trvají i po skončení tohoto smluvního vztahu.</w:t>
      </w:r>
    </w:p>
    <w:p w14:paraId="29CE88A6" w14:textId="77777777" w:rsidR="00F64349" w:rsidRPr="007B231E" w:rsidRDefault="00F64349" w:rsidP="0082648E">
      <w:pPr>
        <w:pStyle w:val="Odstavecseseznamem"/>
        <w:ind w:left="360"/>
        <w:rPr>
          <w:rFonts w:cs="Arial"/>
          <w:szCs w:val="20"/>
        </w:rPr>
      </w:pPr>
    </w:p>
    <w:p w14:paraId="735D1CAC" w14:textId="77777777" w:rsidR="00DD6BDD" w:rsidRPr="007B231E" w:rsidRDefault="002D0DE0" w:rsidP="004C3EDE">
      <w:pPr>
        <w:pStyle w:val="Nadpis1"/>
      </w:pPr>
      <w:r>
        <w:t>Článek X.</w:t>
      </w:r>
      <w:r>
        <w:br/>
      </w:r>
      <w:r w:rsidR="005D51C2" w:rsidRPr="007B231E">
        <w:t>Licenční ujednání</w:t>
      </w:r>
    </w:p>
    <w:p w14:paraId="5621E08E" w14:textId="15F8EBCE" w:rsidR="00D33DED" w:rsidRDefault="00E26A4C" w:rsidP="003846BC">
      <w:pPr>
        <w:pStyle w:val="Odstavecseseznamem"/>
        <w:numPr>
          <w:ilvl w:val="0"/>
          <w:numId w:val="13"/>
        </w:numPr>
        <w:spacing w:after="120" w:line="280" w:lineRule="atLeast"/>
        <w:contextualSpacing w:val="0"/>
        <w:rPr>
          <w:rFonts w:cs="Arial"/>
          <w:szCs w:val="20"/>
        </w:rPr>
      </w:pPr>
      <w:r w:rsidRPr="007B231E">
        <w:rPr>
          <w:rFonts w:cs="Arial"/>
          <w:szCs w:val="20"/>
        </w:rPr>
        <w:t xml:space="preserve">Licence </w:t>
      </w:r>
      <w:r w:rsidR="00956E08">
        <w:rPr>
          <w:rFonts w:cs="Arial"/>
          <w:szCs w:val="20"/>
        </w:rPr>
        <w:t>dle technické specifikace</w:t>
      </w:r>
      <w:r w:rsidR="000408EA" w:rsidRPr="007B231E">
        <w:rPr>
          <w:rFonts w:cs="Arial"/>
          <w:szCs w:val="20"/>
        </w:rPr>
        <w:t xml:space="preserve"> </w:t>
      </w:r>
      <w:r w:rsidRPr="007B231E">
        <w:rPr>
          <w:rFonts w:cs="Arial"/>
          <w:szCs w:val="20"/>
        </w:rPr>
        <w:t>se touto Smlouvou poskytuj</w:t>
      </w:r>
      <w:r w:rsidR="00A53932">
        <w:rPr>
          <w:rFonts w:cs="Arial"/>
          <w:szCs w:val="20"/>
        </w:rPr>
        <w:t>e</w:t>
      </w:r>
      <w:r w:rsidRPr="007B231E">
        <w:rPr>
          <w:rFonts w:cs="Arial"/>
          <w:szCs w:val="20"/>
        </w:rPr>
        <w:t xml:space="preserve"> jako nevýhradní, </w:t>
      </w:r>
      <w:r w:rsidR="008B7BEE" w:rsidRPr="007B231E">
        <w:rPr>
          <w:rFonts w:cs="Arial"/>
          <w:szCs w:val="20"/>
        </w:rPr>
        <w:t>v rozsahu stanoveném touto Smlouvou,</w:t>
      </w:r>
      <w:r w:rsidR="0084162C" w:rsidRPr="007B231E">
        <w:rPr>
          <w:rFonts w:cs="Arial"/>
          <w:szCs w:val="20"/>
        </w:rPr>
        <w:t xml:space="preserve"> </w:t>
      </w:r>
      <w:r w:rsidRPr="007B231E">
        <w:rPr>
          <w:rFonts w:cs="Arial"/>
          <w:szCs w:val="20"/>
        </w:rPr>
        <w:t xml:space="preserve">k užití v rámci </w:t>
      </w:r>
      <w:r w:rsidR="00956E08">
        <w:rPr>
          <w:rFonts w:cs="Arial"/>
          <w:szCs w:val="20"/>
        </w:rPr>
        <w:t>PGRLF</w:t>
      </w:r>
      <w:r w:rsidRPr="007B231E">
        <w:rPr>
          <w:rFonts w:cs="Arial"/>
          <w:szCs w:val="20"/>
        </w:rPr>
        <w:t xml:space="preserve"> podle jeh</w:t>
      </w:r>
      <w:r w:rsidR="00956E08">
        <w:rPr>
          <w:rFonts w:cs="Arial"/>
          <w:szCs w:val="20"/>
        </w:rPr>
        <w:t>o</w:t>
      </w:r>
      <w:r w:rsidRPr="007B231E">
        <w:rPr>
          <w:rFonts w:cs="Arial"/>
          <w:szCs w:val="20"/>
        </w:rPr>
        <w:t xml:space="preserve"> potřeb</w:t>
      </w:r>
      <w:r w:rsidR="00D33DED">
        <w:rPr>
          <w:rFonts w:cs="Arial"/>
          <w:szCs w:val="20"/>
        </w:rPr>
        <w:t xml:space="preserve">. </w:t>
      </w:r>
    </w:p>
    <w:p w14:paraId="6CB07AFB" w14:textId="3AFAFFC9" w:rsidR="006709EB" w:rsidRPr="00CE5412" w:rsidRDefault="00E26A4C" w:rsidP="003846BC">
      <w:pPr>
        <w:pStyle w:val="Odstavecseseznamem"/>
        <w:numPr>
          <w:ilvl w:val="0"/>
          <w:numId w:val="13"/>
        </w:numPr>
        <w:spacing w:after="120" w:line="280" w:lineRule="atLeast"/>
        <w:contextualSpacing w:val="0"/>
        <w:rPr>
          <w:rFonts w:cs="Arial"/>
          <w:szCs w:val="20"/>
        </w:rPr>
      </w:pPr>
      <w:r w:rsidRPr="007B231E">
        <w:rPr>
          <w:rFonts w:cs="Arial"/>
          <w:szCs w:val="20"/>
        </w:rPr>
        <w:t xml:space="preserve"> </w:t>
      </w:r>
      <w:r w:rsidR="00A53932">
        <w:rPr>
          <w:rFonts w:cs="Arial"/>
          <w:szCs w:val="20"/>
        </w:rPr>
        <w:t>Poskytnutí</w:t>
      </w:r>
      <w:r w:rsidR="006B733F">
        <w:rPr>
          <w:rFonts w:cs="Arial"/>
          <w:szCs w:val="20"/>
        </w:rPr>
        <w:t xml:space="preserve"> </w:t>
      </w:r>
      <w:r w:rsidRPr="007B231E">
        <w:rPr>
          <w:rFonts w:cs="Arial"/>
          <w:szCs w:val="20"/>
        </w:rPr>
        <w:t>licence se</w:t>
      </w:r>
      <w:r w:rsidR="00A53932">
        <w:rPr>
          <w:rFonts w:cs="Arial"/>
          <w:szCs w:val="20"/>
        </w:rPr>
        <w:t xml:space="preserve"> takto bude</w:t>
      </w:r>
      <w:r w:rsidRPr="007B231E">
        <w:rPr>
          <w:rFonts w:cs="Arial"/>
          <w:szCs w:val="20"/>
        </w:rPr>
        <w:t xml:space="preserve"> vztahovat i na veškeré</w:t>
      </w:r>
      <w:r w:rsidR="00E017BD">
        <w:rPr>
          <w:rFonts w:cs="Arial"/>
          <w:szCs w:val="20"/>
        </w:rPr>
        <w:t xml:space="preserve"> verze,</w:t>
      </w:r>
      <w:r w:rsidRPr="007B231E">
        <w:rPr>
          <w:rFonts w:cs="Arial"/>
          <w:szCs w:val="20"/>
        </w:rPr>
        <w:t xml:space="preserve"> </w:t>
      </w:r>
      <w:r w:rsidR="008C6BA5">
        <w:rPr>
          <w:rFonts w:cs="Arial"/>
          <w:szCs w:val="20"/>
        </w:rPr>
        <w:t>aktualizace a opravné balíčky (</w:t>
      </w:r>
      <w:r w:rsidRPr="007B231E">
        <w:rPr>
          <w:rFonts w:cs="Arial"/>
          <w:szCs w:val="20"/>
        </w:rPr>
        <w:t>upgrade</w:t>
      </w:r>
      <w:r w:rsidR="00D63830">
        <w:rPr>
          <w:rFonts w:cs="Arial"/>
          <w:szCs w:val="20"/>
        </w:rPr>
        <w:t>/update/</w:t>
      </w:r>
      <w:r w:rsidR="00FB096A">
        <w:rPr>
          <w:rFonts w:cs="Arial"/>
          <w:szCs w:val="20"/>
        </w:rPr>
        <w:t>patches</w:t>
      </w:r>
      <w:r w:rsidR="008C6BA5">
        <w:rPr>
          <w:rFonts w:cs="Arial"/>
          <w:szCs w:val="20"/>
        </w:rPr>
        <w:t>)</w:t>
      </w:r>
      <w:r w:rsidRPr="007B231E">
        <w:rPr>
          <w:rFonts w:cs="Arial"/>
          <w:szCs w:val="20"/>
        </w:rPr>
        <w:t xml:space="preserve"> produktu získané Objednatelem na základě</w:t>
      </w:r>
      <w:r w:rsidR="00647456" w:rsidRPr="007B231E">
        <w:rPr>
          <w:rFonts w:cs="Arial"/>
          <w:szCs w:val="20"/>
        </w:rPr>
        <w:t xml:space="preserve"> poskytování</w:t>
      </w:r>
      <w:r w:rsidRPr="007B231E">
        <w:rPr>
          <w:rFonts w:cs="Arial"/>
          <w:szCs w:val="20"/>
        </w:rPr>
        <w:t xml:space="preserve"> podpory podle této Smlouvy</w:t>
      </w:r>
      <w:bookmarkStart w:id="0" w:name="_GoBack"/>
      <w:bookmarkEnd w:id="0"/>
      <w:r w:rsidRPr="007B231E">
        <w:rPr>
          <w:rFonts w:cs="Arial"/>
          <w:szCs w:val="20"/>
        </w:rPr>
        <w:t>.</w:t>
      </w:r>
    </w:p>
    <w:p w14:paraId="496ACF64" w14:textId="1F839338" w:rsidR="00D33DED" w:rsidRPr="005D0EFA" w:rsidRDefault="00A53932" w:rsidP="005D0EFA">
      <w:pPr>
        <w:pStyle w:val="Odstavecseseznamem"/>
        <w:numPr>
          <w:ilvl w:val="0"/>
          <w:numId w:val="13"/>
        </w:numPr>
        <w:spacing w:after="120" w:line="280" w:lineRule="atLeast"/>
        <w:contextualSpacing w:val="0"/>
        <w:rPr>
          <w:rFonts w:cs="Arial"/>
          <w:szCs w:val="20"/>
        </w:rPr>
      </w:pPr>
      <w:r>
        <w:rPr>
          <w:rFonts w:cs="Arial"/>
          <w:szCs w:val="20"/>
        </w:rPr>
        <w:t>Licence je</w:t>
      </w:r>
      <w:r w:rsidR="004606D2" w:rsidRPr="007B231E">
        <w:rPr>
          <w:rFonts w:cs="Arial"/>
          <w:szCs w:val="20"/>
        </w:rPr>
        <w:t xml:space="preserve"> poskytován</w:t>
      </w:r>
      <w:r>
        <w:rPr>
          <w:rFonts w:cs="Arial"/>
          <w:szCs w:val="20"/>
        </w:rPr>
        <w:t>a</w:t>
      </w:r>
      <w:r w:rsidR="004606D2" w:rsidRPr="007B231E">
        <w:rPr>
          <w:rFonts w:cs="Arial"/>
          <w:szCs w:val="20"/>
        </w:rPr>
        <w:t xml:space="preserve"> na dobu stanovenou touto Smlouvou</w:t>
      </w:r>
      <w:r w:rsidR="00956E08">
        <w:rPr>
          <w:rFonts w:cs="Arial"/>
          <w:szCs w:val="20"/>
        </w:rPr>
        <w:t>.</w:t>
      </w:r>
      <w:r w:rsidR="004606D2" w:rsidRPr="007B231E">
        <w:rPr>
          <w:rFonts w:cs="Arial"/>
          <w:szCs w:val="20"/>
        </w:rPr>
        <w:t xml:space="preserve"> </w:t>
      </w:r>
    </w:p>
    <w:p w14:paraId="21A311DC" w14:textId="018BFBC6" w:rsidR="00D0627E" w:rsidRDefault="008B7BEE" w:rsidP="00D0627E">
      <w:pPr>
        <w:pStyle w:val="Odstavecseseznamem"/>
        <w:numPr>
          <w:ilvl w:val="0"/>
          <w:numId w:val="13"/>
        </w:numPr>
        <w:spacing w:after="120" w:line="280" w:lineRule="atLeast"/>
        <w:contextualSpacing w:val="0"/>
        <w:rPr>
          <w:rFonts w:cs="Arial"/>
          <w:szCs w:val="20"/>
        </w:rPr>
      </w:pPr>
      <w:r w:rsidRPr="002949EB">
        <w:rPr>
          <w:rFonts w:cs="Arial"/>
          <w:szCs w:val="20"/>
        </w:rPr>
        <w:t>V</w:t>
      </w:r>
      <w:r w:rsidR="00582ADA">
        <w:rPr>
          <w:rFonts w:cs="Arial"/>
          <w:szCs w:val="20"/>
        </w:rPr>
        <w:t> </w:t>
      </w:r>
      <w:r w:rsidRPr="002949EB">
        <w:rPr>
          <w:rFonts w:cs="Arial"/>
          <w:szCs w:val="20"/>
        </w:rPr>
        <w:t>dalším</w:t>
      </w:r>
      <w:r w:rsidR="00582ADA">
        <w:rPr>
          <w:rFonts w:cs="Arial"/>
          <w:szCs w:val="20"/>
        </w:rPr>
        <w:t xml:space="preserve"> </w:t>
      </w:r>
      <w:r w:rsidRPr="002949EB">
        <w:rPr>
          <w:rFonts w:cs="Arial"/>
          <w:szCs w:val="20"/>
        </w:rPr>
        <w:t xml:space="preserve">užití </w:t>
      </w:r>
      <w:r w:rsidR="00A53932">
        <w:rPr>
          <w:rFonts w:cs="Arial"/>
          <w:szCs w:val="20"/>
        </w:rPr>
        <w:t>licence</w:t>
      </w:r>
      <w:r w:rsidR="00582ADA">
        <w:rPr>
          <w:rFonts w:cs="Arial"/>
          <w:szCs w:val="20"/>
        </w:rPr>
        <w:t xml:space="preserve"> se</w:t>
      </w:r>
      <w:r w:rsidR="00F42D7D" w:rsidRPr="002949EB">
        <w:rPr>
          <w:rFonts w:cs="Arial"/>
          <w:szCs w:val="20"/>
        </w:rPr>
        <w:t xml:space="preserve"> </w:t>
      </w:r>
      <w:r w:rsidRPr="002949EB">
        <w:rPr>
          <w:rFonts w:cs="Arial"/>
          <w:szCs w:val="20"/>
        </w:rPr>
        <w:t xml:space="preserve">řídí </w:t>
      </w:r>
      <w:r w:rsidR="002939C8" w:rsidRPr="002949EB">
        <w:rPr>
          <w:rFonts w:cs="Arial"/>
          <w:szCs w:val="20"/>
        </w:rPr>
        <w:t>l</w:t>
      </w:r>
      <w:r w:rsidR="005D51C2" w:rsidRPr="002949EB">
        <w:rPr>
          <w:rFonts w:cs="Arial"/>
          <w:szCs w:val="20"/>
        </w:rPr>
        <w:t>icenční</w:t>
      </w:r>
      <w:r w:rsidRPr="002949EB">
        <w:rPr>
          <w:rFonts w:cs="Arial"/>
          <w:szCs w:val="20"/>
        </w:rPr>
        <w:t>mi</w:t>
      </w:r>
      <w:r w:rsidR="005D51C2" w:rsidRPr="002949EB">
        <w:rPr>
          <w:rFonts w:cs="Arial"/>
          <w:szCs w:val="20"/>
        </w:rPr>
        <w:t xml:space="preserve"> podmínk</w:t>
      </w:r>
      <w:r w:rsidR="00D0627E" w:rsidRPr="002949EB">
        <w:rPr>
          <w:rFonts w:cs="Arial"/>
          <w:szCs w:val="20"/>
        </w:rPr>
        <w:t>ami</w:t>
      </w:r>
      <w:r w:rsidR="005D51C2" w:rsidRPr="002949EB">
        <w:rPr>
          <w:rFonts w:cs="Arial"/>
          <w:szCs w:val="20"/>
        </w:rPr>
        <w:t xml:space="preserve"> </w:t>
      </w:r>
      <w:r w:rsidR="00E8210E" w:rsidRPr="002949EB">
        <w:rPr>
          <w:rFonts w:cs="Arial"/>
          <w:szCs w:val="20"/>
        </w:rPr>
        <w:t>V</w:t>
      </w:r>
      <w:r w:rsidR="005D51C2" w:rsidRPr="002949EB">
        <w:rPr>
          <w:rFonts w:cs="Arial"/>
          <w:szCs w:val="20"/>
        </w:rPr>
        <w:t>ýrobce</w:t>
      </w:r>
      <w:r w:rsidR="00F6011A" w:rsidRPr="002949EB">
        <w:rPr>
          <w:rFonts w:cs="Arial"/>
          <w:szCs w:val="20"/>
        </w:rPr>
        <w:t xml:space="preserve"> </w:t>
      </w:r>
      <w:r w:rsidR="0099179E" w:rsidRPr="002949EB">
        <w:rPr>
          <w:rFonts w:cs="Arial"/>
          <w:szCs w:val="20"/>
        </w:rPr>
        <w:t>platnými</w:t>
      </w:r>
      <w:r w:rsidR="00F6011A" w:rsidRPr="002949EB">
        <w:rPr>
          <w:rFonts w:cs="Arial"/>
          <w:szCs w:val="20"/>
        </w:rPr>
        <w:t xml:space="preserve"> ke dni nákupu</w:t>
      </w:r>
      <w:r w:rsidR="0099179E" w:rsidRPr="002949EB">
        <w:rPr>
          <w:rFonts w:cs="Arial"/>
          <w:szCs w:val="20"/>
        </w:rPr>
        <w:t>, resp. ke dni upgrade apod</w:t>
      </w:r>
      <w:r w:rsidR="00E8210E" w:rsidRPr="002949EB">
        <w:rPr>
          <w:rFonts w:cs="Arial"/>
          <w:szCs w:val="20"/>
        </w:rPr>
        <w:t>.</w:t>
      </w:r>
      <w:r w:rsidR="006F78CC" w:rsidRPr="002949EB">
        <w:rPr>
          <w:rFonts w:cs="Arial"/>
          <w:szCs w:val="20"/>
        </w:rPr>
        <w:t xml:space="preserve"> </w:t>
      </w:r>
    </w:p>
    <w:p w14:paraId="36722545" w14:textId="197D03C2" w:rsidR="00A53932" w:rsidRPr="002949EB" w:rsidRDefault="00A53932" w:rsidP="00D0627E">
      <w:pPr>
        <w:pStyle w:val="Odstavecseseznamem"/>
        <w:numPr>
          <w:ilvl w:val="0"/>
          <w:numId w:val="13"/>
        </w:numPr>
        <w:spacing w:after="120" w:line="280" w:lineRule="atLeast"/>
        <w:contextualSpacing w:val="0"/>
        <w:rPr>
          <w:rFonts w:cs="Arial"/>
          <w:szCs w:val="20"/>
        </w:rPr>
      </w:pPr>
      <w:r>
        <w:rPr>
          <w:rFonts w:cs="Arial"/>
          <w:szCs w:val="20"/>
        </w:rPr>
        <w:t>Poskytovatel prohlašuje, že má právo tuto licenci poskytovat, že je partnerem Výrobce licence.</w:t>
      </w:r>
    </w:p>
    <w:p w14:paraId="429879F4" w14:textId="77777777" w:rsidR="008B7BEE" w:rsidRPr="007B231E" w:rsidRDefault="008B7BEE" w:rsidP="003846BC">
      <w:pPr>
        <w:pStyle w:val="Odstavecseseznamem"/>
        <w:numPr>
          <w:ilvl w:val="0"/>
          <w:numId w:val="13"/>
        </w:numPr>
        <w:spacing w:after="120" w:line="280" w:lineRule="atLeast"/>
        <w:contextualSpacing w:val="0"/>
        <w:rPr>
          <w:rFonts w:cs="Arial"/>
          <w:szCs w:val="20"/>
        </w:rPr>
      </w:pPr>
      <w:r w:rsidRPr="007B231E">
        <w:rPr>
          <w:rFonts w:cs="Arial"/>
          <w:szCs w:val="20"/>
        </w:rPr>
        <w:t>Smluvní strany se dohodly</w:t>
      </w:r>
      <w:r w:rsidR="00560330" w:rsidRPr="007B231E">
        <w:rPr>
          <w:rFonts w:cs="Arial"/>
          <w:szCs w:val="20"/>
        </w:rPr>
        <w:t xml:space="preserve"> na tom, že nebude postupováno podle ustanovení § 2370 občanského zákoníku.</w:t>
      </w:r>
    </w:p>
    <w:p w14:paraId="6E8B58F5" w14:textId="77777777" w:rsidR="00DD6BDD" w:rsidRPr="007B231E" w:rsidRDefault="002D0DE0" w:rsidP="004C3EDE">
      <w:pPr>
        <w:pStyle w:val="Nadpis1"/>
      </w:pPr>
      <w:r>
        <w:t>Článek XI.</w:t>
      </w:r>
      <w:r>
        <w:br/>
      </w:r>
      <w:r w:rsidR="00DD6BDD" w:rsidRPr="007B231E">
        <w:t>Uveřejnění smlouvy</w:t>
      </w:r>
    </w:p>
    <w:p w14:paraId="72E0AE9B" w14:textId="43B30020" w:rsidR="00037B09" w:rsidRPr="007B231E" w:rsidRDefault="00037B09" w:rsidP="003846BC">
      <w:pPr>
        <w:pStyle w:val="Odstavecseseznamem"/>
        <w:numPr>
          <w:ilvl w:val="0"/>
          <w:numId w:val="14"/>
        </w:numPr>
        <w:spacing w:after="120" w:line="280" w:lineRule="atLeast"/>
        <w:contextualSpacing w:val="0"/>
        <w:rPr>
          <w:rFonts w:cs="Arial"/>
          <w:szCs w:val="20"/>
        </w:rPr>
      </w:pPr>
      <w:r w:rsidRPr="007B231E">
        <w:rPr>
          <w:rFonts w:cs="Arial"/>
          <w:szCs w:val="20"/>
        </w:rPr>
        <w:t xml:space="preserve">Smluvní strany jsou si plně vědomy zákonné povinnosti </w:t>
      </w:r>
      <w:r w:rsidR="005D51C2" w:rsidRPr="007B231E">
        <w:rPr>
          <w:rFonts w:cs="Arial"/>
          <w:szCs w:val="20"/>
        </w:rPr>
        <w:t>S</w:t>
      </w:r>
      <w:r w:rsidRPr="007B231E">
        <w:rPr>
          <w:rFonts w:cs="Arial"/>
          <w:szCs w:val="20"/>
        </w:rPr>
        <w:t>mluvních stran uveřejnit dle zákona č. 340/2015 Sb., o zvláštních podmínkách účinnosti některých smluv, uveřejňování těchto smluv a o registru smluv (zákon o registru smluv) ve znění pozdějších předpisů, tuto Smlouvu, včetně všech případných dohod či dodatků, kterými se tato Smlouva doplňuje, mění, nahrazuje nebo ruší, prostřednictvím registru smluv.</w:t>
      </w:r>
    </w:p>
    <w:p w14:paraId="30975709" w14:textId="77777777" w:rsidR="00037B09" w:rsidRPr="007B231E" w:rsidRDefault="00037B09" w:rsidP="003846BC">
      <w:pPr>
        <w:pStyle w:val="Odstavecseseznamem"/>
        <w:numPr>
          <w:ilvl w:val="0"/>
          <w:numId w:val="14"/>
        </w:numPr>
        <w:spacing w:after="120" w:line="280" w:lineRule="atLeast"/>
        <w:contextualSpacing w:val="0"/>
        <w:rPr>
          <w:rFonts w:cs="Arial"/>
          <w:szCs w:val="20"/>
        </w:rPr>
      </w:pPr>
      <w:r w:rsidRPr="007B231E">
        <w:rPr>
          <w:rFonts w:cs="Arial"/>
          <w:szCs w:val="20"/>
        </w:rPr>
        <w:t>Uveřejněním Smlouvy dle odst. 1. tohoto článku se rozumí uveřejnění elektronického obrazu textového obsahu Smlouvy v otevřeném a strojově čitelném formátu a rovněž metadat, podle § 5 odst. 1 zákona o registru smluv, prostřednictvím registru smluv.</w:t>
      </w:r>
    </w:p>
    <w:p w14:paraId="38F2CF4F" w14:textId="77777777" w:rsidR="00037B09" w:rsidRPr="007B231E" w:rsidRDefault="00037B09" w:rsidP="003846BC">
      <w:pPr>
        <w:pStyle w:val="Odstavecseseznamem"/>
        <w:numPr>
          <w:ilvl w:val="0"/>
          <w:numId w:val="14"/>
        </w:numPr>
        <w:spacing w:after="120" w:line="280" w:lineRule="atLeast"/>
        <w:contextualSpacing w:val="0"/>
        <w:rPr>
          <w:rFonts w:cs="Arial"/>
          <w:szCs w:val="20"/>
        </w:rPr>
      </w:pPr>
      <w:r w:rsidRPr="007B231E">
        <w:rPr>
          <w:rFonts w:cs="Arial"/>
          <w:szCs w:val="20"/>
        </w:rPr>
        <w:lastRenderedPageBreak/>
        <w:t xml:space="preserve">Smluvní strany se dohodly, že tuto Smlouvu zašle správci registru smluv k uveřejnění prostřednictvím registru smluv Objednatel. Poskytovatel je povinen zkontrolovat, že Smlouva včetně všech příloh a metadat byla řádně prostřednictvím registru smluv uveřejněna. V případě, že Poskytovatel zjistí jakékoliv nepřesnosti či nedostatky, je povinen bez zbytečného odkladu o nich Objednatele informovat a </w:t>
      </w:r>
      <w:r w:rsidR="001B121A" w:rsidRPr="007B231E">
        <w:rPr>
          <w:rFonts w:cs="Arial"/>
          <w:szCs w:val="20"/>
        </w:rPr>
        <w:t>S</w:t>
      </w:r>
      <w:r w:rsidRPr="007B231E">
        <w:rPr>
          <w:rFonts w:cs="Arial"/>
          <w:szCs w:val="20"/>
        </w:rPr>
        <w:t>mluvní strany si poskytnou veškerou potřebnou součinnost k zajištění opravy nepřesností či nedostatků.</w:t>
      </w:r>
    </w:p>
    <w:p w14:paraId="5607D7C6" w14:textId="77777777" w:rsidR="00037B09" w:rsidRPr="007B231E" w:rsidRDefault="00037B09" w:rsidP="003846BC">
      <w:pPr>
        <w:pStyle w:val="Odstavecseseznamem"/>
        <w:numPr>
          <w:ilvl w:val="0"/>
          <w:numId w:val="14"/>
        </w:numPr>
        <w:spacing w:after="120" w:line="280" w:lineRule="atLeast"/>
        <w:contextualSpacing w:val="0"/>
        <w:rPr>
          <w:rFonts w:cs="Arial"/>
          <w:szCs w:val="20"/>
        </w:rPr>
      </w:pPr>
      <w:r w:rsidRPr="007B231E">
        <w:rPr>
          <w:rFonts w:cs="Arial"/>
          <w:szCs w:val="20"/>
        </w:rPr>
        <w:t xml:space="preserve">Postup uvedený v odst. 1. a 3. tohoto článku se </w:t>
      </w:r>
      <w:r w:rsidR="001B121A" w:rsidRPr="007B231E">
        <w:rPr>
          <w:rFonts w:cs="Arial"/>
          <w:szCs w:val="20"/>
        </w:rPr>
        <w:t>S</w:t>
      </w:r>
      <w:r w:rsidRPr="007B231E">
        <w:rPr>
          <w:rFonts w:cs="Arial"/>
          <w:szCs w:val="20"/>
        </w:rPr>
        <w:t>mluvní strany zavazují dodržovat i v případě uzavření dodatků k této Smlouvě, jakož i v případě jakýchkoli dalších dohod, kterými se tato Smlouva bude případně doplňovat, měnit, nahrazovat nebo rušit.</w:t>
      </w:r>
    </w:p>
    <w:p w14:paraId="05EDAB1D" w14:textId="77777777" w:rsidR="00037B09" w:rsidRPr="007B231E" w:rsidRDefault="00037B09" w:rsidP="003846BC">
      <w:pPr>
        <w:pStyle w:val="Odstavecseseznamem"/>
        <w:numPr>
          <w:ilvl w:val="0"/>
          <w:numId w:val="14"/>
        </w:numPr>
        <w:spacing w:after="120" w:line="280" w:lineRule="atLeast"/>
        <w:contextualSpacing w:val="0"/>
        <w:rPr>
          <w:rFonts w:cs="Arial"/>
          <w:szCs w:val="20"/>
        </w:rPr>
      </w:pPr>
      <w:r w:rsidRPr="007B231E">
        <w:rPr>
          <w:rFonts w:cs="Arial"/>
          <w:szCs w:val="20"/>
        </w:rPr>
        <w:t>Poskytovatel bere na vědomí a souhlasí s tím, že Objednatel rovněž uveřejní tuto Smlouvu (tj. celé znění včetně všech příloh), včetně všech jejích případných dodatků, na svém profilu zadavatele; ustanovení odst. 6. a 7. tohoto článku se vztahuje i na tento postup.</w:t>
      </w:r>
    </w:p>
    <w:p w14:paraId="09CA2565" w14:textId="77777777" w:rsidR="00037B09" w:rsidRPr="007B231E" w:rsidRDefault="00037B09" w:rsidP="003846BC">
      <w:pPr>
        <w:pStyle w:val="Odstavecseseznamem"/>
        <w:numPr>
          <w:ilvl w:val="0"/>
          <w:numId w:val="14"/>
        </w:numPr>
        <w:spacing w:after="120" w:line="280" w:lineRule="atLeast"/>
        <w:contextualSpacing w:val="0"/>
        <w:rPr>
          <w:rFonts w:cs="Arial"/>
          <w:szCs w:val="20"/>
        </w:rPr>
      </w:pPr>
      <w:r w:rsidRPr="007B231E">
        <w:rPr>
          <w:rFonts w:cs="Arial"/>
          <w:szCs w:val="20"/>
        </w:rPr>
        <w:t xml:space="preserve">Poskytovatel výslovně souhlasí s tím, že s výjimkou ustanovení znečitelněných v souladu se zákonem o registru smluv bude uveřejněno úplné znění této Smlouvy včetně příloh a dodatků. </w:t>
      </w:r>
    </w:p>
    <w:p w14:paraId="2B094D76" w14:textId="45189C79" w:rsidR="00A5061D" w:rsidRDefault="00956E08" w:rsidP="003846BC">
      <w:pPr>
        <w:pStyle w:val="Odstavecseseznamem"/>
        <w:numPr>
          <w:ilvl w:val="0"/>
          <w:numId w:val="14"/>
        </w:numPr>
        <w:spacing w:after="120" w:line="280" w:lineRule="atLeast"/>
        <w:contextualSpacing w:val="0"/>
        <w:rPr>
          <w:rFonts w:cs="Arial"/>
          <w:szCs w:val="20"/>
        </w:rPr>
      </w:pPr>
      <w:r>
        <w:rPr>
          <w:rFonts w:cs="Arial"/>
          <w:szCs w:val="20"/>
        </w:rPr>
        <w:t>Objednatel</w:t>
      </w:r>
      <w:r w:rsidR="00037B09" w:rsidRPr="007B231E">
        <w:rPr>
          <w:rFonts w:cs="Arial"/>
          <w:szCs w:val="20"/>
        </w:rPr>
        <w:t xml:space="preserve"> výslovně souhlasí s tím, že s výjimkou ustanovení znečitelněných v souladu se zákonem o registru smluv bude uveřejněno úplné znění této Smlouvy. </w:t>
      </w:r>
    </w:p>
    <w:p w14:paraId="1EED836F" w14:textId="77777777" w:rsidR="00A5061D" w:rsidRPr="002D0DE0" w:rsidRDefault="002D0DE0" w:rsidP="004C3EDE">
      <w:pPr>
        <w:pStyle w:val="Nadpis1"/>
      </w:pPr>
      <w:r>
        <w:t>Článek XII.</w:t>
      </w:r>
      <w:r>
        <w:br/>
      </w:r>
      <w:r w:rsidRPr="00A5061D">
        <w:t>Ostatní ujednání, komunikace</w:t>
      </w:r>
    </w:p>
    <w:p w14:paraId="18D7EB74" w14:textId="77777777" w:rsidR="00FB2297" w:rsidRPr="00BC1DA5" w:rsidRDefault="00FB2297" w:rsidP="00FB2297">
      <w:pPr>
        <w:widowControl w:val="0"/>
        <w:numPr>
          <w:ilvl w:val="0"/>
          <w:numId w:val="21"/>
        </w:numPr>
        <w:spacing w:after="120" w:line="276" w:lineRule="auto"/>
        <w:ind w:left="284" w:hanging="284"/>
        <w:outlineLvl w:val="0"/>
        <w:rPr>
          <w:rFonts w:cs="Arial"/>
          <w:szCs w:val="20"/>
        </w:rPr>
      </w:pPr>
      <w:r w:rsidRPr="00BC1DA5">
        <w:rPr>
          <w:rFonts w:cs="Arial"/>
          <w:szCs w:val="20"/>
        </w:rPr>
        <w:t xml:space="preserve">Poskytovatel se zavazuje </w:t>
      </w:r>
      <w:r>
        <w:rPr>
          <w:rFonts w:cs="Arial"/>
          <w:szCs w:val="20"/>
        </w:rPr>
        <w:t xml:space="preserve">poskytovat </w:t>
      </w:r>
      <w:r w:rsidR="00FD0256">
        <w:rPr>
          <w:rFonts w:cs="Arial"/>
          <w:szCs w:val="20"/>
        </w:rPr>
        <w:t xml:space="preserve">Objednateli </w:t>
      </w:r>
      <w:r w:rsidRPr="00BC1DA5">
        <w:rPr>
          <w:rFonts w:cs="Arial"/>
          <w:szCs w:val="20"/>
        </w:rPr>
        <w:t xml:space="preserve">plnění </w:t>
      </w:r>
      <w:r>
        <w:rPr>
          <w:rFonts w:cs="Arial"/>
          <w:szCs w:val="20"/>
        </w:rPr>
        <w:t xml:space="preserve">dle této Smlouvy </w:t>
      </w:r>
      <w:r w:rsidRPr="00BC1DA5">
        <w:rPr>
          <w:rFonts w:cs="Arial"/>
          <w:szCs w:val="20"/>
        </w:rPr>
        <w:t>v souladu s příslušnými právními předpisy a s maximální péčí a v kvalitě odpovídající jeho odborným znalostem a zkušenostem, kterou lze od něj vzhledem k jeho profesnímu zaměření právem očekávat</w:t>
      </w:r>
      <w:r w:rsidR="00FD0256">
        <w:rPr>
          <w:rFonts w:cs="Arial"/>
          <w:szCs w:val="20"/>
        </w:rPr>
        <w:t xml:space="preserve"> a za poskytnuté plnění odpovídá</w:t>
      </w:r>
      <w:r w:rsidRPr="00BC1DA5">
        <w:rPr>
          <w:rFonts w:cs="Arial"/>
          <w:szCs w:val="20"/>
        </w:rPr>
        <w:t>.</w:t>
      </w:r>
    </w:p>
    <w:p w14:paraId="2E708879" w14:textId="77777777" w:rsidR="00FB2297" w:rsidRPr="00BC1DA5" w:rsidRDefault="00FB2297" w:rsidP="00FB2297">
      <w:pPr>
        <w:widowControl w:val="0"/>
        <w:numPr>
          <w:ilvl w:val="0"/>
          <w:numId w:val="21"/>
        </w:numPr>
        <w:spacing w:after="120" w:line="276" w:lineRule="auto"/>
        <w:ind w:left="284" w:hanging="284"/>
        <w:outlineLvl w:val="0"/>
        <w:rPr>
          <w:rFonts w:cs="Arial"/>
          <w:szCs w:val="20"/>
        </w:rPr>
      </w:pPr>
      <w:r w:rsidRPr="00BC1DA5">
        <w:rPr>
          <w:rFonts w:cs="Arial"/>
          <w:szCs w:val="20"/>
        </w:rPr>
        <w:t xml:space="preserve">Poskytovatel se zavazuje, že plnění poskytnuté podle této </w:t>
      </w:r>
      <w:r>
        <w:rPr>
          <w:rFonts w:cs="Arial"/>
          <w:szCs w:val="20"/>
        </w:rPr>
        <w:t xml:space="preserve">Smlouvy </w:t>
      </w:r>
      <w:r w:rsidRPr="00BC1DA5">
        <w:rPr>
          <w:rFonts w:cs="Arial"/>
          <w:szCs w:val="20"/>
        </w:rPr>
        <w:t xml:space="preserve">bude způsobilé pro použití ke smluvenému, popřípadě obvyklému účelu. </w:t>
      </w:r>
    </w:p>
    <w:p w14:paraId="2E3060CD" w14:textId="5C37A76C" w:rsidR="00FB2297" w:rsidRPr="00BC1DA5" w:rsidRDefault="00FB2297" w:rsidP="00FB2297">
      <w:pPr>
        <w:widowControl w:val="0"/>
        <w:numPr>
          <w:ilvl w:val="0"/>
          <w:numId w:val="21"/>
        </w:numPr>
        <w:spacing w:after="120" w:line="276" w:lineRule="auto"/>
        <w:ind w:left="284" w:hanging="284"/>
        <w:outlineLvl w:val="0"/>
        <w:rPr>
          <w:rFonts w:cs="Arial"/>
          <w:szCs w:val="20"/>
        </w:rPr>
      </w:pPr>
      <w:r w:rsidRPr="00BC1DA5">
        <w:rPr>
          <w:rFonts w:cs="Arial"/>
          <w:szCs w:val="20"/>
        </w:rPr>
        <w:t xml:space="preserve">Komunikace mezi Poskytovatelem a </w:t>
      </w:r>
      <w:r w:rsidR="00AD41C2">
        <w:rPr>
          <w:rFonts w:cs="Arial"/>
          <w:szCs w:val="20"/>
        </w:rPr>
        <w:t>Objednatele</w:t>
      </w:r>
      <w:r w:rsidRPr="00BC1DA5">
        <w:rPr>
          <w:rFonts w:cs="Arial"/>
          <w:szCs w:val="20"/>
        </w:rPr>
        <w:t xml:space="preserve"> bude probíhat formou e-mailu či telefonního kontaktu Pověřených osob </w:t>
      </w:r>
      <w:r w:rsidR="00DD6D53">
        <w:rPr>
          <w:rFonts w:cs="Arial"/>
          <w:szCs w:val="20"/>
        </w:rPr>
        <w:t>obou S</w:t>
      </w:r>
      <w:r w:rsidRPr="00BC1DA5">
        <w:rPr>
          <w:rFonts w:cs="Arial"/>
          <w:szCs w:val="20"/>
        </w:rPr>
        <w:t xml:space="preserve">mluvních stran (viz čl. </w:t>
      </w:r>
      <w:r w:rsidR="0084655C">
        <w:rPr>
          <w:rFonts w:cs="Arial"/>
          <w:szCs w:val="20"/>
        </w:rPr>
        <w:t>XII</w:t>
      </w:r>
      <w:r w:rsidRPr="00BC1DA5">
        <w:rPr>
          <w:rFonts w:cs="Arial"/>
          <w:szCs w:val="20"/>
        </w:rPr>
        <w:t xml:space="preserve">I. odst. </w:t>
      </w:r>
      <w:r>
        <w:rPr>
          <w:rFonts w:cs="Arial"/>
          <w:szCs w:val="20"/>
        </w:rPr>
        <w:t xml:space="preserve">5. a </w:t>
      </w:r>
      <w:r w:rsidRPr="00BC1DA5">
        <w:rPr>
          <w:rFonts w:cs="Arial"/>
          <w:szCs w:val="20"/>
        </w:rPr>
        <w:t xml:space="preserve">6.). Komunikace mezi Pověřenými osobami </w:t>
      </w:r>
      <w:r w:rsidR="00DD6D53">
        <w:rPr>
          <w:rFonts w:cs="Arial"/>
          <w:szCs w:val="20"/>
        </w:rPr>
        <w:t>obou S</w:t>
      </w:r>
      <w:r w:rsidRPr="00BC1DA5">
        <w:rPr>
          <w:rFonts w:cs="Arial"/>
          <w:szCs w:val="20"/>
        </w:rPr>
        <w:t>mluvních stran bude probíhat v českém nebo slovenském jazyce.</w:t>
      </w:r>
      <w:r w:rsidRPr="00BC1DA5">
        <w:rPr>
          <w:rFonts w:cs="Arial"/>
          <w:szCs w:val="20"/>
        </w:rPr>
        <w:tab/>
      </w:r>
    </w:p>
    <w:p w14:paraId="10FE5FF5" w14:textId="77777777" w:rsidR="00A5061D" w:rsidRDefault="00A5061D" w:rsidP="00A5061D">
      <w:pPr>
        <w:pStyle w:val="Odstavecseseznamem"/>
        <w:spacing w:after="120" w:line="280" w:lineRule="atLeast"/>
        <w:ind w:left="360"/>
        <w:contextualSpacing w:val="0"/>
        <w:jc w:val="center"/>
        <w:rPr>
          <w:b/>
          <w:szCs w:val="20"/>
        </w:rPr>
      </w:pPr>
    </w:p>
    <w:p w14:paraId="09B3F86C" w14:textId="77777777" w:rsidR="00DD6BDD" w:rsidRPr="007B231E" w:rsidRDefault="002D0DE0" w:rsidP="004C3EDE">
      <w:pPr>
        <w:pStyle w:val="Nadpis1"/>
      </w:pPr>
      <w:r w:rsidRPr="009C49A3">
        <w:t>Článek</w:t>
      </w:r>
      <w:r>
        <w:t xml:space="preserve"> XIII.</w:t>
      </w:r>
      <w:r>
        <w:br/>
      </w:r>
      <w:r w:rsidR="00DD6BDD" w:rsidRPr="007B231E">
        <w:t>Závěrečná ustanovení</w:t>
      </w:r>
    </w:p>
    <w:p w14:paraId="584E0679" w14:textId="77777777" w:rsidR="00014BAA" w:rsidRPr="007B231E" w:rsidRDefault="00014BAA" w:rsidP="003846BC">
      <w:pPr>
        <w:pStyle w:val="Odstavecseseznamem"/>
        <w:numPr>
          <w:ilvl w:val="0"/>
          <w:numId w:val="15"/>
        </w:numPr>
        <w:spacing w:after="120" w:line="280" w:lineRule="atLeast"/>
        <w:contextualSpacing w:val="0"/>
        <w:rPr>
          <w:rFonts w:cs="Arial"/>
          <w:szCs w:val="20"/>
        </w:rPr>
      </w:pPr>
      <w:r w:rsidRPr="007B231E">
        <w:rPr>
          <w:rFonts w:cs="Arial"/>
          <w:szCs w:val="20"/>
        </w:rPr>
        <w:t xml:space="preserve">Tato Smlouva </w:t>
      </w:r>
      <w:r w:rsidR="00011454">
        <w:rPr>
          <w:rFonts w:cs="Arial"/>
          <w:szCs w:val="20"/>
        </w:rPr>
        <w:t>je uzavřena</w:t>
      </w:r>
      <w:r w:rsidRPr="007B231E">
        <w:rPr>
          <w:rFonts w:cs="Arial"/>
          <w:szCs w:val="20"/>
        </w:rPr>
        <w:t xml:space="preserve"> dnem jejího podpisu poslední </w:t>
      </w:r>
      <w:r w:rsidR="005D51C2" w:rsidRPr="007B231E">
        <w:rPr>
          <w:rFonts w:cs="Arial"/>
          <w:szCs w:val="20"/>
        </w:rPr>
        <w:t>S</w:t>
      </w:r>
      <w:r w:rsidR="0044623B" w:rsidRPr="007B231E">
        <w:rPr>
          <w:rFonts w:cs="Arial"/>
          <w:szCs w:val="20"/>
        </w:rPr>
        <w:t xml:space="preserve">mluvní stranou a účinnosti </w:t>
      </w:r>
      <w:r w:rsidR="00011454">
        <w:rPr>
          <w:rFonts w:cs="Arial"/>
          <w:szCs w:val="20"/>
        </w:rPr>
        <w:t xml:space="preserve">nabývá </w:t>
      </w:r>
      <w:r w:rsidR="0044623B" w:rsidRPr="007B231E">
        <w:rPr>
          <w:rFonts w:cs="Arial"/>
          <w:szCs w:val="20"/>
        </w:rPr>
        <w:t xml:space="preserve">dnem jejího uveřejnění prostřednictvím </w:t>
      </w:r>
      <w:r w:rsidR="001932F3" w:rsidRPr="007B231E">
        <w:rPr>
          <w:rFonts w:cs="Arial"/>
          <w:szCs w:val="20"/>
        </w:rPr>
        <w:t>r</w:t>
      </w:r>
      <w:r w:rsidR="0044623B" w:rsidRPr="007B231E">
        <w:rPr>
          <w:rFonts w:cs="Arial"/>
          <w:szCs w:val="20"/>
        </w:rPr>
        <w:t xml:space="preserve">egistru smluv v souladu se zákonem o registru smluv. </w:t>
      </w:r>
    </w:p>
    <w:p w14:paraId="445B357C" w14:textId="77777777" w:rsidR="00861197" w:rsidRPr="007B231E" w:rsidRDefault="00861197" w:rsidP="003846BC">
      <w:pPr>
        <w:pStyle w:val="Odstavecseseznamem"/>
        <w:numPr>
          <w:ilvl w:val="0"/>
          <w:numId w:val="15"/>
        </w:numPr>
        <w:spacing w:after="120" w:line="280" w:lineRule="atLeast"/>
        <w:contextualSpacing w:val="0"/>
        <w:rPr>
          <w:rFonts w:cs="Arial"/>
          <w:szCs w:val="20"/>
        </w:rPr>
      </w:pPr>
      <w:r w:rsidRPr="007B231E">
        <w:rPr>
          <w:rFonts w:cs="Arial"/>
          <w:szCs w:val="20"/>
        </w:rPr>
        <w:t xml:space="preserve">Smluvní strany se dohodly, že případné spory vzniklé v průběhu plnění </w:t>
      </w:r>
      <w:r w:rsidR="001932F3" w:rsidRPr="007B231E">
        <w:rPr>
          <w:rFonts w:cs="Arial"/>
          <w:szCs w:val="20"/>
        </w:rPr>
        <w:t xml:space="preserve">této </w:t>
      </w:r>
      <w:r w:rsidRPr="007B231E">
        <w:rPr>
          <w:rFonts w:cs="Arial"/>
          <w:szCs w:val="20"/>
        </w:rPr>
        <w:t xml:space="preserve">Smlouvy, nedojde-li k dohodě </w:t>
      </w:r>
      <w:r w:rsidR="00F41BF0" w:rsidRPr="007B231E">
        <w:rPr>
          <w:rFonts w:cs="Arial"/>
          <w:szCs w:val="20"/>
        </w:rPr>
        <w:t>S</w:t>
      </w:r>
      <w:r w:rsidRPr="007B231E">
        <w:rPr>
          <w:rFonts w:cs="Arial"/>
          <w:szCs w:val="20"/>
        </w:rPr>
        <w:t xml:space="preserve">mluvních stran smírnou cestou, budou na návrh kterékoliv </w:t>
      </w:r>
      <w:r w:rsidR="005D51C2" w:rsidRPr="007B231E">
        <w:rPr>
          <w:rFonts w:cs="Arial"/>
          <w:szCs w:val="20"/>
        </w:rPr>
        <w:t>S</w:t>
      </w:r>
      <w:r w:rsidRPr="007B231E">
        <w:rPr>
          <w:rFonts w:cs="Arial"/>
          <w:szCs w:val="20"/>
        </w:rPr>
        <w:t>mluvní strany dány k rozhodnutí věcně a místně příslušnému soudu v České republice.</w:t>
      </w:r>
    </w:p>
    <w:p w14:paraId="7A1FB49A" w14:textId="77777777" w:rsidR="00861197" w:rsidRPr="007B231E" w:rsidRDefault="00861197" w:rsidP="003846BC">
      <w:pPr>
        <w:pStyle w:val="Odstavecseseznamem"/>
        <w:numPr>
          <w:ilvl w:val="0"/>
          <w:numId w:val="15"/>
        </w:numPr>
        <w:spacing w:after="120" w:line="280" w:lineRule="atLeast"/>
        <w:contextualSpacing w:val="0"/>
        <w:rPr>
          <w:rFonts w:cs="Arial"/>
          <w:szCs w:val="20"/>
        </w:rPr>
      </w:pPr>
      <w:r w:rsidRPr="007B231E">
        <w:rPr>
          <w:rFonts w:cs="Arial"/>
          <w:szCs w:val="20"/>
        </w:rPr>
        <w:t xml:space="preserve">Každá ze </w:t>
      </w:r>
      <w:r w:rsidR="00F41BF0" w:rsidRPr="007B231E">
        <w:rPr>
          <w:rFonts w:cs="Arial"/>
          <w:szCs w:val="20"/>
        </w:rPr>
        <w:t>S</w:t>
      </w:r>
      <w:r w:rsidRPr="007B231E">
        <w:rPr>
          <w:rFonts w:cs="Arial"/>
          <w:szCs w:val="20"/>
        </w:rPr>
        <w:t xml:space="preserve">mluvních stran může od této Smlouvy odstoupit v případech stanovených touto Smlouvou nebo zákonem, zejména pak dle ust. § 1977 a násl. a ust. § 2001 a násl. občanského zákoníku. Účinky odstoupení od této Smlouvy nastávají dnem doručení oznámení o odstoupení od </w:t>
      </w:r>
      <w:r w:rsidR="00314C4C" w:rsidRPr="007B231E">
        <w:rPr>
          <w:rFonts w:cs="Arial"/>
          <w:szCs w:val="20"/>
        </w:rPr>
        <w:t xml:space="preserve">této </w:t>
      </w:r>
      <w:r w:rsidRPr="007B231E">
        <w:rPr>
          <w:rFonts w:cs="Arial"/>
          <w:szCs w:val="20"/>
        </w:rPr>
        <w:t xml:space="preserve">Smlouvy příslušné </w:t>
      </w:r>
      <w:r w:rsidR="005D51C2" w:rsidRPr="007B231E">
        <w:rPr>
          <w:rFonts w:cs="Arial"/>
          <w:szCs w:val="20"/>
        </w:rPr>
        <w:t>S</w:t>
      </w:r>
      <w:r w:rsidRPr="007B231E">
        <w:rPr>
          <w:rFonts w:cs="Arial"/>
          <w:szCs w:val="20"/>
        </w:rPr>
        <w:t>mluvní straně.</w:t>
      </w:r>
    </w:p>
    <w:p w14:paraId="2D6080FE" w14:textId="77777777" w:rsidR="00861197" w:rsidRPr="007B231E" w:rsidRDefault="00861197" w:rsidP="003846BC">
      <w:pPr>
        <w:pStyle w:val="Odstavecseseznamem"/>
        <w:numPr>
          <w:ilvl w:val="0"/>
          <w:numId w:val="15"/>
        </w:numPr>
        <w:spacing w:after="120" w:line="280" w:lineRule="atLeast"/>
        <w:contextualSpacing w:val="0"/>
        <w:rPr>
          <w:rFonts w:cs="Arial"/>
          <w:szCs w:val="20"/>
        </w:rPr>
      </w:pPr>
      <w:r w:rsidRPr="007B231E">
        <w:rPr>
          <w:rFonts w:cs="Arial"/>
          <w:szCs w:val="20"/>
        </w:rPr>
        <w:t xml:space="preserve">Ostatní práva a povinnosti </w:t>
      </w:r>
      <w:r w:rsidR="001B121A" w:rsidRPr="007B231E">
        <w:rPr>
          <w:rFonts w:cs="Arial"/>
          <w:szCs w:val="20"/>
        </w:rPr>
        <w:t>S</w:t>
      </w:r>
      <w:r w:rsidRPr="007B231E">
        <w:rPr>
          <w:rFonts w:cs="Arial"/>
          <w:szCs w:val="20"/>
        </w:rPr>
        <w:t xml:space="preserve">mluvních stran výslovně neupravené v této Smlouvě, se řídí příslušnými ustanoveními občanského zákoníku a zákona č. 121/2000 Sb., o právu autorském, o právech </w:t>
      </w:r>
      <w:r w:rsidRPr="007B231E">
        <w:rPr>
          <w:rFonts w:cs="Arial"/>
          <w:szCs w:val="20"/>
        </w:rPr>
        <w:lastRenderedPageBreak/>
        <w:t>souvisejících s právem autorským a o změně některých zákonů (autorský zákon), ve znění pozdějších předpisů.</w:t>
      </w:r>
    </w:p>
    <w:p w14:paraId="6A414C4A" w14:textId="5E1EAF6D" w:rsidR="00861197" w:rsidRPr="007B231E" w:rsidRDefault="00861197" w:rsidP="003846BC">
      <w:pPr>
        <w:pStyle w:val="Odstavecseseznamem"/>
        <w:numPr>
          <w:ilvl w:val="0"/>
          <w:numId w:val="15"/>
        </w:numPr>
        <w:spacing w:after="120" w:line="280" w:lineRule="atLeast"/>
        <w:contextualSpacing w:val="0"/>
        <w:rPr>
          <w:rFonts w:cs="Arial"/>
          <w:szCs w:val="20"/>
        </w:rPr>
      </w:pPr>
      <w:r w:rsidRPr="007B231E">
        <w:rPr>
          <w:rFonts w:cs="Arial"/>
          <w:szCs w:val="20"/>
        </w:rPr>
        <w:t xml:space="preserve">Za </w:t>
      </w:r>
      <w:r w:rsidR="00A97F47">
        <w:rPr>
          <w:rFonts w:cs="Arial"/>
          <w:szCs w:val="20"/>
        </w:rPr>
        <w:t>Objednatele</w:t>
      </w:r>
      <w:r w:rsidRPr="007B231E">
        <w:rPr>
          <w:rFonts w:cs="Arial"/>
          <w:szCs w:val="20"/>
        </w:rPr>
        <w:t xml:space="preserve"> je oprávněn k jednání ve věci plnění této Smlouvy (</w:t>
      </w:r>
      <w:r w:rsidR="00E87795" w:rsidRPr="007B231E">
        <w:rPr>
          <w:rFonts w:cs="Arial"/>
          <w:szCs w:val="20"/>
        </w:rPr>
        <w:t>Pověřená osoba</w:t>
      </w:r>
      <w:r w:rsidR="00DD6D53">
        <w:rPr>
          <w:rFonts w:cs="Arial"/>
          <w:szCs w:val="20"/>
        </w:rPr>
        <w:t xml:space="preserve"> Objednatele</w:t>
      </w:r>
      <w:r w:rsidRPr="007B231E">
        <w:rPr>
          <w:rFonts w:cs="Arial"/>
          <w:szCs w:val="20"/>
        </w:rPr>
        <w:t xml:space="preserve">): </w:t>
      </w:r>
    </w:p>
    <w:tbl>
      <w:tblPr>
        <w:tblW w:w="8861" w:type="dxa"/>
        <w:tblInd w:w="425" w:type="dxa"/>
        <w:tblLook w:val="04A0" w:firstRow="1" w:lastRow="0" w:firstColumn="1" w:lastColumn="0" w:noHBand="0" w:noVBand="1"/>
      </w:tblPr>
      <w:tblGrid>
        <w:gridCol w:w="2235"/>
        <w:gridCol w:w="6626"/>
      </w:tblGrid>
      <w:tr w:rsidR="00861197" w:rsidRPr="007B231E" w14:paraId="359D4577" w14:textId="77777777" w:rsidTr="008737EE">
        <w:trPr>
          <w:trHeight w:hRule="exact" w:val="284"/>
        </w:trPr>
        <w:tc>
          <w:tcPr>
            <w:tcW w:w="2235" w:type="dxa"/>
            <w:shd w:val="clear" w:color="auto" w:fill="auto"/>
          </w:tcPr>
          <w:p w14:paraId="66189FAD" w14:textId="77777777" w:rsidR="00861197" w:rsidRPr="007B231E" w:rsidRDefault="00861197" w:rsidP="008737EE">
            <w:pPr>
              <w:spacing w:after="120"/>
              <w:rPr>
                <w:rFonts w:cs="Arial"/>
                <w:szCs w:val="20"/>
              </w:rPr>
            </w:pPr>
            <w:r w:rsidRPr="007B231E">
              <w:rPr>
                <w:rFonts w:cs="Arial"/>
                <w:szCs w:val="20"/>
              </w:rPr>
              <w:t>Jméno a příjmení:</w:t>
            </w:r>
          </w:p>
        </w:tc>
        <w:tc>
          <w:tcPr>
            <w:tcW w:w="6626" w:type="dxa"/>
          </w:tcPr>
          <w:p w14:paraId="59B2A628" w14:textId="5A3CD697" w:rsidR="00861197" w:rsidRPr="007B231E" w:rsidRDefault="00861197" w:rsidP="00A97F47">
            <w:pPr>
              <w:spacing w:after="120"/>
              <w:rPr>
                <w:rFonts w:cs="Arial"/>
                <w:szCs w:val="20"/>
              </w:rPr>
            </w:pPr>
            <w:r w:rsidRPr="007B231E">
              <w:rPr>
                <w:rFonts w:cs="Arial"/>
                <w:i/>
                <w:szCs w:val="20"/>
                <w:highlight w:val="lightGray"/>
              </w:rPr>
              <w:t>[</w:t>
            </w:r>
            <w:r w:rsidR="00A97F47">
              <w:rPr>
                <w:rFonts w:cs="Arial"/>
                <w:i/>
                <w:szCs w:val="20"/>
                <w:highlight w:val="lightGray"/>
              </w:rPr>
              <w:t>objednatel</w:t>
            </w:r>
            <w:r w:rsidRPr="007B231E">
              <w:rPr>
                <w:rFonts w:cs="Arial"/>
                <w:i/>
                <w:szCs w:val="20"/>
                <w:highlight w:val="lightGray"/>
              </w:rPr>
              <w:t>]</w:t>
            </w:r>
          </w:p>
        </w:tc>
      </w:tr>
      <w:tr w:rsidR="00861197" w:rsidRPr="007B231E" w14:paraId="153C379B" w14:textId="77777777" w:rsidTr="008737EE">
        <w:trPr>
          <w:trHeight w:hRule="exact" w:val="284"/>
        </w:trPr>
        <w:tc>
          <w:tcPr>
            <w:tcW w:w="2235" w:type="dxa"/>
            <w:shd w:val="clear" w:color="auto" w:fill="auto"/>
          </w:tcPr>
          <w:p w14:paraId="6D7EC683" w14:textId="77777777" w:rsidR="00861197" w:rsidRPr="007B231E" w:rsidRDefault="00861197" w:rsidP="008737EE">
            <w:pPr>
              <w:spacing w:after="120"/>
              <w:rPr>
                <w:rFonts w:cs="Arial"/>
                <w:szCs w:val="20"/>
              </w:rPr>
            </w:pPr>
            <w:r w:rsidRPr="007B231E">
              <w:rPr>
                <w:rFonts w:cs="Arial"/>
                <w:szCs w:val="20"/>
              </w:rPr>
              <w:t>E-mail:</w:t>
            </w:r>
          </w:p>
        </w:tc>
        <w:tc>
          <w:tcPr>
            <w:tcW w:w="6626" w:type="dxa"/>
          </w:tcPr>
          <w:p w14:paraId="33927917" w14:textId="2CA32B67" w:rsidR="00861197" w:rsidRPr="007B231E" w:rsidRDefault="00861197" w:rsidP="00A97F47">
            <w:pPr>
              <w:spacing w:after="120"/>
              <w:rPr>
                <w:rFonts w:cs="Arial"/>
                <w:szCs w:val="20"/>
              </w:rPr>
            </w:pPr>
            <w:r w:rsidRPr="007B231E">
              <w:rPr>
                <w:rFonts w:cs="Arial"/>
                <w:i/>
                <w:szCs w:val="20"/>
                <w:highlight w:val="lightGray"/>
              </w:rPr>
              <w:t>[</w:t>
            </w:r>
            <w:r w:rsidR="00A97F47">
              <w:rPr>
                <w:rFonts w:cs="Arial"/>
                <w:i/>
                <w:szCs w:val="20"/>
                <w:highlight w:val="lightGray"/>
              </w:rPr>
              <w:t>objednatel</w:t>
            </w:r>
            <w:r w:rsidRPr="007B231E">
              <w:rPr>
                <w:rFonts w:cs="Arial"/>
                <w:i/>
                <w:szCs w:val="20"/>
                <w:highlight w:val="lightGray"/>
              </w:rPr>
              <w:t>]</w:t>
            </w:r>
          </w:p>
        </w:tc>
      </w:tr>
      <w:tr w:rsidR="00861197" w:rsidRPr="007B231E" w14:paraId="4157779F" w14:textId="77777777" w:rsidTr="008737EE">
        <w:trPr>
          <w:trHeight w:hRule="exact" w:val="284"/>
        </w:trPr>
        <w:tc>
          <w:tcPr>
            <w:tcW w:w="2235" w:type="dxa"/>
            <w:shd w:val="clear" w:color="auto" w:fill="auto"/>
          </w:tcPr>
          <w:p w14:paraId="422DFD64" w14:textId="77777777" w:rsidR="00861197" w:rsidRPr="007B231E" w:rsidRDefault="00861197" w:rsidP="008737EE">
            <w:pPr>
              <w:spacing w:after="120"/>
              <w:rPr>
                <w:rFonts w:cs="Arial"/>
                <w:szCs w:val="20"/>
              </w:rPr>
            </w:pPr>
            <w:r w:rsidRPr="007B231E">
              <w:rPr>
                <w:rFonts w:cs="Arial"/>
                <w:szCs w:val="20"/>
              </w:rPr>
              <w:t>Telefon:</w:t>
            </w:r>
          </w:p>
        </w:tc>
        <w:tc>
          <w:tcPr>
            <w:tcW w:w="6626" w:type="dxa"/>
          </w:tcPr>
          <w:p w14:paraId="795EB520" w14:textId="0AC4CE7C" w:rsidR="00861197" w:rsidRPr="007B231E" w:rsidRDefault="00861197" w:rsidP="00A97F47">
            <w:pPr>
              <w:spacing w:after="120"/>
              <w:rPr>
                <w:rFonts w:cs="Arial"/>
                <w:szCs w:val="20"/>
              </w:rPr>
            </w:pPr>
            <w:r w:rsidRPr="007B231E">
              <w:rPr>
                <w:rFonts w:cs="Arial"/>
                <w:i/>
                <w:szCs w:val="20"/>
                <w:highlight w:val="lightGray"/>
              </w:rPr>
              <w:t>[</w:t>
            </w:r>
            <w:r w:rsidR="00A97F47">
              <w:rPr>
                <w:rFonts w:cs="Arial"/>
                <w:i/>
                <w:szCs w:val="20"/>
                <w:highlight w:val="lightGray"/>
              </w:rPr>
              <w:t>objednatel</w:t>
            </w:r>
            <w:r w:rsidRPr="007B231E">
              <w:rPr>
                <w:rFonts w:cs="Arial"/>
                <w:i/>
                <w:szCs w:val="20"/>
                <w:highlight w:val="lightGray"/>
              </w:rPr>
              <w:t>]</w:t>
            </w:r>
          </w:p>
        </w:tc>
      </w:tr>
    </w:tbl>
    <w:p w14:paraId="5394F749" w14:textId="77777777" w:rsidR="00861197" w:rsidRPr="007B231E" w:rsidRDefault="00861197" w:rsidP="00861197">
      <w:pPr>
        <w:spacing w:after="120"/>
        <w:ind w:left="425"/>
        <w:rPr>
          <w:rFonts w:cs="Arial"/>
          <w:szCs w:val="20"/>
        </w:rPr>
      </w:pPr>
      <w:r w:rsidRPr="007B231E">
        <w:rPr>
          <w:rFonts w:cs="Arial"/>
          <w:szCs w:val="20"/>
        </w:rPr>
        <w:t>nebo</w:t>
      </w:r>
    </w:p>
    <w:tbl>
      <w:tblPr>
        <w:tblW w:w="8861" w:type="dxa"/>
        <w:tblInd w:w="425" w:type="dxa"/>
        <w:tblLook w:val="04A0" w:firstRow="1" w:lastRow="0" w:firstColumn="1" w:lastColumn="0" w:noHBand="0" w:noVBand="1"/>
      </w:tblPr>
      <w:tblGrid>
        <w:gridCol w:w="2235"/>
        <w:gridCol w:w="6626"/>
      </w:tblGrid>
      <w:tr w:rsidR="00A97F47" w:rsidRPr="007B231E" w14:paraId="43297E5A" w14:textId="77777777" w:rsidTr="008737EE">
        <w:trPr>
          <w:trHeight w:hRule="exact" w:val="284"/>
        </w:trPr>
        <w:tc>
          <w:tcPr>
            <w:tcW w:w="2235" w:type="dxa"/>
            <w:shd w:val="clear" w:color="auto" w:fill="auto"/>
          </w:tcPr>
          <w:p w14:paraId="14DF9446" w14:textId="77777777" w:rsidR="00A97F47" w:rsidRPr="007B231E" w:rsidRDefault="00A97F47" w:rsidP="00A97F47">
            <w:pPr>
              <w:spacing w:after="120"/>
              <w:rPr>
                <w:rFonts w:cs="Arial"/>
                <w:szCs w:val="20"/>
              </w:rPr>
            </w:pPr>
            <w:r w:rsidRPr="007B231E">
              <w:rPr>
                <w:rFonts w:cs="Arial"/>
                <w:szCs w:val="20"/>
              </w:rPr>
              <w:t>Jméno a příjmení:</w:t>
            </w:r>
          </w:p>
        </w:tc>
        <w:tc>
          <w:tcPr>
            <w:tcW w:w="6626" w:type="dxa"/>
          </w:tcPr>
          <w:p w14:paraId="6047F25B" w14:textId="3B322A23" w:rsidR="00A97F47" w:rsidRPr="007B231E" w:rsidRDefault="00A97F47" w:rsidP="00A97F47">
            <w:pPr>
              <w:spacing w:after="120"/>
              <w:rPr>
                <w:rFonts w:cs="Arial"/>
                <w:szCs w:val="20"/>
              </w:rPr>
            </w:pPr>
            <w:r w:rsidRPr="007B231E">
              <w:rPr>
                <w:rFonts w:cs="Arial"/>
                <w:i/>
                <w:szCs w:val="20"/>
                <w:highlight w:val="lightGray"/>
              </w:rPr>
              <w:t>[</w:t>
            </w:r>
            <w:r>
              <w:rPr>
                <w:rFonts w:cs="Arial"/>
                <w:i/>
                <w:szCs w:val="20"/>
                <w:highlight w:val="lightGray"/>
              </w:rPr>
              <w:t>objednatel</w:t>
            </w:r>
            <w:r w:rsidRPr="007B231E">
              <w:rPr>
                <w:rFonts w:cs="Arial"/>
                <w:i/>
                <w:szCs w:val="20"/>
                <w:highlight w:val="lightGray"/>
              </w:rPr>
              <w:t>]</w:t>
            </w:r>
          </w:p>
        </w:tc>
      </w:tr>
      <w:tr w:rsidR="00A97F47" w:rsidRPr="007B231E" w14:paraId="1E3FFD90" w14:textId="77777777" w:rsidTr="008737EE">
        <w:trPr>
          <w:trHeight w:hRule="exact" w:val="284"/>
        </w:trPr>
        <w:tc>
          <w:tcPr>
            <w:tcW w:w="2235" w:type="dxa"/>
            <w:shd w:val="clear" w:color="auto" w:fill="auto"/>
          </w:tcPr>
          <w:p w14:paraId="29E10EC0" w14:textId="77777777" w:rsidR="00A97F47" w:rsidRPr="007B231E" w:rsidRDefault="00A97F47" w:rsidP="00A97F47">
            <w:pPr>
              <w:spacing w:after="120"/>
              <w:rPr>
                <w:rFonts w:cs="Arial"/>
                <w:szCs w:val="20"/>
              </w:rPr>
            </w:pPr>
            <w:r w:rsidRPr="007B231E">
              <w:rPr>
                <w:rFonts w:cs="Arial"/>
                <w:szCs w:val="20"/>
              </w:rPr>
              <w:t>E-mail:</w:t>
            </w:r>
          </w:p>
        </w:tc>
        <w:tc>
          <w:tcPr>
            <w:tcW w:w="6626" w:type="dxa"/>
          </w:tcPr>
          <w:p w14:paraId="39FF9D3D" w14:textId="0E87584F" w:rsidR="00A97F47" w:rsidRPr="007B231E" w:rsidRDefault="00A97F47" w:rsidP="00A97F47">
            <w:pPr>
              <w:spacing w:after="120"/>
              <w:rPr>
                <w:rFonts w:cs="Arial"/>
                <w:szCs w:val="20"/>
              </w:rPr>
            </w:pPr>
            <w:r w:rsidRPr="007B231E">
              <w:rPr>
                <w:rFonts w:cs="Arial"/>
                <w:i/>
                <w:szCs w:val="20"/>
                <w:highlight w:val="lightGray"/>
              </w:rPr>
              <w:t>[</w:t>
            </w:r>
            <w:r>
              <w:rPr>
                <w:rFonts w:cs="Arial"/>
                <w:i/>
                <w:szCs w:val="20"/>
                <w:highlight w:val="lightGray"/>
              </w:rPr>
              <w:t>objednatel</w:t>
            </w:r>
            <w:r w:rsidRPr="007B231E">
              <w:rPr>
                <w:rFonts w:cs="Arial"/>
                <w:i/>
                <w:szCs w:val="20"/>
                <w:highlight w:val="lightGray"/>
              </w:rPr>
              <w:t>]</w:t>
            </w:r>
          </w:p>
        </w:tc>
      </w:tr>
      <w:tr w:rsidR="00A97F47" w:rsidRPr="007B231E" w14:paraId="1855E50E" w14:textId="77777777" w:rsidTr="008737EE">
        <w:trPr>
          <w:trHeight w:hRule="exact" w:val="284"/>
        </w:trPr>
        <w:tc>
          <w:tcPr>
            <w:tcW w:w="2235" w:type="dxa"/>
            <w:shd w:val="clear" w:color="auto" w:fill="auto"/>
          </w:tcPr>
          <w:p w14:paraId="17EF2CF8" w14:textId="77777777" w:rsidR="00A97F47" w:rsidRPr="007B231E" w:rsidRDefault="00A97F47" w:rsidP="00A97F47">
            <w:pPr>
              <w:spacing w:after="120"/>
              <w:rPr>
                <w:rFonts w:cs="Arial"/>
                <w:szCs w:val="20"/>
              </w:rPr>
            </w:pPr>
            <w:r w:rsidRPr="007B231E">
              <w:rPr>
                <w:rFonts w:cs="Arial"/>
                <w:szCs w:val="20"/>
              </w:rPr>
              <w:t>Telefon:</w:t>
            </w:r>
          </w:p>
        </w:tc>
        <w:tc>
          <w:tcPr>
            <w:tcW w:w="6626" w:type="dxa"/>
          </w:tcPr>
          <w:p w14:paraId="4D9CEDA6" w14:textId="79538F22" w:rsidR="00A97F47" w:rsidRPr="007B231E" w:rsidRDefault="00A97F47" w:rsidP="00A97F47">
            <w:pPr>
              <w:spacing w:after="120"/>
              <w:rPr>
                <w:rFonts w:cs="Arial"/>
                <w:szCs w:val="20"/>
              </w:rPr>
            </w:pPr>
            <w:r w:rsidRPr="007B231E">
              <w:rPr>
                <w:rFonts w:cs="Arial"/>
                <w:i/>
                <w:szCs w:val="20"/>
                <w:highlight w:val="lightGray"/>
              </w:rPr>
              <w:t>[</w:t>
            </w:r>
            <w:r>
              <w:rPr>
                <w:rFonts w:cs="Arial"/>
                <w:i/>
                <w:szCs w:val="20"/>
                <w:highlight w:val="lightGray"/>
              </w:rPr>
              <w:t>objednatel</w:t>
            </w:r>
            <w:r w:rsidRPr="007B231E">
              <w:rPr>
                <w:rFonts w:cs="Arial"/>
                <w:i/>
                <w:szCs w:val="20"/>
                <w:highlight w:val="lightGray"/>
              </w:rPr>
              <w:t>]</w:t>
            </w:r>
          </w:p>
        </w:tc>
      </w:tr>
    </w:tbl>
    <w:p w14:paraId="32410535" w14:textId="77777777" w:rsidR="00861197" w:rsidRPr="007B231E" w:rsidRDefault="00861197" w:rsidP="00861197">
      <w:pPr>
        <w:spacing w:after="120"/>
        <w:ind w:left="425"/>
        <w:rPr>
          <w:rFonts w:cs="Arial"/>
          <w:szCs w:val="20"/>
        </w:rPr>
      </w:pPr>
      <w:r w:rsidRPr="007B231E">
        <w:rPr>
          <w:rFonts w:cs="Arial"/>
          <w:szCs w:val="20"/>
        </w:rPr>
        <w:t>nebo</w:t>
      </w:r>
    </w:p>
    <w:p w14:paraId="037181CC" w14:textId="77777777" w:rsidR="00861197" w:rsidRPr="007B231E" w:rsidRDefault="00861197" w:rsidP="003846BC">
      <w:pPr>
        <w:pStyle w:val="Odstavecseseznamem"/>
        <w:numPr>
          <w:ilvl w:val="0"/>
          <w:numId w:val="15"/>
        </w:numPr>
        <w:spacing w:after="120" w:line="280" w:lineRule="atLeast"/>
        <w:contextualSpacing w:val="0"/>
        <w:rPr>
          <w:rFonts w:cs="Arial"/>
          <w:szCs w:val="20"/>
        </w:rPr>
      </w:pPr>
      <w:r w:rsidRPr="007B231E">
        <w:rPr>
          <w:rFonts w:cs="Arial"/>
          <w:szCs w:val="20"/>
        </w:rPr>
        <w:t>Za Poskytovatele je oprávněn k jednání ve věci plnění této Smlouvy (</w:t>
      </w:r>
      <w:r w:rsidR="00E87795" w:rsidRPr="007B231E">
        <w:rPr>
          <w:rFonts w:cs="Arial"/>
          <w:szCs w:val="20"/>
        </w:rPr>
        <w:t>Pověřená osoba</w:t>
      </w:r>
      <w:r w:rsidR="00DD6D53">
        <w:rPr>
          <w:rFonts w:cs="Arial"/>
          <w:szCs w:val="20"/>
        </w:rPr>
        <w:t xml:space="preserve"> Poskytovatele</w:t>
      </w:r>
      <w:r w:rsidRPr="007B231E">
        <w:rPr>
          <w:rFonts w:cs="Arial"/>
          <w:szCs w:val="20"/>
        </w:rPr>
        <w:t xml:space="preserve">): </w:t>
      </w:r>
    </w:p>
    <w:tbl>
      <w:tblPr>
        <w:tblW w:w="0" w:type="auto"/>
        <w:tblInd w:w="425" w:type="dxa"/>
        <w:tblLook w:val="04A0" w:firstRow="1" w:lastRow="0" w:firstColumn="1" w:lastColumn="0" w:noHBand="0" w:noVBand="1"/>
      </w:tblPr>
      <w:tblGrid>
        <w:gridCol w:w="2194"/>
        <w:gridCol w:w="6453"/>
      </w:tblGrid>
      <w:tr w:rsidR="00861197" w:rsidRPr="007B231E" w14:paraId="6B7E10E5" w14:textId="77777777" w:rsidTr="008737EE">
        <w:trPr>
          <w:trHeight w:hRule="exact" w:val="284"/>
        </w:trPr>
        <w:tc>
          <w:tcPr>
            <w:tcW w:w="2235" w:type="dxa"/>
            <w:shd w:val="clear" w:color="auto" w:fill="auto"/>
          </w:tcPr>
          <w:p w14:paraId="348D23C9" w14:textId="77777777" w:rsidR="00861197" w:rsidRPr="007B231E" w:rsidRDefault="00861197" w:rsidP="008737EE">
            <w:pPr>
              <w:spacing w:after="120"/>
              <w:rPr>
                <w:rFonts w:cs="Arial"/>
                <w:szCs w:val="20"/>
              </w:rPr>
            </w:pPr>
            <w:r w:rsidRPr="007B231E">
              <w:rPr>
                <w:rFonts w:cs="Arial"/>
                <w:szCs w:val="20"/>
              </w:rPr>
              <w:t>Jméno a příjmení:</w:t>
            </w:r>
          </w:p>
        </w:tc>
        <w:tc>
          <w:tcPr>
            <w:tcW w:w="6628" w:type="dxa"/>
            <w:shd w:val="clear" w:color="auto" w:fill="auto"/>
          </w:tcPr>
          <w:p w14:paraId="25A2A419" w14:textId="77777777" w:rsidR="00861197" w:rsidRPr="007B231E" w:rsidRDefault="00037B09" w:rsidP="008737EE">
            <w:pPr>
              <w:spacing w:after="120"/>
              <w:rPr>
                <w:rFonts w:cs="Arial"/>
                <w:szCs w:val="20"/>
              </w:rPr>
            </w:pPr>
            <w:r w:rsidRPr="007B231E">
              <w:rPr>
                <w:rFonts w:cs="Arial"/>
                <w:szCs w:val="20"/>
                <w:highlight w:val="yellow"/>
              </w:rPr>
              <w:t>[DOPLNÍ Poskytovatel]</w:t>
            </w:r>
          </w:p>
        </w:tc>
      </w:tr>
      <w:tr w:rsidR="00861197" w:rsidRPr="007B231E" w14:paraId="47C35060" w14:textId="77777777" w:rsidTr="008737EE">
        <w:trPr>
          <w:trHeight w:hRule="exact" w:val="284"/>
        </w:trPr>
        <w:tc>
          <w:tcPr>
            <w:tcW w:w="2235" w:type="dxa"/>
            <w:shd w:val="clear" w:color="auto" w:fill="auto"/>
          </w:tcPr>
          <w:p w14:paraId="5E5B1BC6" w14:textId="77777777" w:rsidR="00861197" w:rsidRPr="007B231E" w:rsidRDefault="00861197" w:rsidP="008737EE">
            <w:pPr>
              <w:spacing w:after="120"/>
              <w:rPr>
                <w:rFonts w:cs="Arial"/>
                <w:szCs w:val="20"/>
              </w:rPr>
            </w:pPr>
            <w:r w:rsidRPr="007B231E">
              <w:rPr>
                <w:rFonts w:cs="Arial"/>
                <w:szCs w:val="20"/>
              </w:rPr>
              <w:t>Funkce:</w:t>
            </w:r>
          </w:p>
        </w:tc>
        <w:tc>
          <w:tcPr>
            <w:tcW w:w="6628" w:type="dxa"/>
            <w:shd w:val="clear" w:color="auto" w:fill="auto"/>
          </w:tcPr>
          <w:p w14:paraId="68455B10" w14:textId="77777777" w:rsidR="00861197" w:rsidRPr="007B231E" w:rsidRDefault="00037B09" w:rsidP="008737EE">
            <w:pPr>
              <w:spacing w:after="120"/>
              <w:rPr>
                <w:rFonts w:cs="Arial"/>
                <w:szCs w:val="20"/>
              </w:rPr>
            </w:pPr>
            <w:r w:rsidRPr="007B231E">
              <w:rPr>
                <w:rFonts w:cs="Arial"/>
                <w:szCs w:val="20"/>
                <w:highlight w:val="yellow"/>
              </w:rPr>
              <w:t>[DOPLNÍ Poskytovatel]</w:t>
            </w:r>
          </w:p>
        </w:tc>
      </w:tr>
      <w:tr w:rsidR="00861197" w:rsidRPr="007B231E" w14:paraId="45F07187" w14:textId="77777777" w:rsidTr="008737EE">
        <w:trPr>
          <w:trHeight w:hRule="exact" w:val="284"/>
        </w:trPr>
        <w:tc>
          <w:tcPr>
            <w:tcW w:w="2235" w:type="dxa"/>
            <w:shd w:val="clear" w:color="auto" w:fill="auto"/>
          </w:tcPr>
          <w:p w14:paraId="2AEF4B5E" w14:textId="77777777" w:rsidR="00861197" w:rsidRPr="007B231E" w:rsidRDefault="00861197" w:rsidP="008737EE">
            <w:pPr>
              <w:spacing w:after="120"/>
              <w:rPr>
                <w:rFonts w:cs="Arial"/>
                <w:szCs w:val="20"/>
              </w:rPr>
            </w:pPr>
            <w:r w:rsidRPr="007B231E">
              <w:rPr>
                <w:rFonts w:cs="Arial"/>
                <w:szCs w:val="20"/>
              </w:rPr>
              <w:t>E-mail:</w:t>
            </w:r>
          </w:p>
        </w:tc>
        <w:tc>
          <w:tcPr>
            <w:tcW w:w="6628" w:type="dxa"/>
            <w:shd w:val="clear" w:color="auto" w:fill="auto"/>
          </w:tcPr>
          <w:p w14:paraId="392B1C7B" w14:textId="77777777" w:rsidR="00861197" w:rsidRPr="007B231E" w:rsidRDefault="00037B09" w:rsidP="008737EE">
            <w:pPr>
              <w:spacing w:after="120"/>
              <w:rPr>
                <w:rFonts w:cs="Arial"/>
                <w:szCs w:val="20"/>
              </w:rPr>
            </w:pPr>
            <w:r w:rsidRPr="007B231E">
              <w:rPr>
                <w:rFonts w:cs="Arial"/>
                <w:szCs w:val="20"/>
                <w:highlight w:val="yellow"/>
              </w:rPr>
              <w:t>[DOPLNÍ Poskytovatel]</w:t>
            </w:r>
          </w:p>
        </w:tc>
      </w:tr>
      <w:tr w:rsidR="00861197" w:rsidRPr="007B231E" w14:paraId="5D6DAA1B" w14:textId="77777777" w:rsidTr="008737EE">
        <w:trPr>
          <w:trHeight w:hRule="exact" w:val="284"/>
        </w:trPr>
        <w:tc>
          <w:tcPr>
            <w:tcW w:w="2235" w:type="dxa"/>
            <w:shd w:val="clear" w:color="auto" w:fill="auto"/>
          </w:tcPr>
          <w:p w14:paraId="34400F87" w14:textId="77777777" w:rsidR="00861197" w:rsidRPr="007B231E" w:rsidRDefault="00861197" w:rsidP="008737EE">
            <w:pPr>
              <w:spacing w:after="120"/>
              <w:rPr>
                <w:rFonts w:cs="Arial"/>
                <w:szCs w:val="20"/>
              </w:rPr>
            </w:pPr>
            <w:r w:rsidRPr="007B231E">
              <w:rPr>
                <w:rFonts w:cs="Arial"/>
                <w:szCs w:val="20"/>
              </w:rPr>
              <w:t>Mobilní telefon:</w:t>
            </w:r>
          </w:p>
        </w:tc>
        <w:tc>
          <w:tcPr>
            <w:tcW w:w="6628" w:type="dxa"/>
            <w:shd w:val="clear" w:color="auto" w:fill="auto"/>
          </w:tcPr>
          <w:p w14:paraId="18A06C76" w14:textId="77777777" w:rsidR="00861197" w:rsidRPr="007B231E" w:rsidRDefault="00037B09" w:rsidP="008737EE">
            <w:pPr>
              <w:spacing w:after="120"/>
              <w:rPr>
                <w:rFonts w:cs="Arial"/>
                <w:szCs w:val="20"/>
              </w:rPr>
            </w:pPr>
            <w:r w:rsidRPr="007B231E">
              <w:rPr>
                <w:rFonts w:cs="Arial"/>
                <w:szCs w:val="20"/>
                <w:highlight w:val="yellow"/>
              </w:rPr>
              <w:t>[DOPLNÍ Poskytovatel]</w:t>
            </w:r>
          </w:p>
        </w:tc>
      </w:tr>
    </w:tbl>
    <w:p w14:paraId="5323B356" w14:textId="77777777" w:rsidR="00861197" w:rsidRPr="007B231E" w:rsidRDefault="00861197" w:rsidP="00861197">
      <w:pPr>
        <w:spacing w:after="120"/>
        <w:ind w:left="426"/>
        <w:rPr>
          <w:rFonts w:cs="Arial"/>
          <w:szCs w:val="20"/>
        </w:rPr>
      </w:pPr>
      <w:r w:rsidRPr="007B231E">
        <w:rPr>
          <w:rFonts w:cs="Arial"/>
          <w:i/>
          <w:szCs w:val="20"/>
          <w:highlight w:val="lightGray"/>
        </w:rPr>
        <w:t>[Pozn. obě smluvní strany mohou uvést i více osob</w:t>
      </w:r>
      <w:r w:rsidR="00DD6D53">
        <w:rPr>
          <w:rFonts w:cs="Arial"/>
          <w:i/>
          <w:szCs w:val="20"/>
          <w:highlight w:val="lightGray"/>
        </w:rPr>
        <w:t xml:space="preserve">. </w:t>
      </w:r>
      <w:r w:rsidR="00DD6D53" w:rsidRPr="00BC7F94">
        <w:rPr>
          <w:rFonts w:cs="Arial"/>
          <w:i/>
          <w:szCs w:val="20"/>
          <w:highlight w:val="lightGray"/>
        </w:rPr>
        <w:t xml:space="preserve">Pokud </w:t>
      </w:r>
      <w:r w:rsidR="00DD6D53">
        <w:rPr>
          <w:rFonts w:cs="Arial"/>
          <w:i/>
          <w:szCs w:val="20"/>
          <w:highlight w:val="lightGray"/>
        </w:rPr>
        <w:t>Poskytovatel</w:t>
      </w:r>
      <w:r w:rsidR="00DD6D53" w:rsidRPr="00BC7F94">
        <w:rPr>
          <w:rFonts w:cs="Arial"/>
          <w:i/>
          <w:szCs w:val="20"/>
          <w:highlight w:val="lightGray"/>
        </w:rPr>
        <w:t xml:space="preserve"> uvede více osob, které musí jednat společně, doplní do textu tuto skutečnost</w:t>
      </w:r>
      <w:r w:rsidRPr="007B231E">
        <w:rPr>
          <w:rFonts w:cs="Arial"/>
          <w:i/>
          <w:szCs w:val="20"/>
          <w:highlight w:val="lightGray"/>
        </w:rPr>
        <w:t>]</w:t>
      </w:r>
    </w:p>
    <w:p w14:paraId="1BA3C8CE" w14:textId="15A713A6" w:rsidR="00861197" w:rsidRPr="002D0DE0" w:rsidRDefault="00861197" w:rsidP="00861197">
      <w:pPr>
        <w:pStyle w:val="Odstavecseseznamem"/>
        <w:numPr>
          <w:ilvl w:val="0"/>
          <w:numId w:val="15"/>
        </w:numPr>
        <w:spacing w:after="120" w:line="280" w:lineRule="atLeast"/>
        <w:contextualSpacing w:val="0"/>
        <w:rPr>
          <w:rFonts w:cs="Arial"/>
          <w:szCs w:val="20"/>
        </w:rPr>
      </w:pPr>
      <w:r w:rsidRPr="002D0DE0">
        <w:rPr>
          <w:rFonts w:cs="Arial"/>
          <w:szCs w:val="20"/>
        </w:rPr>
        <w:t>Tuto Smlouvu</w:t>
      </w:r>
      <w:r w:rsidRPr="002D0DE0">
        <w:rPr>
          <w:rFonts w:cs="Arial"/>
          <w:color w:val="000000"/>
          <w:szCs w:val="20"/>
        </w:rPr>
        <w:t xml:space="preserve"> je možné měnit pouze formou písemného smluvního dodatku. Výjimku tvoří změny údajů uvedených v odstavci </w:t>
      </w:r>
      <w:r w:rsidR="001125E0" w:rsidRPr="002D0DE0">
        <w:rPr>
          <w:rFonts w:cs="Arial"/>
          <w:color w:val="000000"/>
          <w:szCs w:val="20"/>
        </w:rPr>
        <w:t>5</w:t>
      </w:r>
      <w:r w:rsidRPr="002D0DE0">
        <w:rPr>
          <w:rFonts w:cs="Arial"/>
          <w:color w:val="000000"/>
          <w:szCs w:val="20"/>
        </w:rPr>
        <w:t xml:space="preserve">. a </w:t>
      </w:r>
      <w:r w:rsidR="001125E0" w:rsidRPr="002D0DE0">
        <w:rPr>
          <w:rFonts w:cs="Arial"/>
          <w:color w:val="000000"/>
          <w:szCs w:val="20"/>
        </w:rPr>
        <w:t>6</w:t>
      </w:r>
      <w:r w:rsidRPr="002D0DE0">
        <w:rPr>
          <w:rFonts w:cs="Arial"/>
          <w:color w:val="000000"/>
          <w:szCs w:val="20"/>
        </w:rPr>
        <w:t xml:space="preserve">. tohoto článku, kdy postačí </w:t>
      </w:r>
      <w:r w:rsidRPr="002D0DE0">
        <w:rPr>
          <w:rFonts w:cs="Arial"/>
          <w:szCs w:val="20"/>
        </w:rPr>
        <w:t>prokazatelné</w:t>
      </w:r>
      <w:r w:rsidRPr="002D0DE0">
        <w:rPr>
          <w:rFonts w:cs="Arial"/>
          <w:color w:val="000000"/>
          <w:szCs w:val="20"/>
        </w:rPr>
        <w:t xml:space="preserve"> </w:t>
      </w:r>
      <w:r w:rsidRPr="002D0DE0">
        <w:rPr>
          <w:rFonts w:cs="Arial"/>
          <w:szCs w:val="20"/>
        </w:rPr>
        <w:t>písemné</w:t>
      </w:r>
      <w:r w:rsidRPr="002D0DE0">
        <w:rPr>
          <w:rFonts w:cs="Arial"/>
          <w:color w:val="000000"/>
          <w:szCs w:val="20"/>
        </w:rPr>
        <w:t xml:space="preserve"> oznámení příslušné změny druhé </w:t>
      </w:r>
      <w:r w:rsidR="005D51C2" w:rsidRPr="002D0DE0">
        <w:rPr>
          <w:rFonts w:cs="Arial"/>
          <w:color w:val="000000"/>
          <w:szCs w:val="20"/>
        </w:rPr>
        <w:t>S</w:t>
      </w:r>
      <w:r w:rsidRPr="002D0DE0">
        <w:rPr>
          <w:rFonts w:cs="Arial"/>
          <w:color w:val="000000"/>
          <w:szCs w:val="20"/>
        </w:rPr>
        <w:t>mluvní straně</w:t>
      </w:r>
      <w:r w:rsidR="00A97F47">
        <w:rPr>
          <w:rFonts w:cs="Arial"/>
          <w:color w:val="000000"/>
          <w:szCs w:val="20"/>
        </w:rPr>
        <w:t xml:space="preserve"> a případné změny údajů záhlaví, jako je číslo účtu, banka, zastupující osoba, kde rovněž stačí prokazatelné oznámení mezi pověřenými osobami</w:t>
      </w:r>
      <w:r w:rsidRPr="002D0DE0">
        <w:rPr>
          <w:rFonts w:cs="Arial"/>
          <w:color w:val="000000"/>
          <w:szCs w:val="20"/>
        </w:rPr>
        <w:t>. Dodatky této Smlouvy se stávají její nedílnou součástí.</w:t>
      </w:r>
    </w:p>
    <w:p w14:paraId="755B4326" w14:textId="77777777" w:rsidR="00861197" w:rsidRPr="007B231E" w:rsidRDefault="00861197" w:rsidP="003846BC">
      <w:pPr>
        <w:pStyle w:val="Odstavecseseznamem"/>
        <w:numPr>
          <w:ilvl w:val="0"/>
          <w:numId w:val="15"/>
        </w:numPr>
        <w:spacing w:after="120" w:line="280" w:lineRule="atLeast"/>
        <w:contextualSpacing w:val="0"/>
        <w:rPr>
          <w:rFonts w:cs="Arial"/>
          <w:color w:val="000000"/>
          <w:szCs w:val="20"/>
        </w:rPr>
      </w:pPr>
      <w:r w:rsidRPr="007B231E">
        <w:rPr>
          <w:rFonts w:cs="Arial"/>
          <w:color w:val="000000"/>
          <w:szCs w:val="20"/>
        </w:rPr>
        <w:t xml:space="preserve">Změnu </w:t>
      </w:r>
      <w:r w:rsidR="005D51C2" w:rsidRPr="00CE5412">
        <w:rPr>
          <w:rFonts w:cs="Arial"/>
          <w:szCs w:val="20"/>
        </w:rPr>
        <w:t>Pověřených</w:t>
      </w:r>
      <w:r w:rsidR="005D51C2" w:rsidRPr="007B231E">
        <w:rPr>
          <w:rFonts w:cs="Arial"/>
          <w:color w:val="000000"/>
          <w:szCs w:val="20"/>
        </w:rPr>
        <w:t xml:space="preserve"> osob</w:t>
      </w:r>
      <w:r w:rsidRPr="007B231E">
        <w:rPr>
          <w:rFonts w:cs="Arial"/>
          <w:color w:val="000000"/>
          <w:szCs w:val="20"/>
        </w:rPr>
        <w:t xml:space="preserve"> nebo jejich kontaktních údajů je každá </w:t>
      </w:r>
      <w:r w:rsidR="005D51C2" w:rsidRPr="007B231E">
        <w:rPr>
          <w:rFonts w:cs="Arial"/>
          <w:color w:val="000000"/>
          <w:szCs w:val="20"/>
        </w:rPr>
        <w:t>S</w:t>
      </w:r>
      <w:r w:rsidRPr="007B231E">
        <w:rPr>
          <w:rFonts w:cs="Arial"/>
          <w:color w:val="000000"/>
          <w:szCs w:val="20"/>
        </w:rPr>
        <w:t xml:space="preserve">mluvní strana povinna bez zbytečného odkladu písemně oznámit druhé </w:t>
      </w:r>
      <w:r w:rsidR="005D51C2" w:rsidRPr="007B231E">
        <w:rPr>
          <w:rFonts w:cs="Arial"/>
          <w:color w:val="000000"/>
          <w:szCs w:val="20"/>
        </w:rPr>
        <w:t>S</w:t>
      </w:r>
      <w:r w:rsidRPr="007B231E">
        <w:rPr>
          <w:rFonts w:cs="Arial"/>
          <w:color w:val="000000"/>
          <w:szCs w:val="20"/>
        </w:rPr>
        <w:t>mluvní straně, a to:</w:t>
      </w:r>
    </w:p>
    <w:p w14:paraId="492C1179" w14:textId="77777777" w:rsidR="00861197" w:rsidRPr="007B231E" w:rsidRDefault="00861197" w:rsidP="003846BC">
      <w:pPr>
        <w:pStyle w:val="Odstavecseseznamem"/>
        <w:numPr>
          <w:ilvl w:val="0"/>
          <w:numId w:val="3"/>
        </w:numPr>
        <w:spacing w:line="280" w:lineRule="atLeast"/>
        <w:ind w:left="709" w:hanging="283"/>
        <w:rPr>
          <w:rFonts w:cs="Arial"/>
          <w:color w:val="000000"/>
          <w:szCs w:val="20"/>
        </w:rPr>
      </w:pPr>
      <w:r w:rsidRPr="007B231E">
        <w:rPr>
          <w:rFonts w:cs="Arial"/>
          <w:color w:val="000000"/>
          <w:szCs w:val="20"/>
        </w:rPr>
        <w:t xml:space="preserve">e-mailem zaslaným </w:t>
      </w:r>
      <w:r w:rsidR="005D51C2" w:rsidRPr="007B231E">
        <w:rPr>
          <w:rFonts w:cs="Arial"/>
          <w:color w:val="000000"/>
          <w:szCs w:val="20"/>
        </w:rPr>
        <w:t>Pověřenou</w:t>
      </w:r>
      <w:r w:rsidR="00336482" w:rsidRPr="007B231E">
        <w:rPr>
          <w:rFonts w:cs="Arial"/>
          <w:color w:val="000000"/>
          <w:szCs w:val="20"/>
        </w:rPr>
        <w:t xml:space="preserve"> </w:t>
      </w:r>
      <w:r w:rsidR="005D51C2" w:rsidRPr="007B231E">
        <w:rPr>
          <w:rFonts w:cs="Arial"/>
          <w:color w:val="000000"/>
          <w:szCs w:val="20"/>
        </w:rPr>
        <w:t>osobou</w:t>
      </w:r>
      <w:r w:rsidRPr="007B231E">
        <w:rPr>
          <w:rFonts w:cs="Arial"/>
          <w:color w:val="000000"/>
          <w:szCs w:val="20"/>
        </w:rPr>
        <w:t xml:space="preserve"> jedné </w:t>
      </w:r>
      <w:r w:rsidR="005D51C2" w:rsidRPr="007B231E">
        <w:rPr>
          <w:rFonts w:cs="Arial"/>
          <w:color w:val="000000"/>
          <w:szCs w:val="20"/>
        </w:rPr>
        <w:t>S</w:t>
      </w:r>
      <w:r w:rsidRPr="007B231E">
        <w:rPr>
          <w:rFonts w:cs="Arial"/>
          <w:color w:val="000000"/>
          <w:szCs w:val="20"/>
        </w:rPr>
        <w:t xml:space="preserve">mluvní strany </w:t>
      </w:r>
      <w:r w:rsidR="005D51C2" w:rsidRPr="007B231E">
        <w:rPr>
          <w:rFonts w:cs="Arial"/>
          <w:color w:val="000000"/>
          <w:szCs w:val="20"/>
        </w:rPr>
        <w:t>Pověřené osobě</w:t>
      </w:r>
      <w:r w:rsidRPr="007B231E">
        <w:rPr>
          <w:rFonts w:cs="Arial"/>
          <w:color w:val="000000"/>
          <w:szCs w:val="20"/>
        </w:rPr>
        <w:t xml:space="preserve"> druhé </w:t>
      </w:r>
      <w:r w:rsidR="005D51C2" w:rsidRPr="007B231E">
        <w:rPr>
          <w:rFonts w:cs="Arial"/>
          <w:color w:val="000000"/>
          <w:szCs w:val="20"/>
        </w:rPr>
        <w:t>S</w:t>
      </w:r>
      <w:r w:rsidRPr="007B231E">
        <w:rPr>
          <w:rFonts w:cs="Arial"/>
          <w:color w:val="000000"/>
          <w:szCs w:val="20"/>
        </w:rPr>
        <w:t>mluvní strany, ve kterém bude změna oznámena;</w:t>
      </w:r>
    </w:p>
    <w:p w14:paraId="3AA734C9" w14:textId="77777777" w:rsidR="00861197" w:rsidRPr="007B231E" w:rsidRDefault="00861197" w:rsidP="00CE5412">
      <w:pPr>
        <w:pStyle w:val="Odstavecseseznamem"/>
        <w:spacing w:line="280" w:lineRule="atLeast"/>
        <w:ind w:left="709" w:hanging="283"/>
        <w:rPr>
          <w:rFonts w:cs="Arial"/>
          <w:color w:val="000000"/>
          <w:szCs w:val="20"/>
        </w:rPr>
      </w:pPr>
      <w:r w:rsidRPr="007B231E">
        <w:rPr>
          <w:rFonts w:cs="Arial"/>
          <w:color w:val="000000"/>
          <w:szCs w:val="20"/>
        </w:rPr>
        <w:tab/>
        <w:t>nebo</w:t>
      </w:r>
    </w:p>
    <w:p w14:paraId="3BA0D717" w14:textId="77777777" w:rsidR="00861197" w:rsidRPr="007B231E" w:rsidRDefault="00861197" w:rsidP="003846BC">
      <w:pPr>
        <w:pStyle w:val="Odstavecseseznamem"/>
        <w:numPr>
          <w:ilvl w:val="0"/>
          <w:numId w:val="3"/>
        </w:numPr>
        <w:spacing w:after="120" w:line="280" w:lineRule="atLeast"/>
        <w:ind w:left="709" w:hanging="284"/>
        <w:contextualSpacing w:val="0"/>
        <w:rPr>
          <w:rFonts w:cs="Arial"/>
          <w:color w:val="000000"/>
          <w:szCs w:val="20"/>
        </w:rPr>
      </w:pPr>
      <w:r w:rsidRPr="007B231E">
        <w:rPr>
          <w:rFonts w:cs="Arial"/>
          <w:color w:val="000000"/>
          <w:szCs w:val="20"/>
        </w:rPr>
        <w:t xml:space="preserve">oznámením zaslaným druhé </w:t>
      </w:r>
      <w:r w:rsidR="005D51C2" w:rsidRPr="007B231E">
        <w:rPr>
          <w:rFonts w:cs="Arial"/>
          <w:color w:val="000000"/>
          <w:szCs w:val="20"/>
        </w:rPr>
        <w:t>S</w:t>
      </w:r>
      <w:r w:rsidRPr="007B231E">
        <w:rPr>
          <w:rFonts w:cs="Arial"/>
          <w:color w:val="000000"/>
          <w:szCs w:val="20"/>
        </w:rPr>
        <w:t xml:space="preserve">mluvní straně do její datové schránky. </w:t>
      </w:r>
    </w:p>
    <w:p w14:paraId="24685F8E" w14:textId="1085BBFE" w:rsidR="00861197" w:rsidRPr="007B231E" w:rsidRDefault="00861197" w:rsidP="003846BC">
      <w:pPr>
        <w:pStyle w:val="Odstavecseseznamem"/>
        <w:numPr>
          <w:ilvl w:val="0"/>
          <w:numId w:val="15"/>
        </w:numPr>
        <w:spacing w:after="120" w:line="280" w:lineRule="atLeast"/>
        <w:ind w:left="357" w:hanging="357"/>
        <w:contextualSpacing w:val="0"/>
        <w:rPr>
          <w:rFonts w:cs="Arial"/>
          <w:szCs w:val="20"/>
        </w:rPr>
      </w:pPr>
      <w:r w:rsidRPr="007B231E">
        <w:rPr>
          <w:rFonts w:cs="Arial"/>
          <w:szCs w:val="20"/>
        </w:rPr>
        <w:t xml:space="preserve">Tato Smlouva </w:t>
      </w:r>
      <w:r w:rsidR="00D44971" w:rsidRPr="007B231E">
        <w:rPr>
          <w:rFonts w:cs="Arial"/>
          <w:szCs w:val="20"/>
        </w:rPr>
        <w:t>se uzavírá písemně v elektronické podobě. Smlouva je podepsána elektronickým podpisem</w:t>
      </w:r>
      <w:r w:rsidR="00A97F47">
        <w:rPr>
          <w:rFonts w:cs="Arial"/>
          <w:szCs w:val="20"/>
        </w:rPr>
        <w:t xml:space="preserve"> za obě smluvní strany</w:t>
      </w:r>
      <w:r w:rsidR="00D44971" w:rsidRPr="007B231E">
        <w:rPr>
          <w:rFonts w:cs="Arial"/>
          <w:szCs w:val="20"/>
        </w:rPr>
        <w:t>.</w:t>
      </w:r>
    </w:p>
    <w:p w14:paraId="53268807" w14:textId="77777777" w:rsidR="00663A40" w:rsidRPr="007B231E" w:rsidRDefault="00861197" w:rsidP="003846BC">
      <w:pPr>
        <w:pStyle w:val="Odstavecseseznamem"/>
        <w:numPr>
          <w:ilvl w:val="0"/>
          <w:numId w:val="15"/>
        </w:numPr>
        <w:spacing w:after="120" w:line="280" w:lineRule="atLeast"/>
        <w:contextualSpacing w:val="0"/>
        <w:rPr>
          <w:rFonts w:cs="Arial"/>
          <w:szCs w:val="20"/>
        </w:rPr>
      </w:pPr>
      <w:r w:rsidRPr="007B231E">
        <w:rPr>
          <w:rFonts w:cs="Arial"/>
          <w:szCs w:val="20"/>
        </w:rPr>
        <w:t>Nedílnou součástí této Smlouvy jsou její Přílohy:</w:t>
      </w:r>
    </w:p>
    <w:p w14:paraId="5EE3D56C" w14:textId="4FF2B6AB" w:rsidR="00A97F47" w:rsidRDefault="00A97F47" w:rsidP="00FF5B52">
      <w:pPr>
        <w:pStyle w:val="Odstavecseseznamem"/>
        <w:numPr>
          <w:ilvl w:val="1"/>
          <w:numId w:val="26"/>
        </w:numPr>
        <w:spacing w:line="360" w:lineRule="auto"/>
        <w:rPr>
          <w:rFonts w:cs="Arial"/>
          <w:i/>
          <w:color w:val="000000"/>
          <w:kern w:val="3"/>
          <w:szCs w:val="20"/>
        </w:rPr>
      </w:pPr>
      <w:r w:rsidRPr="00FF5B52">
        <w:rPr>
          <w:rFonts w:cs="Arial"/>
          <w:i/>
          <w:color w:val="000000"/>
          <w:kern w:val="3"/>
          <w:szCs w:val="20"/>
        </w:rPr>
        <w:t xml:space="preserve">Příloha č. </w:t>
      </w:r>
      <w:r w:rsidR="00FF5B52">
        <w:rPr>
          <w:rFonts w:cs="Arial"/>
          <w:i/>
          <w:color w:val="000000"/>
          <w:kern w:val="3"/>
          <w:szCs w:val="20"/>
        </w:rPr>
        <w:t>1</w:t>
      </w:r>
      <w:r w:rsidRPr="00FF5B52">
        <w:rPr>
          <w:rFonts w:cs="Arial"/>
          <w:i/>
          <w:color w:val="000000"/>
          <w:kern w:val="3"/>
          <w:szCs w:val="20"/>
        </w:rPr>
        <w:t xml:space="preserve"> – Technická specifikace</w:t>
      </w:r>
    </w:p>
    <w:p w14:paraId="29BCA46B" w14:textId="77777777" w:rsidR="003B6C65" w:rsidRPr="003B6C65" w:rsidRDefault="003B6C65" w:rsidP="003B6C65">
      <w:pPr>
        <w:pStyle w:val="Odstavecseseznamem"/>
        <w:numPr>
          <w:ilvl w:val="1"/>
          <w:numId w:val="26"/>
        </w:numPr>
        <w:spacing w:line="360" w:lineRule="auto"/>
        <w:rPr>
          <w:rFonts w:cs="Arial"/>
          <w:i/>
          <w:color w:val="000000"/>
          <w:kern w:val="3"/>
          <w:szCs w:val="20"/>
        </w:rPr>
      </w:pPr>
      <w:r w:rsidRPr="003B6C65">
        <w:rPr>
          <w:rFonts w:cs="Arial"/>
          <w:i/>
          <w:color w:val="000000"/>
          <w:kern w:val="3"/>
          <w:szCs w:val="20"/>
        </w:rPr>
        <w:t>Příloha č. 2 – Celková kalkulace</w:t>
      </w:r>
    </w:p>
    <w:p w14:paraId="20103B38" w14:textId="77777777" w:rsidR="003B6C65" w:rsidRPr="00FF5B52" w:rsidRDefault="003B6C65" w:rsidP="003B6C65">
      <w:pPr>
        <w:pStyle w:val="Odstavecseseznamem"/>
        <w:spacing w:line="360" w:lineRule="auto"/>
        <w:ind w:left="1440"/>
        <w:rPr>
          <w:rFonts w:cs="Arial"/>
          <w:i/>
          <w:color w:val="000000"/>
          <w:kern w:val="3"/>
          <w:szCs w:val="20"/>
        </w:rPr>
      </w:pPr>
    </w:p>
    <w:p w14:paraId="663FDCE1" w14:textId="6E52A710" w:rsidR="00ED61D8" w:rsidRDefault="00ED61D8" w:rsidP="003846BC">
      <w:pPr>
        <w:pStyle w:val="Odstavecseseznamem"/>
        <w:numPr>
          <w:ilvl w:val="0"/>
          <w:numId w:val="15"/>
        </w:numPr>
        <w:spacing w:after="120" w:line="280" w:lineRule="atLeast"/>
        <w:contextualSpacing w:val="0"/>
        <w:rPr>
          <w:rFonts w:cs="Arial"/>
          <w:szCs w:val="20"/>
        </w:rPr>
      </w:pPr>
      <w:r w:rsidRPr="007B231E">
        <w:rPr>
          <w:rFonts w:cs="Arial"/>
          <w:szCs w:val="20"/>
        </w:rPr>
        <w:t>V </w:t>
      </w:r>
      <w:r w:rsidRPr="007B231E">
        <w:rPr>
          <w:rFonts w:cs="Arial"/>
          <w:color w:val="000000"/>
          <w:szCs w:val="20"/>
        </w:rPr>
        <w:t>případě</w:t>
      </w:r>
      <w:r w:rsidRPr="007B231E">
        <w:rPr>
          <w:rFonts w:cs="Arial"/>
          <w:szCs w:val="20"/>
        </w:rPr>
        <w:t xml:space="preserve"> kontra</w:t>
      </w:r>
      <w:r w:rsidR="00A97F47">
        <w:rPr>
          <w:rFonts w:cs="Arial"/>
          <w:szCs w:val="20"/>
        </w:rPr>
        <w:t xml:space="preserve"> – </w:t>
      </w:r>
      <w:r w:rsidRPr="007B231E">
        <w:rPr>
          <w:rFonts w:cs="Arial"/>
          <w:szCs w:val="20"/>
        </w:rPr>
        <w:t>mezi ustanoveními této Smlouvy (bez jejích příloh) a jednotlivými přílohami této Smlouvy budou mít přednost příslušná ustanovení této Smlouvy</w:t>
      </w:r>
      <w:r w:rsidR="00F81E2C" w:rsidRPr="007B231E">
        <w:rPr>
          <w:rFonts w:cs="Arial"/>
          <w:szCs w:val="20"/>
        </w:rPr>
        <w:t xml:space="preserve"> a následně ustanovení jednotlivých příloh ve výše uvedeném pořadí</w:t>
      </w:r>
      <w:r w:rsidRPr="007B231E">
        <w:rPr>
          <w:rFonts w:cs="Arial"/>
          <w:szCs w:val="20"/>
        </w:rPr>
        <w:t xml:space="preserve">. </w:t>
      </w:r>
    </w:p>
    <w:p w14:paraId="78932C5F" w14:textId="77777777" w:rsidR="00CB3494" w:rsidRPr="007B231E" w:rsidRDefault="00011454" w:rsidP="003846BC">
      <w:pPr>
        <w:pStyle w:val="Odstavecseseznamem"/>
        <w:numPr>
          <w:ilvl w:val="0"/>
          <w:numId w:val="15"/>
        </w:numPr>
        <w:spacing w:after="120" w:line="280" w:lineRule="atLeast"/>
        <w:contextualSpacing w:val="0"/>
        <w:rPr>
          <w:rFonts w:cs="Arial"/>
          <w:szCs w:val="20"/>
        </w:rPr>
      </w:pPr>
      <w:r>
        <w:rPr>
          <w:rFonts w:cs="Arial"/>
          <w:szCs w:val="20"/>
        </w:rPr>
        <w:t xml:space="preserve">Smluvní </w:t>
      </w:r>
      <w:r w:rsidRPr="00011454">
        <w:rPr>
          <w:rFonts w:cs="Arial"/>
          <w:szCs w:val="20"/>
        </w:rPr>
        <w:t>strany</w:t>
      </w:r>
      <w:r>
        <w:rPr>
          <w:rFonts w:cs="Arial"/>
          <w:szCs w:val="20"/>
        </w:rPr>
        <w:t xml:space="preserve"> prohlašují, že si tuto Smlouvu přečetly, že s jejím obsahem souhlasí a na důkaz toho k ní připojují svoje podpisy.</w:t>
      </w:r>
    </w:p>
    <w:p w14:paraId="411A2C5A" w14:textId="77777777" w:rsidR="00CB3494" w:rsidRPr="007B231E" w:rsidRDefault="00CB3494" w:rsidP="00CB3494">
      <w:pPr>
        <w:pStyle w:val="Odstavecseseznamem"/>
        <w:ind w:left="360"/>
        <w:rPr>
          <w:rFonts w:cs="Arial"/>
          <w:szCs w:val="20"/>
        </w:rPr>
      </w:pPr>
    </w:p>
    <w:p w14:paraId="24244BA5" w14:textId="77777777" w:rsidR="00037B09" w:rsidRPr="007B231E" w:rsidRDefault="00037B09" w:rsidP="00A659A9">
      <w:pPr>
        <w:spacing w:after="0" w:line="276" w:lineRule="auto"/>
        <w:rPr>
          <w:rFonts w:cs="Arial"/>
          <w:szCs w:val="20"/>
        </w:rPr>
      </w:pPr>
    </w:p>
    <w:p w14:paraId="1F76AF57" w14:textId="6F402EFD" w:rsidR="00845FC9" w:rsidRPr="007B231E" w:rsidRDefault="00A97F47" w:rsidP="00A659A9">
      <w:pPr>
        <w:spacing w:after="0"/>
        <w:rPr>
          <w:rFonts w:cs="Arial"/>
          <w:color w:val="000000"/>
          <w:szCs w:val="20"/>
        </w:rPr>
      </w:pPr>
      <w:r>
        <w:rPr>
          <w:rFonts w:cs="Arial"/>
          <w:color w:val="000000"/>
          <w:szCs w:val="20"/>
        </w:rPr>
        <w:lastRenderedPageBreak/>
        <w:tab/>
      </w:r>
      <w:r>
        <w:rPr>
          <w:rFonts w:cs="Arial"/>
          <w:color w:val="000000"/>
          <w:szCs w:val="20"/>
        </w:rPr>
        <w:tab/>
      </w:r>
      <w:r>
        <w:rPr>
          <w:rFonts w:cs="Arial"/>
          <w:color w:val="000000"/>
          <w:szCs w:val="20"/>
        </w:rPr>
        <w:tab/>
      </w:r>
      <w:r>
        <w:rPr>
          <w:rFonts w:cs="Arial"/>
          <w:color w:val="000000"/>
          <w:szCs w:val="20"/>
        </w:rPr>
        <w:tab/>
      </w:r>
      <w:r w:rsidR="00845FC9" w:rsidRPr="007B231E">
        <w:rPr>
          <w:rFonts w:cs="Arial"/>
          <w:color w:val="000000"/>
          <w:szCs w:val="20"/>
        </w:rPr>
        <w:tab/>
      </w:r>
      <w:r w:rsidR="00845FC9" w:rsidRPr="007B231E">
        <w:rPr>
          <w:rFonts w:cs="Arial"/>
          <w:color w:val="000000"/>
          <w:szCs w:val="20"/>
        </w:rPr>
        <w:tab/>
      </w:r>
      <w:r w:rsidR="00845FC9" w:rsidRPr="007B231E">
        <w:rPr>
          <w:rFonts w:cs="Arial"/>
          <w:color w:val="000000"/>
          <w:szCs w:val="20"/>
        </w:rPr>
        <w:tab/>
      </w:r>
      <w:r w:rsidR="00845FC9" w:rsidRPr="007B231E">
        <w:rPr>
          <w:rFonts w:cs="Arial"/>
          <w:color w:val="000000"/>
          <w:szCs w:val="20"/>
        </w:rPr>
        <w:tab/>
      </w:r>
      <w:r w:rsidR="0060151D" w:rsidRPr="007B231E">
        <w:rPr>
          <w:rFonts w:cs="Arial"/>
          <w:szCs w:val="20"/>
          <w:highlight w:val="yellow"/>
        </w:rPr>
        <w:t>xxxxxxxxxxxxxxxxxxxxxxxxxxx</w:t>
      </w:r>
    </w:p>
    <w:p w14:paraId="27317180" w14:textId="0C578405" w:rsidR="00845FC9" w:rsidRPr="007B231E" w:rsidRDefault="00A97F47" w:rsidP="0060151D">
      <w:pPr>
        <w:spacing w:after="0"/>
        <w:ind w:firstLine="708"/>
        <w:rPr>
          <w:rFonts w:cs="Arial"/>
          <w:color w:val="000000"/>
          <w:szCs w:val="20"/>
        </w:rPr>
      </w:pPr>
      <w:r>
        <w:rPr>
          <w:rFonts w:cs="Arial"/>
          <w:color w:val="000000"/>
          <w:szCs w:val="20"/>
        </w:rPr>
        <w:t>PGRLF a.s.</w:t>
      </w:r>
    </w:p>
    <w:p w14:paraId="2EDC0D9F" w14:textId="77777777" w:rsidR="00845FC9" w:rsidRPr="007B231E" w:rsidRDefault="00845FC9" w:rsidP="00845FC9">
      <w:pPr>
        <w:rPr>
          <w:rFonts w:cs="Arial"/>
          <w:color w:val="000000"/>
          <w:szCs w:val="20"/>
        </w:rPr>
      </w:pPr>
    </w:p>
    <w:p w14:paraId="4B036999" w14:textId="77777777" w:rsidR="00845FC9" w:rsidRPr="007B231E" w:rsidRDefault="00845FC9" w:rsidP="00845FC9">
      <w:pPr>
        <w:rPr>
          <w:rFonts w:cs="Arial"/>
          <w:color w:val="000000"/>
          <w:szCs w:val="20"/>
        </w:rPr>
      </w:pPr>
    </w:p>
    <w:p w14:paraId="5CF6EE71" w14:textId="77777777" w:rsidR="00845FC9" w:rsidRPr="007B231E" w:rsidRDefault="00845FC9" w:rsidP="00845FC9">
      <w:pPr>
        <w:rPr>
          <w:rFonts w:cs="Arial"/>
          <w:color w:val="000000"/>
          <w:szCs w:val="20"/>
        </w:rPr>
      </w:pPr>
    </w:p>
    <w:p w14:paraId="0826596B" w14:textId="77777777" w:rsidR="00845FC9" w:rsidRPr="007B231E" w:rsidRDefault="00845FC9" w:rsidP="00A659A9">
      <w:pPr>
        <w:spacing w:after="0"/>
        <w:rPr>
          <w:rFonts w:cs="Arial"/>
          <w:color w:val="000000"/>
          <w:szCs w:val="20"/>
        </w:rPr>
      </w:pPr>
      <w:r w:rsidRPr="007B231E">
        <w:rPr>
          <w:rFonts w:cs="Arial"/>
          <w:color w:val="000000"/>
          <w:szCs w:val="20"/>
        </w:rPr>
        <w:tab/>
      </w:r>
      <w:r w:rsidRPr="007B231E">
        <w:rPr>
          <w:rFonts w:cs="Arial"/>
          <w:color w:val="000000"/>
          <w:szCs w:val="20"/>
        </w:rPr>
        <w:tab/>
      </w:r>
      <w:r w:rsidRPr="007B231E">
        <w:rPr>
          <w:rFonts w:cs="Arial"/>
          <w:color w:val="000000"/>
          <w:szCs w:val="20"/>
        </w:rPr>
        <w:tab/>
      </w:r>
      <w:r w:rsidRPr="007B231E">
        <w:rPr>
          <w:rFonts w:cs="Arial"/>
          <w:color w:val="000000"/>
          <w:szCs w:val="20"/>
        </w:rPr>
        <w:tab/>
      </w:r>
    </w:p>
    <w:p w14:paraId="424114B8" w14:textId="14705AB5" w:rsidR="00845FC9" w:rsidRPr="007B231E" w:rsidRDefault="00845FC9" w:rsidP="00A659A9">
      <w:pPr>
        <w:spacing w:after="0"/>
        <w:rPr>
          <w:rFonts w:cs="Arial"/>
          <w:color w:val="000000"/>
          <w:szCs w:val="20"/>
        </w:rPr>
      </w:pPr>
      <w:bookmarkStart w:id="1" w:name="_Toc277151450"/>
      <w:bookmarkStart w:id="2" w:name="_Toc277151540"/>
      <w:r w:rsidRPr="007B231E">
        <w:rPr>
          <w:rFonts w:cs="Arial"/>
          <w:color w:val="000000"/>
          <w:szCs w:val="20"/>
        </w:rPr>
        <w:t xml:space="preserve">Ing. </w:t>
      </w:r>
      <w:r w:rsidR="00A97F47">
        <w:rPr>
          <w:rFonts w:cs="Arial"/>
          <w:color w:val="000000"/>
          <w:szCs w:val="20"/>
        </w:rPr>
        <w:t>Mgr. Vladimír Eck</w:t>
      </w:r>
      <w:r w:rsidRPr="007B231E">
        <w:rPr>
          <w:rFonts w:cs="Arial"/>
          <w:color w:val="000000"/>
          <w:szCs w:val="20"/>
        </w:rPr>
        <w:tab/>
      </w:r>
      <w:r w:rsidRPr="007B231E">
        <w:rPr>
          <w:rFonts w:cs="Arial"/>
          <w:color w:val="000000"/>
          <w:szCs w:val="20"/>
        </w:rPr>
        <w:tab/>
      </w:r>
      <w:r w:rsidRPr="007B231E">
        <w:rPr>
          <w:rFonts w:cs="Arial"/>
          <w:color w:val="000000"/>
          <w:szCs w:val="20"/>
        </w:rPr>
        <w:tab/>
      </w:r>
      <w:r w:rsidRPr="007B231E">
        <w:rPr>
          <w:rFonts w:cs="Arial"/>
          <w:color w:val="000000"/>
          <w:szCs w:val="20"/>
        </w:rPr>
        <w:tab/>
      </w:r>
      <w:r w:rsidRPr="007B231E">
        <w:rPr>
          <w:rFonts w:cs="Arial"/>
          <w:color w:val="000000"/>
          <w:szCs w:val="20"/>
        </w:rPr>
        <w:tab/>
      </w:r>
      <w:bookmarkEnd w:id="1"/>
      <w:bookmarkEnd w:id="2"/>
      <w:r w:rsidRPr="007B231E">
        <w:rPr>
          <w:rFonts w:cs="Arial"/>
          <w:color w:val="000000"/>
          <w:szCs w:val="20"/>
        </w:rPr>
        <w:tab/>
      </w:r>
      <w:r w:rsidR="0060151D" w:rsidRPr="007B231E">
        <w:rPr>
          <w:rFonts w:cs="Arial"/>
          <w:szCs w:val="20"/>
          <w:highlight w:val="yellow"/>
        </w:rPr>
        <w:t>xxxxxxxxxxxxxxxxxxxxxxxxxxx</w:t>
      </w:r>
    </w:p>
    <w:p w14:paraId="55C4AF2F" w14:textId="35548FA5" w:rsidR="000E6D96" w:rsidRPr="007B231E" w:rsidRDefault="00A97F47" w:rsidP="00A97F47">
      <w:pPr>
        <w:keepNext/>
        <w:spacing w:line="280" w:lineRule="atLeast"/>
        <w:rPr>
          <w:rFonts w:cs="Arial"/>
          <w:b/>
          <w:szCs w:val="20"/>
        </w:rPr>
      </w:pPr>
      <w:r>
        <w:rPr>
          <w:rFonts w:cs="Arial"/>
          <w:color w:val="000000"/>
          <w:szCs w:val="20"/>
        </w:rPr>
        <w:t>předseda představenstva</w:t>
      </w:r>
      <w:r w:rsidRPr="007B231E">
        <w:rPr>
          <w:rFonts w:cs="Arial"/>
          <w:color w:val="000000"/>
          <w:szCs w:val="20"/>
        </w:rPr>
        <w:t xml:space="preserve"> </w:t>
      </w:r>
    </w:p>
    <w:p w14:paraId="31FC7B95" w14:textId="77777777" w:rsidR="0051638C" w:rsidRDefault="0051638C">
      <w:pPr>
        <w:spacing w:line="276" w:lineRule="auto"/>
        <w:jc w:val="left"/>
        <w:rPr>
          <w:rFonts w:cs="Arial"/>
          <w:b/>
          <w:szCs w:val="20"/>
        </w:rPr>
      </w:pPr>
      <w:r>
        <w:rPr>
          <w:rFonts w:cs="Arial"/>
          <w:b/>
          <w:szCs w:val="20"/>
        </w:rPr>
        <w:br w:type="page"/>
      </w:r>
    </w:p>
    <w:p w14:paraId="32A49411" w14:textId="2712F49F" w:rsidR="0023419A" w:rsidRDefault="00C36C1E" w:rsidP="0023419A">
      <w:pPr>
        <w:spacing w:line="360" w:lineRule="auto"/>
        <w:rPr>
          <w:rFonts w:cs="Arial"/>
          <w:b/>
          <w:szCs w:val="20"/>
        </w:rPr>
      </w:pPr>
      <w:r w:rsidRPr="0023419A">
        <w:rPr>
          <w:rFonts w:cs="Arial"/>
          <w:b/>
          <w:szCs w:val="20"/>
        </w:rPr>
        <w:lastRenderedPageBreak/>
        <w:t>Příloha č. 1</w:t>
      </w:r>
      <w:r w:rsidR="0023419A" w:rsidRPr="0023419A">
        <w:rPr>
          <w:rFonts w:cs="Arial"/>
          <w:b/>
          <w:szCs w:val="20"/>
        </w:rPr>
        <w:t xml:space="preserve"> </w:t>
      </w:r>
      <w:r w:rsidR="0051638C">
        <w:rPr>
          <w:rFonts w:cs="Arial"/>
          <w:b/>
          <w:szCs w:val="20"/>
        </w:rPr>
        <w:t>– Technická specifikace</w:t>
      </w:r>
    </w:p>
    <w:p w14:paraId="027A6696" w14:textId="77777777" w:rsidR="007554C4" w:rsidRDefault="007554C4" w:rsidP="007554C4">
      <w:pPr>
        <w:rPr>
          <w:rFonts w:ascii="Tahoma" w:hAnsi="Tahoma" w:cs="Tahoma"/>
          <w:b/>
          <w:bCs/>
          <w:color w:val="1F497D"/>
          <w:sz w:val="19"/>
          <w:szCs w:val="19"/>
          <w:lang w:val="en-US"/>
        </w:rPr>
      </w:pPr>
      <w:r>
        <w:rPr>
          <w:rFonts w:ascii="Tahoma" w:hAnsi="Tahoma" w:cs="Tahoma"/>
          <w:b/>
          <w:bCs/>
          <w:color w:val="1F497D"/>
          <w:sz w:val="19"/>
          <w:szCs w:val="19"/>
        </w:rPr>
        <w:t>SERVER č. 1</w:t>
      </w:r>
    </w:p>
    <w:p w14:paraId="2CBE3321" w14:textId="77777777" w:rsidR="007554C4" w:rsidRDefault="007554C4" w:rsidP="007554C4">
      <w:pPr>
        <w:rPr>
          <w:rFonts w:ascii="Tahoma" w:hAnsi="Tahoma" w:cs="Tahoma"/>
          <w:color w:val="1F497D"/>
          <w:sz w:val="19"/>
          <w:szCs w:val="19"/>
        </w:rPr>
      </w:pPr>
    </w:p>
    <w:p w14:paraId="17BC3A08" w14:textId="77777777" w:rsidR="007554C4" w:rsidRPr="003A707B" w:rsidRDefault="007554C4" w:rsidP="007554C4">
      <w:pPr>
        <w:pStyle w:val="Odstavecseseznamem"/>
        <w:numPr>
          <w:ilvl w:val="0"/>
          <w:numId w:val="31"/>
        </w:numPr>
        <w:spacing w:after="0"/>
        <w:jc w:val="left"/>
        <w:rPr>
          <w:rFonts w:ascii="Tahoma" w:hAnsi="Tahoma" w:cs="Tahoma"/>
          <w:color w:val="1F497D"/>
          <w:sz w:val="19"/>
          <w:szCs w:val="19"/>
        </w:rPr>
      </w:pPr>
      <w:r w:rsidRPr="003A707B">
        <w:rPr>
          <w:rFonts w:ascii="Tahoma" w:hAnsi="Tahoma" w:cs="Tahoma"/>
          <w:color w:val="1F497D"/>
          <w:sz w:val="19"/>
          <w:szCs w:val="19"/>
        </w:rPr>
        <w:t>Dvousoketový server o velikosti maximálně 2U včetně rackmount kitu</w:t>
      </w:r>
    </w:p>
    <w:p w14:paraId="2B0B0280" w14:textId="77777777" w:rsidR="007554C4" w:rsidRPr="003A707B" w:rsidRDefault="007554C4" w:rsidP="007554C4">
      <w:pPr>
        <w:pStyle w:val="Odstavecseseznamem"/>
        <w:numPr>
          <w:ilvl w:val="0"/>
          <w:numId w:val="31"/>
        </w:numPr>
        <w:spacing w:after="0"/>
        <w:jc w:val="left"/>
        <w:rPr>
          <w:rFonts w:ascii="Tahoma" w:hAnsi="Tahoma" w:cs="Tahoma"/>
          <w:color w:val="1F497D"/>
          <w:sz w:val="19"/>
          <w:szCs w:val="19"/>
        </w:rPr>
      </w:pPr>
      <w:r w:rsidRPr="003A707B">
        <w:rPr>
          <w:rFonts w:ascii="Tahoma" w:hAnsi="Tahoma" w:cs="Tahoma"/>
          <w:color w:val="1F497D"/>
          <w:sz w:val="19"/>
          <w:szCs w:val="19"/>
        </w:rPr>
        <w:t>Osazený 2x CPU , každé CPU minimálně 10 jader , velikost cache minimálně 13 MB / CPU, nominální frekvence min. 2.40 GHz, turbo frekvence min. 3.2 GHz</w:t>
      </w:r>
    </w:p>
    <w:p w14:paraId="606BA7D0" w14:textId="77777777" w:rsidR="007554C4" w:rsidRPr="003A707B" w:rsidRDefault="007554C4" w:rsidP="007554C4">
      <w:pPr>
        <w:pStyle w:val="Odstavecseseznamem"/>
        <w:numPr>
          <w:ilvl w:val="0"/>
          <w:numId w:val="31"/>
        </w:numPr>
        <w:spacing w:after="0"/>
        <w:jc w:val="left"/>
        <w:rPr>
          <w:rFonts w:ascii="Tahoma" w:hAnsi="Tahoma" w:cs="Tahoma"/>
          <w:color w:val="1F497D"/>
          <w:sz w:val="19"/>
          <w:szCs w:val="19"/>
        </w:rPr>
      </w:pPr>
      <w:r w:rsidRPr="003A707B">
        <w:rPr>
          <w:rFonts w:ascii="Tahoma" w:hAnsi="Tahoma" w:cs="Tahoma"/>
          <w:color w:val="1F497D"/>
          <w:sz w:val="19"/>
          <w:szCs w:val="19"/>
        </w:rPr>
        <w:t>Min. 24x dostupných DIMM slotů s možností osazeni až 3TB</w:t>
      </w:r>
    </w:p>
    <w:p w14:paraId="1D11C310" w14:textId="77777777" w:rsidR="007554C4" w:rsidRPr="003A707B" w:rsidRDefault="007554C4" w:rsidP="007554C4">
      <w:pPr>
        <w:pStyle w:val="Odstavecseseznamem"/>
        <w:numPr>
          <w:ilvl w:val="0"/>
          <w:numId w:val="31"/>
        </w:numPr>
        <w:spacing w:after="0"/>
        <w:jc w:val="left"/>
        <w:rPr>
          <w:rFonts w:ascii="Tahoma" w:hAnsi="Tahoma" w:cs="Tahoma"/>
          <w:color w:val="1F497D"/>
          <w:sz w:val="19"/>
          <w:szCs w:val="19"/>
        </w:rPr>
      </w:pPr>
      <w:r w:rsidRPr="003A707B">
        <w:rPr>
          <w:rFonts w:ascii="Tahoma" w:hAnsi="Tahoma" w:cs="Tahoma"/>
          <w:color w:val="1F497D"/>
          <w:sz w:val="19"/>
          <w:szCs w:val="19"/>
        </w:rPr>
        <w:t>Velikost osazené RAM minimálně 64 GB pomoci registered DDR4 2933 MT/s DIMM modulů</w:t>
      </w:r>
    </w:p>
    <w:p w14:paraId="4D74F0E3" w14:textId="77777777" w:rsidR="007554C4" w:rsidRPr="003A707B" w:rsidRDefault="007554C4" w:rsidP="007554C4">
      <w:pPr>
        <w:pStyle w:val="Odstavecseseznamem"/>
        <w:numPr>
          <w:ilvl w:val="0"/>
          <w:numId w:val="31"/>
        </w:numPr>
        <w:spacing w:after="0"/>
        <w:jc w:val="left"/>
        <w:rPr>
          <w:rFonts w:ascii="Tahoma" w:hAnsi="Tahoma" w:cs="Tahoma"/>
          <w:color w:val="1F497D"/>
          <w:sz w:val="19"/>
          <w:szCs w:val="19"/>
        </w:rPr>
      </w:pPr>
      <w:r w:rsidRPr="003A707B">
        <w:rPr>
          <w:rFonts w:ascii="Tahoma" w:hAnsi="Tahoma" w:cs="Tahoma"/>
          <w:color w:val="1F497D"/>
          <w:sz w:val="19"/>
          <w:szCs w:val="19"/>
        </w:rPr>
        <w:t xml:space="preserve">Požadujeme podporu osazení persistentních pamětí </w:t>
      </w:r>
    </w:p>
    <w:p w14:paraId="1A4A1786" w14:textId="77777777" w:rsidR="007554C4" w:rsidRDefault="007554C4" w:rsidP="007554C4">
      <w:pPr>
        <w:pStyle w:val="Odstavecseseznamem"/>
        <w:numPr>
          <w:ilvl w:val="0"/>
          <w:numId w:val="31"/>
        </w:numPr>
        <w:spacing w:after="0"/>
        <w:jc w:val="left"/>
        <w:rPr>
          <w:rFonts w:ascii="Tahoma" w:hAnsi="Tahoma" w:cs="Tahoma"/>
          <w:color w:val="1F497D"/>
          <w:sz w:val="19"/>
          <w:szCs w:val="19"/>
        </w:rPr>
      </w:pPr>
      <w:r w:rsidRPr="003A707B">
        <w:rPr>
          <w:rFonts w:ascii="Tahoma" w:hAnsi="Tahoma" w:cs="Tahoma"/>
          <w:color w:val="1F497D"/>
          <w:sz w:val="19"/>
          <w:szCs w:val="19"/>
        </w:rPr>
        <w:t xml:space="preserve">Dva za chodu vyměnitelné napájeci zdroje s příkonem maximálně 800W a účinností min. 94 % </w:t>
      </w:r>
    </w:p>
    <w:p w14:paraId="2775281A" w14:textId="77777777" w:rsidR="007554C4" w:rsidRPr="003A707B" w:rsidRDefault="007554C4" w:rsidP="007554C4">
      <w:pPr>
        <w:pStyle w:val="Odstavecseseznamem"/>
        <w:numPr>
          <w:ilvl w:val="0"/>
          <w:numId w:val="31"/>
        </w:numPr>
        <w:spacing w:after="0"/>
        <w:jc w:val="left"/>
        <w:rPr>
          <w:rFonts w:ascii="Tahoma" w:hAnsi="Tahoma" w:cs="Tahoma"/>
          <w:color w:val="1F497D"/>
          <w:sz w:val="19"/>
          <w:szCs w:val="19"/>
        </w:rPr>
      </w:pPr>
      <w:r>
        <w:rPr>
          <w:rFonts w:ascii="Tahoma" w:hAnsi="Tahoma" w:cs="Tahoma"/>
          <w:color w:val="1F497D"/>
          <w:sz w:val="19"/>
          <w:szCs w:val="19"/>
        </w:rPr>
        <w:t>Redundantní za chodu vyměnitelné větráky</w:t>
      </w:r>
    </w:p>
    <w:p w14:paraId="54903EAB" w14:textId="77777777" w:rsidR="007554C4" w:rsidRPr="003A707B" w:rsidRDefault="007554C4" w:rsidP="007554C4">
      <w:pPr>
        <w:pStyle w:val="Odstavecseseznamem"/>
        <w:numPr>
          <w:ilvl w:val="0"/>
          <w:numId w:val="31"/>
        </w:numPr>
        <w:spacing w:after="0"/>
        <w:jc w:val="left"/>
        <w:rPr>
          <w:rFonts w:ascii="Tahoma" w:hAnsi="Tahoma" w:cs="Tahoma"/>
          <w:color w:val="1F497D"/>
          <w:sz w:val="19"/>
          <w:szCs w:val="19"/>
        </w:rPr>
      </w:pPr>
      <w:r w:rsidRPr="003A707B">
        <w:rPr>
          <w:rFonts w:ascii="Tahoma" w:hAnsi="Tahoma" w:cs="Tahoma"/>
          <w:color w:val="1F497D"/>
          <w:sz w:val="19"/>
          <w:szCs w:val="19"/>
        </w:rPr>
        <w:t>Minimálně 2x interní USB 3.0 konektory</w:t>
      </w:r>
    </w:p>
    <w:p w14:paraId="3CC0FC10" w14:textId="77777777" w:rsidR="007554C4" w:rsidRPr="003A707B" w:rsidRDefault="007554C4" w:rsidP="007554C4">
      <w:pPr>
        <w:pStyle w:val="Odstavecseseznamem"/>
        <w:numPr>
          <w:ilvl w:val="0"/>
          <w:numId w:val="31"/>
        </w:numPr>
        <w:spacing w:after="0"/>
        <w:jc w:val="left"/>
        <w:rPr>
          <w:rFonts w:ascii="Tahoma" w:hAnsi="Tahoma" w:cs="Tahoma"/>
          <w:color w:val="1F497D"/>
          <w:sz w:val="19"/>
          <w:szCs w:val="19"/>
        </w:rPr>
      </w:pPr>
      <w:r w:rsidRPr="003A707B">
        <w:rPr>
          <w:rFonts w:ascii="Tahoma" w:hAnsi="Tahoma" w:cs="Tahoma"/>
          <w:color w:val="1F497D"/>
          <w:sz w:val="19"/>
          <w:szCs w:val="19"/>
        </w:rPr>
        <w:t>Minimálně 3x externí USB 3.0 konektory</w:t>
      </w:r>
    </w:p>
    <w:p w14:paraId="5292D8C3" w14:textId="77777777" w:rsidR="007554C4" w:rsidRPr="003A707B" w:rsidRDefault="007554C4" w:rsidP="007554C4">
      <w:pPr>
        <w:pStyle w:val="Odstavecseseznamem"/>
        <w:numPr>
          <w:ilvl w:val="0"/>
          <w:numId w:val="31"/>
        </w:numPr>
        <w:spacing w:after="0"/>
        <w:jc w:val="left"/>
        <w:rPr>
          <w:rFonts w:ascii="Tahoma" w:hAnsi="Tahoma" w:cs="Tahoma"/>
          <w:color w:val="1F497D"/>
          <w:sz w:val="19"/>
          <w:szCs w:val="19"/>
        </w:rPr>
      </w:pPr>
      <w:r w:rsidRPr="003A707B">
        <w:rPr>
          <w:rFonts w:ascii="Tahoma" w:hAnsi="Tahoma" w:cs="Tahoma"/>
          <w:color w:val="1F497D"/>
          <w:sz w:val="19"/>
          <w:szCs w:val="19"/>
        </w:rPr>
        <w:t>Interní Micro SD slot pro hypervisor</w:t>
      </w:r>
    </w:p>
    <w:p w14:paraId="6692A0B5" w14:textId="77777777" w:rsidR="007554C4" w:rsidRPr="003A707B" w:rsidRDefault="007554C4" w:rsidP="007554C4">
      <w:pPr>
        <w:pStyle w:val="Odstavecseseznamem"/>
        <w:numPr>
          <w:ilvl w:val="0"/>
          <w:numId w:val="31"/>
        </w:numPr>
        <w:spacing w:after="0"/>
        <w:jc w:val="left"/>
        <w:rPr>
          <w:rFonts w:ascii="Tahoma" w:hAnsi="Tahoma" w:cs="Tahoma"/>
          <w:color w:val="1F497D"/>
          <w:sz w:val="19"/>
          <w:szCs w:val="19"/>
        </w:rPr>
      </w:pPr>
      <w:r w:rsidRPr="003A707B">
        <w:rPr>
          <w:rFonts w:ascii="Tahoma" w:hAnsi="Tahoma" w:cs="Tahoma"/>
          <w:color w:val="1F497D"/>
          <w:sz w:val="19"/>
          <w:szCs w:val="19"/>
        </w:rPr>
        <w:t>Interní 2 sloty pro M.2 SSD</w:t>
      </w:r>
    </w:p>
    <w:p w14:paraId="222C20DD" w14:textId="77777777" w:rsidR="007554C4" w:rsidRPr="003A707B" w:rsidRDefault="007554C4" w:rsidP="007554C4">
      <w:pPr>
        <w:pStyle w:val="Odstavecseseznamem"/>
        <w:numPr>
          <w:ilvl w:val="0"/>
          <w:numId w:val="31"/>
        </w:numPr>
        <w:spacing w:after="0"/>
        <w:jc w:val="left"/>
        <w:rPr>
          <w:rFonts w:ascii="Tahoma" w:hAnsi="Tahoma" w:cs="Tahoma"/>
          <w:color w:val="1F497D"/>
          <w:sz w:val="19"/>
          <w:szCs w:val="19"/>
        </w:rPr>
      </w:pPr>
      <w:r w:rsidRPr="003A707B">
        <w:rPr>
          <w:rFonts w:ascii="Tahoma" w:hAnsi="Tahoma" w:cs="Tahoma"/>
          <w:color w:val="1F497D"/>
          <w:sz w:val="19"/>
          <w:szCs w:val="19"/>
        </w:rPr>
        <w:t>Prediktivní analýza poruch min. pro RAM, CPU, napájecí zdroje a ventilátor</w:t>
      </w:r>
    </w:p>
    <w:p w14:paraId="11F58159" w14:textId="77777777" w:rsidR="007554C4" w:rsidRPr="003A707B" w:rsidRDefault="007554C4" w:rsidP="007554C4">
      <w:pPr>
        <w:pStyle w:val="Odstavecseseznamem"/>
        <w:numPr>
          <w:ilvl w:val="0"/>
          <w:numId w:val="31"/>
        </w:numPr>
        <w:spacing w:after="0"/>
        <w:jc w:val="left"/>
        <w:rPr>
          <w:rFonts w:ascii="Tahoma" w:hAnsi="Tahoma" w:cs="Tahoma"/>
          <w:color w:val="1F497D"/>
          <w:sz w:val="19"/>
          <w:szCs w:val="19"/>
        </w:rPr>
      </w:pPr>
      <w:r w:rsidRPr="003A707B">
        <w:rPr>
          <w:rFonts w:ascii="Tahoma" w:hAnsi="Tahoma" w:cs="Tahoma"/>
          <w:color w:val="1F497D"/>
          <w:sz w:val="19"/>
          <w:szCs w:val="19"/>
        </w:rPr>
        <w:t>Minimálně 3 PCI-e sloty s možností rozšiření na 6 PCI-e slotu</w:t>
      </w:r>
    </w:p>
    <w:p w14:paraId="126FFC9D" w14:textId="77777777" w:rsidR="007554C4" w:rsidRPr="003A707B" w:rsidRDefault="007554C4" w:rsidP="007554C4">
      <w:pPr>
        <w:pStyle w:val="Odstavecseseznamem"/>
        <w:numPr>
          <w:ilvl w:val="0"/>
          <w:numId w:val="31"/>
        </w:numPr>
        <w:spacing w:after="0"/>
        <w:jc w:val="left"/>
        <w:rPr>
          <w:rFonts w:ascii="Tahoma" w:hAnsi="Tahoma" w:cs="Tahoma"/>
          <w:color w:val="1F497D"/>
          <w:sz w:val="19"/>
          <w:szCs w:val="19"/>
        </w:rPr>
      </w:pPr>
      <w:r w:rsidRPr="003A707B">
        <w:rPr>
          <w:rFonts w:ascii="Tahoma" w:hAnsi="Tahoma" w:cs="Tahoma"/>
          <w:color w:val="1F497D"/>
          <w:sz w:val="19"/>
          <w:szCs w:val="19"/>
        </w:rPr>
        <w:t xml:space="preserve">Požadujeme volitelnou podporu pro osazení až 150W PCI-e karet </w:t>
      </w:r>
    </w:p>
    <w:p w14:paraId="6D3ADF3C" w14:textId="77777777" w:rsidR="007554C4" w:rsidRPr="003A707B" w:rsidRDefault="007554C4" w:rsidP="007554C4">
      <w:pPr>
        <w:pStyle w:val="Odstavecseseznamem"/>
        <w:numPr>
          <w:ilvl w:val="0"/>
          <w:numId w:val="31"/>
        </w:numPr>
        <w:spacing w:after="0"/>
        <w:jc w:val="left"/>
        <w:rPr>
          <w:rFonts w:ascii="Tahoma" w:hAnsi="Tahoma" w:cs="Tahoma"/>
          <w:color w:val="1F497D"/>
          <w:sz w:val="19"/>
          <w:szCs w:val="19"/>
        </w:rPr>
      </w:pPr>
      <w:r w:rsidRPr="003A707B">
        <w:rPr>
          <w:rFonts w:ascii="Tahoma" w:hAnsi="Tahoma" w:cs="Tahoma"/>
          <w:color w:val="1F497D"/>
          <w:sz w:val="19"/>
          <w:szCs w:val="19"/>
        </w:rPr>
        <w:t>Požadujeme 4-portovou 1Gb sitovou kartu nezabirajici misto v PCI-e slotech s podporou Large Send and Receive offload capability, VLAN tagging, MSI-X, jumbo frames, IEEE 1588, VMware NetQueue a Microsoft VMQ</w:t>
      </w:r>
      <w:r>
        <w:rPr>
          <w:rFonts w:ascii="Tahoma" w:hAnsi="Tahoma" w:cs="Tahoma"/>
          <w:color w:val="1F497D"/>
          <w:sz w:val="19"/>
          <w:szCs w:val="19"/>
        </w:rPr>
        <w:t xml:space="preserve"> </w:t>
      </w:r>
    </w:p>
    <w:p w14:paraId="0692F697" w14:textId="77777777" w:rsidR="007554C4" w:rsidRPr="003A707B" w:rsidRDefault="007554C4" w:rsidP="007554C4">
      <w:pPr>
        <w:pStyle w:val="Odstavecseseznamem"/>
        <w:numPr>
          <w:ilvl w:val="0"/>
          <w:numId w:val="31"/>
        </w:numPr>
        <w:spacing w:after="0"/>
        <w:jc w:val="left"/>
        <w:rPr>
          <w:rFonts w:ascii="Tahoma" w:hAnsi="Tahoma" w:cs="Tahoma"/>
          <w:color w:val="1F497D"/>
          <w:sz w:val="19"/>
          <w:szCs w:val="19"/>
        </w:rPr>
      </w:pPr>
      <w:r w:rsidRPr="003A707B">
        <w:rPr>
          <w:rFonts w:ascii="Tahoma" w:hAnsi="Tahoma" w:cs="Tahoma"/>
          <w:color w:val="1F497D"/>
          <w:sz w:val="19"/>
          <w:szCs w:val="19"/>
        </w:rPr>
        <w:t xml:space="preserve">Požadujeme 2-portovou 10Gb síťovou kartu s rozhraním SFP+ , požadujeme podporu SR-IOV, VMware NetQueue </w:t>
      </w:r>
      <w:r>
        <w:rPr>
          <w:rFonts w:ascii="Tahoma" w:hAnsi="Tahoma" w:cs="Tahoma"/>
          <w:color w:val="1F497D"/>
          <w:sz w:val="19"/>
          <w:szCs w:val="19"/>
        </w:rPr>
        <w:t>,</w:t>
      </w:r>
      <w:r w:rsidRPr="003A707B">
        <w:rPr>
          <w:rFonts w:ascii="Tahoma" w:hAnsi="Tahoma" w:cs="Tahoma"/>
          <w:color w:val="1F497D"/>
          <w:sz w:val="19"/>
          <w:szCs w:val="19"/>
        </w:rPr>
        <w:t>Tunnel Offload pro VXLAN</w:t>
      </w:r>
      <w:r>
        <w:rPr>
          <w:rFonts w:ascii="Tahoma" w:hAnsi="Tahoma" w:cs="Tahoma"/>
          <w:color w:val="1F497D"/>
          <w:sz w:val="19"/>
          <w:szCs w:val="19"/>
        </w:rPr>
        <w:t xml:space="preserve"> </w:t>
      </w:r>
      <w:r w:rsidRPr="003A707B">
        <w:rPr>
          <w:rFonts w:ascii="Tahoma" w:hAnsi="Tahoma" w:cs="Tahoma"/>
          <w:color w:val="1F497D"/>
          <w:sz w:val="19"/>
          <w:szCs w:val="19"/>
        </w:rPr>
        <w:t xml:space="preserve">a NVGRE </w:t>
      </w:r>
      <w:r>
        <w:rPr>
          <w:rFonts w:ascii="Tahoma" w:hAnsi="Tahoma" w:cs="Tahoma"/>
          <w:color w:val="1F497D"/>
          <w:sz w:val="19"/>
          <w:szCs w:val="19"/>
        </w:rPr>
        <w:t>, RoCE v1+2</w:t>
      </w:r>
    </w:p>
    <w:p w14:paraId="4F0AA0A6" w14:textId="77777777" w:rsidR="007554C4" w:rsidRPr="003A707B" w:rsidRDefault="007554C4" w:rsidP="007554C4">
      <w:pPr>
        <w:pStyle w:val="Odstavecseseznamem"/>
        <w:numPr>
          <w:ilvl w:val="0"/>
          <w:numId w:val="31"/>
        </w:numPr>
        <w:spacing w:after="0"/>
        <w:jc w:val="left"/>
        <w:rPr>
          <w:rFonts w:ascii="Tahoma" w:hAnsi="Tahoma" w:cs="Tahoma"/>
          <w:color w:val="1F497D"/>
          <w:sz w:val="19"/>
          <w:szCs w:val="19"/>
        </w:rPr>
      </w:pPr>
      <w:r w:rsidRPr="003A707B">
        <w:rPr>
          <w:rFonts w:ascii="Tahoma" w:hAnsi="Tahoma" w:cs="Tahoma"/>
          <w:color w:val="1F497D"/>
          <w:sz w:val="19"/>
          <w:szCs w:val="19"/>
        </w:rPr>
        <w:t>Pozice pro osazení min. 24 SFF HDD s možností rozšiření až 30 SFF HDD</w:t>
      </w:r>
    </w:p>
    <w:p w14:paraId="65C1D712" w14:textId="77777777" w:rsidR="007554C4" w:rsidRPr="003A707B" w:rsidRDefault="007554C4" w:rsidP="007554C4">
      <w:pPr>
        <w:pStyle w:val="Odstavecseseznamem"/>
        <w:numPr>
          <w:ilvl w:val="0"/>
          <w:numId w:val="31"/>
        </w:numPr>
        <w:spacing w:after="0"/>
        <w:jc w:val="left"/>
        <w:rPr>
          <w:rFonts w:ascii="Tahoma" w:hAnsi="Tahoma" w:cs="Tahoma"/>
          <w:color w:val="1F497D"/>
          <w:sz w:val="19"/>
          <w:szCs w:val="19"/>
        </w:rPr>
      </w:pPr>
      <w:r w:rsidRPr="003A707B">
        <w:rPr>
          <w:rFonts w:ascii="Tahoma" w:hAnsi="Tahoma" w:cs="Tahoma"/>
          <w:color w:val="1F497D"/>
          <w:sz w:val="19"/>
          <w:szCs w:val="19"/>
        </w:rPr>
        <w:t>Požadujeme možnost osazení až 20 SFF NVMe disky</w:t>
      </w:r>
    </w:p>
    <w:p w14:paraId="5864B46A" w14:textId="77777777" w:rsidR="007554C4" w:rsidRPr="003A707B" w:rsidRDefault="007554C4" w:rsidP="007554C4">
      <w:pPr>
        <w:pStyle w:val="Odstavecseseznamem"/>
        <w:numPr>
          <w:ilvl w:val="0"/>
          <w:numId w:val="31"/>
        </w:numPr>
        <w:spacing w:after="0"/>
        <w:jc w:val="left"/>
        <w:rPr>
          <w:rFonts w:ascii="Tahoma" w:hAnsi="Tahoma" w:cs="Tahoma"/>
          <w:color w:val="1F497D"/>
          <w:sz w:val="19"/>
          <w:szCs w:val="19"/>
        </w:rPr>
      </w:pPr>
      <w:r w:rsidRPr="003A707B">
        <w:rPr>
          <w:rFonts w:ascii="Tahoma" w:hAnsi="Tahoma" w:cs="Tahoma"/>
          <w:color w:val="1F497D"/>
          <w:sz w:val="19"/>
          <w:szCs w:val="19"/>
        </w:rPr>
        <w:t>Disky musí mít rámečky vybaveny indikátorem proti vytažení disku, které by znamenalo nedostupnost RAID LUNu nebo musí být takový disk proti případnému vytažení blokován</w:t>
      </w:r>
    </w:p>
    <w:p w14:paraId="2A6A2F69" w14:textId="77777777" w:rsidR="007554C4" w:rsidRPr="003A707B" w:rsidRDefault="007554C4" w:rsidP="007554C4">
      <w:pPr>
        <w:pStyle w:val="Odstavecseseznamem"/>
        <w:numPr>
          <w:ilvl w:val="0"/>
          <w:numId w:val="31"/>
        </w:numPr>
        <w:spacing w:after="0"/>
        <w:jc w:val="left"/>
        <w:rPr>
          <w:rFonts w:ascii="Tahoma" w:hAnsi="Tahoma" w:cs="Tahoma"/>
          <w:color w:val="1F497D"/>
          <w:sz w:val="19"/>
          <w:szCs w:val="19"/>
        </w:rPr>
      </w:pPr>
      <w:r w:rsidRPr="003A707B">
        <w:rPr>
          <w:rFonts w:ascii="Tahoma" w:hAnsi="Tahoma" w:cs="Tahoma"/>
          <w:color w:val="1F497D"/>
          <w:sz w:val="19"/>
          <w:szCs w:val="19"/>
        </w:rPr>
        <w:t xml:space="preserve">Požadujeme 12Gb SAS RAID řadič nezabírající místo v PCI-e slotech s podporou RAID 0/1/5/6/10/50/60, minimálně 2GB zálohované cache, podpora min. 230 HDD a min. 64 logických disků, </w:t>
      </w:r>
    </w:p>
    <w:p w14:paraId="46A98E02" w14:textId="77777777" w:rsidR="007554C4" w:rsidRPr="003A707B" w:rsidRDefault="007554C4" w:rsidP="007554C4">
      <w:pPr>
        <w:pStyle w:val="Odstavecseseznamem"/>
        <w:numPr>
          <w:ilvl w:val="0"/>
          <w:numId w:val="31"/>
        </w:numPr>
        <w:spacing w:after="0"/>
        <w:jc w:val="left"/>
        <w:rPr>
          <w:rFonts w:ascii="Tahoma" w:hAnsi="Tahoma" w:cs="Tahoma"/>
          <w:color w:val="1F497D"/>
          <w:sz w:val="19"/>
          <w:szCs w:val="19"/>
        </w:rPr>
      </w:pPr>
      <w:r w:rsidRPr="003A707B">
        <w:rPr>
          <w:rFonts w:ascii="Tahoma" w:hAnsi="Tahoma" w:cs="Tahoma"/>
          <w:color w:val="1F497D"/>
          <w:sz w:val="19"/>
          <w:szCs w:val="19"/>
        </w:rPr>
        <w:t>Požadujeme dodávku baterie která zajistí zapsání dat z DRAM části cache RAID řadiče do flash paměti zajišťující ochranu nezapsaných dat po neomezeně dlouhou dobu</w:t>
      </w:r>
    </w:p>
    <w:p w14:paraId="71B9CBC6" w14:textId="77777777" w:rsidR="007554C4" w:rsidRPr="003A707B" w:rsidRDefault="007554C4" w:rsidP="007554C4">
      <w:pPr>
        <w:pStyle w:val="Odstavecseseznamem"/>
        <w:numPr>
          <w:ilvl w:val="0"/>
          <w:numId w:val="31"/>
        </w:numPr>
        <w:spacing w:after="0"/>
        <w:jc w:val="left"/>
        <w:rPr>
          <w:rFonts w:ascii="Tahoma" w:hAnsi="Tahoma" w:cs="Tahoma"/>
          <w:color w:val="1F497D"/>
          <w:sz w:val="19"/>
          <w:szCs w:val="19"/>
        </w:rPr>
      </w:pPr>
      <w:r w:rsidRPr="003A707B">
        <w:rPr>
          <w:rFonts w:ascii="Tahoma" w:hAnsi="Tahoma" w:cs="Tahoma"/>
          <w:color w:val="1F497D"/>
          <w:sz w:val="19"/>
          <w:szCs w:val="19"/>
        </w:rPr>
        <w:t xml:space="preserve">Požadujeme dodávku baterie která zajistí zapsání dat z DRAM části NVDIMM do flash oblasti NVDIMM v případě výpadku napájení </w:t>
      </w:r>
    </w:p>
    <w:p w14:paraId="7FCB5E17" w14:textId="77777777" w:rsidR="007554C4" w:rsidRPr="003A707B" w:rsidRDefault="007554C4" w:rsidP="007554C4">
      <w:pPr>
        <w:pStyle w:val="Odstavecseseznamem"/>
        <w:numPr>
          <w:ilvl w:val="0"/>
          <w:numId w:val="31"/>
        </w:numPr>
        <w:spacing w:after="0"/>
        <w:jc w:val="left"/>
        <w:rPr>
          <w:rFonts w:ascii="Tahoma" w:hAnsi="Tahoma" w:cs="Tahoma"/>
          <w:color w:val="1F497D"/>
          <w:sz w:val="19"/>
          <w:szCs w:val="19"/>
        </w:rPr>
      </w:pPr>
      <w:r w:rsidRPr="003A707B">
        <w:rPr>
          <w:rFonts w:ascii="Tahoma" w:hAnsi="Tahoma" w:cs="Tahoma"/>
          <w:color w:val="1F497D"/>
          <w:sz w:val="19"/>
          <w:szCs w:val="19"/>
        </w:rPr>
        <w:t>RAID řadič musí umožnit současný provoz v RAID i HBA módu, podpora Microsoft Storage Spaces, podpora VMware vSAN</w:t>
      </w:r>
    </w:p>
    <w:p w14:paraId="37E59F9A" w14:textId="77777777" w:rsidR="007554C4" w:rsidRPr="003A707B" w:rsidRDefault="007554C4" w:rsidP="007554C4">
      <w:pPr>
        <w:pStyle w:val="Odstavecseseznamem"/>
        <w:numPr>
          <w:ilvl w:val="0"/>
          <w:numId w:val="31"/>
        </w:numPr>
        <w:spacing w:after="0"/>
        <w:jc w:val="left"/>
        <w:rPr>
          <w:rFonts w:ascii="Tahoma" w:hAnsi="Tahoma" w:cs="Tahoma"/>
          <w:color w:val="1F497D"/>
          <w:sz w:val="19"/>
          <w:szCs w:val="19"/>
          <w:lang w:val="en-US"/>
        </w:rPr>
      </w:pPr>
      <w:r w:rsidRPr="003A707B">
        <w:rPr>
          <w:rFonts w:ascii="Tahoma" w:hAnsi="Tahoma" w:cs="Tahoma"/>
          <w:color w:val="1F497D"/>
          <w:sz w:val="19"/>
          <w:szCs w:val="19"/>
        </w:rPr>
        <w:t xml:space="preserve">RAID řadič musí volitelně umožnit šifrování dat na standartních HDD </w:t>
      </w:r>
      <w:r w:rsidRPr="003A707B">
        <w:rPr>
          <w:rFonts w:ascii="Tahoma" w:hAnsi="Tahoma" w:cs="Tahoma"/>
          <w:color w:val="1F497D"/>
          <w:sz w:val="19"/>
          <w:szCs w:val="19"/>
          <w:lang w:val="en-US"/>
        </w:rPr>
        <w:t>(s rozhraním SAS a SATA)</w:t>
      </w:r>
    </w:p>
    <w:p w14:paraId="7F28AB89" w14:textId="77777777" w:rsidR="007554C4" w:rsidRPr="003A707B" w:rsidRDefault="007554C4" w:rsidP="007554C4">
      <w:pPr>
        <w:pStyle w:val="Odstavecseseznamem"/>
        <w:numPr>
          <w:ilvl w:val="0"/>
          <w:numId w:val="31"/>
        </w:numPr>
        <w:spacing w:after="0"/>
        <w:jc w:val="left"/>
        <w:rPr>
          <w:rFonts w:ascii="Tahoma" w:hAnsi="Tahoma" w:cs="Tahoma"/>
          <w:color w:val="1F497D"/>
          <w:sz w:val="19"/>
          <w:szCs w:val="19"/>
          <w:lang w:val="en-US"/>
        </w:rPr>
      </w:pPr>
      <w:r w:rsidRPr="003A707B">
        <w:rPr>
          <w:rFonts w:ascii="Tahoma" w:hAnsi="Tahoma" w:cs="Tahoma"/>
          <w:color w:val="1F497D"/>
          <w:sz w:val="19"/>
          <w:szCs w:val="19"/>
          <w:lang w:val="en-US"/>
        </w:rPr>
        <w:t xml:space="preserve">Funkce šifrování musí umožňovat lokální i centrální uložení šifrovacích klíčů </w:t>
      </w:r>
    </w:p>
    <w:p w14:paraId="5649A9BE" w14:textId="77777777" w:rsidR="007554C4" w:rsidRPr="003A707B" w:rsidRDefault="007554C4" w:rsidP="007554C4">
      <w:pPr>
        <w:pStyle w:val="Odstavecseseznamem"/>
        <w:numPr>
          <w:ilvl w:val="0"/>
          <w:numId w:val="31"/>
        </w:numPr>
        <w:spacing w:after="0"/>
        <w:jc w:val="left"/>
        <w:rPr>
          <w:rFonts w:ascii="Tahoma" w:hAnsi="Tahoma" w:cs="Tahoma"/>
          <w:color w:val="1F497D"/>
          <w:sz w:val="19"/>
          <w:szCs w:val="19"/>
          <w:lang w:val="en-US"/>
        </w:rPr>
      </w:pPr>
      <w:r w:rsidRPr="003A707B">
        <w:rPr>
          <w:rFonts w:ascii="Tahoma" w:hAnsi="Tahoma" w:cs="Tahoma"/>
          <w:color w:val="1F497D"/>
          <w:sz w:val="19"/>
          <w:szCs w:val="19"/>
          <w:lang w:val="en-US"/>
        </w:rPr>
        <w:t>RAID řadič musí volitelně umožňovat rozšíření cache o SSD oblast</w:t>
      </w:r>
    </w:p>
    <w:p w14:paraId="6301CB58" w14:textId="77777777" w:rsidR="007554C4" w:rsidRPr="003A707B" w:rsidRDefault="007554C4" w:rsidP="007554C4">
      <w:pPr>
        <w:pStyle w:val="Odstavecseseznamem"/>
        <w:numPr>
          <w:ilvl w:val="0"/>
          <w:numId w:val="31"/>
        </w:numPr>
        <w:spacing w:after="0"/>
        <w:jc w:val="left"/>
        <w:rPr>
          <w:rFonts w:ascii="Tahoma" w:hAnsi="Tahoma" w:cs="Tahoma"/>
          <w:color w:val="1F497D"/>
          <w:sz w:val="19"/>
          <w:szCs w:val="19"/>
          <w:lang w:val="en-US"/>
        </w:rPr>
      </w:pPr>
      <w:r w:rsidRPr="003A707B">
        <w:rPr>
          <w:rFonts w:ascii="Tahoma" w:hAnsi="Tahoma" w:cs="Tahoma"/>
          <w:color w:val="1F497D"/>
          <w:sz w:val="19"/>
          <w:szCs w:val="19"/>
        </w:rPr>
        <w:t xml:space="preserve">Požadujeme 2ks za chodu vyměnitelných SSD HDD </w:t>
      </w:r>
      <w:r w:rsidRPr="003A707B">
        <w:rPr>
          <w:rFonts w:ascii="Tahoma" w:hAnsi="Tahoma" w:cs="Tahoma"/>
          <w:color w:val="1F497D"/>
          <w:sz w:val="19"/>
          <w:szCs w:val="19"/>
          <w:lang w:val="en-US"/>
        </w:rPr>
        <w:t>o kapacitě 240GB</w:t>
      </w:r>
    </w:p>
    <w:p w14:paraId="56E2C955" w14:textId="77777777" w:rsidR="007554C4" w:rsidRDefault="007554C4" w:rsidP="007554C4">
      <w:pPr>
        <w:pStyle w:val="Odstavecseseznamem"/>
        <w:numPr>
          <w:ilvl w:val="0"/>
          <w:numId w:val="31"/>
        </w:numPr>
        <w:spacing w:after="0"/>
        <w:jc w:val="left"/>
        <w:rPr>
          <w:rFonts w:ascii="Tahoma" w:hAnsi="Tahoma" w:cs="Tahoma"/>
          <w:color w:val="1F497D"/>
          <w:sz w:val="19"/>
          <w:szCs w:val="19"/>
          <w:lang w:val="en-US"/>
        </w:rPr>
      </w:pPr>
      <w:r w:rsidRPr="003A707B">
        <w:rPr>
          <w:rFonts w:ascii="Tahoma" w:hAnsi="Tahoma" w:cs="Tahoma"/>
          <w:color w:val="1F497D"/>
          <w:sz w:val="19"/>
          <w:szCs w:val="19"/>
        </w:rPr>
        <w:t xml:space="preserve">Požadujeme 12ks za chodu vyměnitelných HDD </w:t>
      </w:r>
      <w:r w:rsidRPr="003A707B">
        <w:rPr>
          <w:rFonts w:ascii="Tahoma" w:hAnsi="Tahoma" w:cs="Tahoma"/>
          <w:color w:val="1F497D"/>
          <w:sz w:val="19"/>
          <w:szCs w:val="19"/>
          <w:lang w:val="en-US"/>
        </w:rPr>
        <w:t>o kapacitě 2.4GB , rozhraní SAS 12Gb , 10tis. Otáček</w:t>
      </w:r>
    </w:p>
    <w:p w14:paraId="55529DF7" w14:textId="77777777" w:rsidR="007554C4" w:rsidRPr="00ED7520" w:rsidRDefault="007554C4" w:rsidP="007554C4">
      <w:pPr>
        <w:pStyle w:val="Odstavecseseznamem"/>
        <w:numPr>
          <w:ilvl w:val="0"/>
          <w:numId w:val="31"/>
        </w:numPr>
        <w:spacing w:after="0"/>
        <w:jc w:val="left"/>
        <w:rPr>
          <w:rFonts w:ascii="Tahoma" w:hAnsi="Tahoma" w:cs="Tahoma"/>
          <w:color w:val="1F497D"/>
          <w:sz w:val="19"/>
          <w:szCs w:val="19"/>
          <w:lang w:val="en-US"/>
        </w:rPr>
      </w:pPr>
      <w:r w:rsidRPr="00ED7520">
        <w:rPr>
          <w:rFonts w:ascii="Tahoma" w:hAnsi="Tahoma" w:cs="Tahoma"/>
          <w:color w:val="1F497D"/>
          <w:sz w:val="19"/>
          <w:szCs w:val="19"/>
          <w:lang w:val="en-US"/>
        </w:rPr>
        <w:t>Podpora UEFI Secure Boot</w:t>
      </w:r>
    </w:p>
    <w:p w14:paraId="5D82EFA2" w14:textId="77777777" w:rsidR="007554C4" w:rsidRPr="00ED7520" w:rsidRDefault="007554C4" w:rsidP="007554C4">
      <w:pPr>
        <w:pStyle w:val="Odstavecseseznamem"/>
        <w:numPr>
          <w:ilvl w:val="0"/>
          <w:numId w:val="31"/>
        </w:numPr>
        <w:spacing w:after="0"/>
        <w:jc w:val="left"/>
        <w:rPr>
          <w:rFonts w:ascii="Tahoma" w:hAnsi="Tahoma" w:cs="Tahoma"/>
          <w:color w:val="1F497D"/>
          <w:sz w:val="19"/>
          <w:szCs w:val="19"/>
          <w:lang w:val="en-US"/>
        </w:rPr>
      </w:pPr>
      <w:r w:rsidRPr="00ED7520">
        <w:rPr>
          <w:rFonts w:ascii="Tahoma" w:hAnsi="Tahoma" w:cs="Tahoma"/>
          <w:color w:val="1F497D"/>
          <w:sz w:val="19"/>
          <w:szCs w:val="19"/>
          <w:lang w:val="en-US"/>
        </w:rPr>
        <w:t>Podpora pro NVMe boot</w:t>
      </w:r>
    </w:p>
    <w:p w14:paraId="03301111" w14:textId="77777777" w:rsidR="007554C4" w:rsidRPr="00ED7520" w:rsidRDefault="007554C4" w:rsidP="007554C4">
      <w:pPr>
        <w:pStyle w:val="Odstavecseseznamem"/>
        <w:numPr>
          <w:ilvl w:val="0"/>
          <w:numId w:val="31"/>
        </w:numPr>
        <w:spacing w:after="0"/>
        <w:jc w:val="left"/>
        <w:rPr>
          <w:rFonts w:ascii="Tahoma" w:hAnsi="Tahoma" w:cs="Tahoma"/>
          <w:color w:val="1F497D"/>
          <w:sz w:val="19"/>
          <w:szCs w:val="19"/>
          <w:lang w:val="en-US"/>
        </w:rPr>
      </w:pPr>
      <w:r w:rsidRPr="00ED7520">
        <w:rPr>
          <w:rFonts w:ascii="Tahoma" w:hAnsi="Tahoma" w:cs="Tahoma"/>
          <w:color w:val="1F497D"/>
          <w:sz w:val="19"/>
          <w:szCs w:val="19"/>
          <w:lang w:val="en-US"/>
        </w:rPr>
        <w:t>Podpora pro PXE boot IPv4</w:t>
      </w:r>
    </w:p>
    <w:p w14:paraId="660B6C46" w14:textId="77777777" w:rsidR="007554C4" w:rsidRPr="00ED7520" w:rsidRDefault="007554C4" w:rsidP="007554C4">
      <w:pPr>
        <w:pStyle w:val="Odstavecseseznamem"/>
        <w:numPr>
          <w:ilvl w:val="0"/>
          <w:numId w:val="31"/>
        </w:numPr>
        <w:spacing w:after="0"/>
        <w:jc w:val="left"/>
        <w:rPr>
          <w:rFonts w:ascii="Tahoma" w:hAnsi="Tahoma" w:cs="Tahoma"/>
          <w:color w:val="1F497D"/>
          <w:sz w:val="19"/>
          <w:szCs w:val="19"/>
          <w:lang w:val="en-US"/>
        </w:rPr>
      </w:pPr>
      <w:r w:rsidRPr="00ED7520">
        <w:rPr>
          <w:rFonts w:ascii="Tahoma" w:hAnsi="Tahoma" w:cs="Tahoma"/>
          <w:color w:val="1F497D"/>
          <w:sz w:val="19"/>
          <w:szCs w:val="19"/>
          <w:lang w:val="en-US"/>
        </w:rPr>
        <w:t>Podpora pro PXE boot IPv6</w:t>
      </w:r>
    </w:p>
    <w:p w14:paraId="5F45B4FD" w14:textId="77777777" w:rsidR="007554C4" w:rsidRPr="00ED7520" w:rsidRDefault="007554C4" w:rsidP="007554C4">
      <w:pPr>
        <w:pStyle w:val="Odstavecseseznamem"/>
        <w:numPr>
          <w:ilvl w:val="0"/>
          <w:numId w:val="31"/>
        </w:numPr>
        <w:spacing w:after="0"/>
        <w:jc w:val="left"/>
        <w:rPr>
          <w:rFonts w:ascii="Tahoma" w:hAnsi="Tahoma" w:cs="Tahoma"/>
          <w:color w:val="1F497D"/>
          <w:sz w:val="19"/>
          <w:szCs w:val="19"/>
          <w:lang w:val="en-US"/>
        </w:rPr>
      </w:pPr>
      <w:r w:rsidRPr="00ED7520">
        <w:rPr>
          <w:rFonts w:ascii="Tahoma" w:hAnsi="Tahoma" w:cs="Tahoma"/>
          <w:color w:val="1F497D"/>
          <w:sz w:val="19"/>
          <w:szCs w:val="19"/>
          <w:lang w:val="en-US"/>
        </w:rPr>
        <w:t>Podpora pro HTTP/HTTPS boot</w:t>
      </w:r>
    </w:p>
    <w:p w14:paraId="103D2C8C" w14:textId="77777777" w:rsidR="007554C4" w:rsidRPr="00ED7520" w:rsidRDefault="007554C4" w:rsidP="007554C4">
      <w:pPr>
        <w:pStyle w:val="Odstavecseseznamem"/>
        <w:numPr>
          <w:ilvl w:val="0"/>
          <w:numId w:val="31"/>
        </w:numPr>
        <w:spacing w:after="0"/>
        <w:jc w:val="left"/>
        <w:rPr>
          <w:rFonts w:ascii="Tahoma" w:hAnsi="Tahoma" w:cs="Tahoma"/>
          <w:color w:val="1F497D"/>
          <w:sz w:val="19"/>
          <w:szCs w:val="19"/>
          <w:lang w:val="en-US"/>
        </w:rPr>
      </w:pPr>
      <w:r w:rsidRPr="00ED7520">
        <w:rPr>
          <w:rFonts w:ascii="Tahoma" w:hAnsi="Tahoma" w:cs="Tahoma"/>
          <w:color w:val="1F497D"/>
          <w:sz w:val="19"/>
          <w:szCs w:val="19"/>
          <w:lang w:val="en-US"/>
        </w:rPr>
        <w:t>Integrovaný nezávislý procesor pro vzdálenou správu umožňující :</w:t>
      </w:r>
    </w:p>
    <w:p w14:paraId="15E2BA26" w14:textId="77777777" w:rsidR="007554C4" w:rsidRPr="00ED7520" w:rsidRDefault="007554C4" w:rsidP="007554C4">
      <w:pPr>
        <w:pStyle w:val="Odstavecseseznamem"/>
        <w:numPr>
          <w:ilvl w:val="1"/>
          <w:numId w:val="31"/>
        </w:numPr>
        <w:spacing w:after="0"/>
        <w:jc w:val="left"/>
        <w:rPr>
          <w:rFonts w:ascii="Tahoma" w:hAnsi="Tahoma" w:cs="Tahoma"/>
          <w:color w:val="1F497D"/>
          <w:sz w:val="19"/>
          <w:szCs w:val="19"/>
          <w:lang w:val="en-US"/>
        </w:rPr>
      </w:pPr>
      <w:r w:rsidRPr="00ED7520">
        <w:rPr>
          <w:rFonts w:ascii="Tahoma" w:hAnsi="Tahoma" w:cs="Tahoma"/>
          <w:color w:val="1F497D"/>
          <w:sz w:val="19"/>
          <w:szCs w:val="19"/>
          <w:lang w:val="en-US"/>
        </w:rPr>
        <w:t>Řízení přístupových práv k centrální části SW a k management nástrojům pomocí účtů Active Directory domény, dvoufaktorová autentizace uživatele PINem a certifikátem</w:t>
      </w:r>
    </w:p>
    <w:p w14:paraId="360BFBA1" w14:textId="77777777" w:rsidR="007554C4" w:rsidRPr="00ED7520" w:rsidRDefault="007554C4" w:rsidP="007554C4">
      <w:pPr>
        <w:pStyle w:val="Odstavecseseznamem"/>
        <w:numPr>
          <w:ilvl w:val="1"/>
          <w:numId w:val="31"/>
        </w:numPr>
        <w:spacing w:after="0"/>
        <w:jc w:val="left"/>
        <w:rPr>
          <w:rFonts w:ascii="Tahoma" w:hAnsi="Tahoma" w:cs="Tahoma"/>
          <w:color w:val="1F497D"/>
          <w:sz w:val="19"/>
          <w:szCs w:val="19"/>
          <w:lang w:val="en-US"/>
        </w:rPr>
      </w:pPr>
      <w:r w:rsidRPr="00ED7520">
        <w:rPr>
          <w:rFonts w:ascii="Tahoma" w:hAnsi="Tahoma" w:cs="Tahoma"/>
          <w:color w:val="1F497D"/>
          <w:sz w:val="19"/>
          <w:szCs w:val="19"/>
          <w:lang w:val="en-US"/>
        </w:rPr>
        <w:t>Virtuální KVM (tj. převzetí textové i grafické konsole serveru a zajištění přenosu povelů z klávesnice a myši vzdáleného počítače), včetně možnosti sdílení až čtyřmi uživateli současně u plně grafické konsole</w:t>
      </w:r>
    </w:p>
    <w:p w14:paraId="04C10F55" w14:textId="77777777" w:rsidR="007554C4" w:rsidRPr="00ED7520" w:rsidRDefault="007554C4" w:rsidP="007554C4">
      <w:pPr>
        <w:pStyle w:val="Odstavecseseznamem"/>
        <w:numPr>
          <w:ilvl w:val="1"/>
          <w:numId w:val="31"/>
        </w:numPr>
        <w:spacing w:after="0"/>
        <w:jc w:val="left"/>
        <w:rPr>
          <w:rFonts w:ascii="Tahoma" w:hAnsi="Tahoma" w:cs="Tahoma"/>
          <w:color w:val="1F497D"/>
          <w:sz w:val="19"/>
          <w:szCs w:val="19"/>
          <w:lang w:val="en-US"/>
        </w:rPr>
      </w:pPr>
      <w:r w:rsidRPr="00ED7520">
        <w:rPr>
          <w:rFonts w:ascii="Tahoma" w:hAnsi="Tahoma" w:cs="Tahoma"/>
          <w:color w:val="1F497D"/>
          <w:sz w:val="19"/>
          <w:szCs w:val="19"/>
          <w:lang w:val="en-US"/>
        </w:rPr>
        <w:t>Vzdálená grafická konsole s rozlišením min. 1600x1200</w:t>
      </w:r>
    </w:p>
    <w:p w14:paraId="7D75DA0F" w14:textId="77777777" w:rsidR="007554C4" w:rsidRPr="00ED7520" w:rsidRDefault="007554C4" w:rsidP="007554C4">
      <w:pPr>
        <w:pStyle w:val="Odstavecseseznamem"/>
        <w:numPr>
          <w:ilvl w:val="1"/>
          <w:numId w:val="31"/>
        </w:numPr>
        <w:spacing w:after="0"/>
        <w:jc w:val="left"/>
        <w:rPr>
          <w:rFonts w:ascii="Tahoma" w:hAnsi="Tahoma" w:cs="Tahoma"/>
          <w:color w:val="1F497D"/>
          <w:sz w:val="19"/>
          <w:szCs w:val="19"/>
          <w:lang w:val="en-US"/>
        </w:rPr>
      </w:pPr>
      <w:r w:rsidRPr="00ED7520">
        <w:rPr>
          <w:rFonts w:ascii="Tahoma" w:hAnsi="Tahoma" w:cs="Tahoma"/>
          <w:color w:val="1F497D"/>
          <w:sz w:val="19"/>
          <w:szCs w:val="19"/>
          <w:lang w:val="en-US"/>
        </w:rPr>
        <w:t>GUI v HTML5 interface s možností využití běžných www prohlížečů integrovaných v desktopovém OS pro správu serverů (IE, Firefox)</w:t>
      </w:r>
    </w:p>
    <w:p w14:paraId="2D3B7BC5" w14:textId="77777777" w:rsidR="007554C4" w:rsidRPr="00ED7520" w:rsidRDefault="007554C4" w:rsidP="007554C4">
      <w:pPr>
        <w:pStyle w:val="Odstavecseseznamem"/>
        <w:numPr>
          <w:ilvl w:val="1"/>
          <w:numId w:val="31"/>
        </w:numPr>
        <w:spacing w:after="0"/>
        <w:jc w:val="left"/>
        <w:rPr>
          <w:rFonts w:ascii="Tahoma" w:hAnsi="Tahoma" w:cs="Tahoma"/>
          <w:color w:val="1F497D"/>
          <w:sz w:val="19"/>
          <w:szCs w:val="19"/>
          <w:lang w:val="en-US"/>
        </w:rPr>
      </w:pPr>
      <w:r w:rsidRPr="00ED7520">
        <w:rPr>
          <w:rFonts w:ascii="Tahoma" w:hAnsi="Tahoma" w:cs="Tahoma"/>
          <w:color w:val="1F497D"/>
          <w:sz w:val="19"/>
          <w:szCs w:val="19"/>
          <w:lang w:val="en-US"/>
        </w:rPr>
        <w:t>Možnost přesměrování terminálových služeb Windows na dedikovaný management port</w:t>
      </w:r>
    </w:p>
    <w:p w14:paraId="5E07F407" w14:textId="77777777" w:rsidR="007554C4" w:rsidRPr="00ED7520" w:rsidRDefault="007554C4" w:rsidP="007554C4">
      <w:pPr>
        <w:pStyle w:val="Odstavecseseznamem"/>
        <w:numPr>
          <w:ilvl w:val="1"/>
          <w:numId w:val="31"/>
        </w:numPr>
        <w:spacing w:after="0"/>
        <w:jc w:val="left"/>
        <w:rPr>
          <w:rFonts w:ascii="Tahoma" w:hAnsi="Tahoma" w:cs="Tahoma"/>
          <w:color w:val="1F497D"/>
          <w:sz w:val="19"/>
          <w:szCs w:val="19"/>
          <w:lang w:val="en-US"/>
        </w:rPr>
      </w:pPr>
      <w:r w:rsidRPr="00ED7520">
        <w:rPr>
          <w:rFonts w:ascii="Tahoma" w:hAnsi="Tahoma" w:cs="Tahoma"/>
          <w:color w:val="1F497D"/>
          <w:sz w:val="19"/>
          <w:szCs w:val="19"/>
          <w:lang w:val="en-US"/>
        </w:rPr>
        <w:lastRenderedPageBreak/>
        <w:t>Možnost záznamu a následného přehrání videozáznamu chybové obrazovky a následného restartu</w:t>
      </w:r>
    </w:p>
    <w:p w14:paraId="7229AAF9" w14:textId="77777777" w:rsidR="007554C4" w:rsidRPr="00ED7520" w:rsidRDefault="007554C4" w:rsidP="007554C4">
      <w:pPr>
        <w:pStyle w:val="Odstavecseseznamem"/>
        <w:numPr>
          <w:ilvl w:val="1"/>
          <w:numId w:val="31"/>
        </w:numPr>
        <w:spacing w:after="0"/>
        <w:jc w:val="left"/>
        <w:rPr>
          <w:rFonts w:ascii="Tahoma" w:hAnsi="Tahoma" w:cs="Tahoma"/>
          <w:color w:val="1F497D"/>
          <w:sz w:val="19"/>
          <w:szCs w:val="19"/>
          <w:lang w:val="en-US"/>
        </w:rPr>
      </w:pPr>
      <w:r w:rsidRPr="00ED7520">
        <w:rPr>
          <w:rFonts w:ascii="Tahoma" w:hAnsi="Tahoma" w:cs="Tahoma"/>
          <w:color w:val="1F497D"/>
          <w:sz w:val="19"/>
          <w:szCs w:val="19"/>
          <w:lang w:val="en-US"/>
        </w:rPr>
        <w:t>Zapnutí, vypnutí a restart serveru na dálku</w:t>
      </w:r>
    </w:p>
    <w:p w14:paraId="43910B04" w14:textId="77777777" w:rsidR="007554C4" w:rsidRPr="00ED7520" w:rsidRDefault="007554C4" w:rsidP="007554C4">
      <w:pPr>
        <w:pStyle w:val="Odstavecseseznamem"/>
        <w:numPr>
          <w:ilvl w:val="2"/>
          <w:numId w:val="31"/>
        </w:numPr>
        <w:spacing w:after="0"/>
        <w:jc w:val="left"/>
        <w:rPr>
          <w:rFonts w:ascii="Tahoma" w:hAnsi="Tahoma" w:cs="Tahoma"/>
          <w:color w:val="1F497D"/>
          <w:sz w:val="19"/>
          <w:szCs w:val="19"/>
          <w:lang w:val="en-US"/>
        </w:rPr>
      </w:pPr>
      <w:r w:rsidRPr="00ED7520">
        <w:rPr>
          <w:rFonts w:ascii="Tahoma" w:hAnsi="Tahoma" w:cs="Tahoma"/>
          <w:color w:val="1F497D"/>
          <w:sz w:val="19"/>
          <w:szCs w:val="19"/>
          <w:lang w:val="en-US"/>
        </w:rPr>
        <w:t>Namapování vzdálených medií Floppy/CD, image souborů a adresářů</w:t>
      </w:r>
    </w:p>
    <w:p w14:paraId="2E607C55" w14:textId="77777777" w:rsidR="007554C4" w:rsidRPr="00ED7520" w:rsidRDefault="007554C4" w:rsidP="007554C4">
      <w:pPr>
        <w:pStyle w:val="Odstavecseseznamem"/>
        <w:numPr>
          <w:ilvl w:val="1"/>
          <w:numId w:val="31"/>
        </w:numPr>
        <w:spacing w:after="0"/>
        <w:jc w:val="left"/>
        <w:rPr>
          <w:rFonts w:ascii="Tahoma" w:hAnsi="Tahoma" w:cs="Tahoma"/>
          <w:color w:val="1F497D"/>
          <w:sz w:val="19"/>
          <w:szCs w:val="19"/>
          <w:lang w:val="en-US"/>
        </w:rPr>
      </w:pPr>
      <w:r w:rsidRPr="00ED7520">
        <w:rPr>
          <w:rFonts w:ascii="Tahoma" w:hAnsi="Tahoma" w:cs="Tahoma"/>
          <w:color w:val="1F497D"/>
          <w:sz w:val="19"/>
          <w:szCs w:val="19"/>
          <w:lang w:val="en-US"/>
        </w:rPr>
        <w:t>Kódování Advanced Encryption Standard (AES) a Triple Data Encryption Standard (3DES) pro zabezpečení komunikace s běžnými www prohlížeči</w:t>
      </w:r>
    </w:p>
    <w:p w14:paraId="468EA797" w14:textId="77777777" w:rsidR="007554C4" w:rsidRPr="00ED7520" w:rsidRDefault="007554C4" w:rsidP="007554C4">
      <w:pPr>
        <w:pStyle w:val="Odstavecseseznamem"/>
        <w:numPr>
          <w:ilvl w:val="1"/>
          <w:numId w:val="31"/>
        </w:numPr>
        <w:spacing w:after="0"/>
        <w:jc w:val="left"/>
        <w:rPr>
          <w:rFonts w:ascii="Tahoma" w:hAnsi="Tahoma" w:cs="Tahoma"/>
          <w:color w:val="1F497D"/>
          <w:sz w:val="19"/>
          <w:szCs w:val="19"/>
          <w:lang w:val="en-US"/>
        </w:rPr>
      </w:pPr>
      <w:r w:rsidRPr="00ED7520">
        <w:rPr>
          <w:rFonts w:ascii="Tahoma" w:hAnsi="Tahoma" w:cs="Tahoma"/>
          <w:color w:val="1F497D"/>
          <w:sz w:val="19"/>
          <w:szCs w:val="19"/>
          <w:lang w:val="en-US"/>
        </w:rPr>
        <w:t>RESTful API rozhraní pro skriptování</w:t>
      </w:r>
    </w:p>
    <w:p w14:paraId="69C0161B" w14:textId="77777777" w:rsidR="007554C4" w:rsidRPr="00ED7520" w:rsidRDefault="007554C4" w:rsidP="007554C4">
      <w:pPr>
        <w:pStyle w:val="Odstavecseseznamem"/>
        <w:numPr>
          <w:ilvl w:val="1"/>
          <w:numId w:val="31"/>
        </w:numPr>
        <w:spacing w:after="0"/>
        <w:jc w:val="left"/>
        <w:rPr>
          <w:rFonts w:ascii="Tahoma" w:hAnsi="Tahoma" w:cs="Tahoma"/>
          <w:color w:val="1F497D"/>
          <w:sz w:val="19"/>
          <w:szCs w:val="19"/>
          <w:lang w:val="en-US"/>
        </w:rPr>
      </w:pPr>
      <w:r w:rsidRPr="00ED7520">
        <w:rPr>
          <w:rFonts w:ascii="Tahoma" w:hAnsi="Tahoma" w:cs="Tahoma"/>
          <w:color w:val="1F497D"/>
          <w:sz w:val="19"/>
          <w:szCs w:val="19"/>
          <w:lang w:val="en-US"/>
        </w:rPr>
        <w:t>Možnost detekce otevření chassis serveru</w:t>
      </w:r>
    </w:p>
    <w:p w14:paraId="091D0A3D" w14:textId="77777777" w:rsidR="007554C4" w:rsidRPr="00ED7520" w:rsidRDefault="007554C4" w:rsidP="007554C4">
      <w:pPr>
        <w:pStyle w:val="Odstavecseseznamem"/>
        <w:numPr>
          <w:ilvl w:val="1"/>
          <w:numId w:val="31"/>
        </w:numPr>
        <w:spacing w:after="0"/>
        <w:jc w:val="left"/>
        <w:rPr>
          <w:rFonts w:ascii="Tahoma" w:hAnsi="Tahoma" w:cs="Tahoma"/>
          <w:color w:val="1F497D"/>
          <w:sz w:val="19"/>
          <w:szCs w:val="19"/>
          <w:lang w:val="en-US"/>
        </w:rPr>
      </w:pPr>
      <w:r w:rsidRPr="00ED7520">
        <w:rPr>
          <w:rFonts w:ascii="Tahoma" w:hAnsi="Tahoma" w:cs="Tahoma"/>
          <w:color w:val="1F497D"/>
          <w:sz w:val="19"/>
          <w:szCs w:val="19"/>
          <w:lang w:val="en-US"/>
        </w:rPr>
        <w:t>Musí umožňovat stabilizaci nežádoucích fluktuací frekvence procesoru mezi nativní a Turbo frekvencí</w:t>
      </w:r>
    </w:p>
    <w:p w14:paraId="3A1E8660" w14:textId="77777777" w:rsidR="007554C4" w:rsidRPr="00ED7520" w:rsidRDefault="007554C4" w:rsidP="007554C4">
      <w:pPr>
        <w:pStyle w:val="Odstavecseseznamem"/>
        <w:numPr>
          <w:ilvl w:val="1"/>
          <w:numId w:val="31"/>
        </w:numPr>
        <w:spacing w:after="0"/>
        <w:jc w:val="left"/>
        <w:rPr>
          <w:rFonts w:ascii="Tahoma" w:hAnsi="Tahoma" w:cs="Tahoma"/>
          <w:color w:val="1F497D"/>
          <w:sz w:val="19"/>
          <w:szCs w:val="19"/>
          <w:lang w:val="en-US"/>
        </w:rPr>
      </w:pPr>
      <w:r w:rsidRPr="00ED7520">
        <w:rPr>
          <w:rFonts w:ascii="Tahoma" w:hAnsi="Tahoma" w:cs="Tahoma"/>
          <w:color w:val="1F497D"/>
          <w:sz w:val="19"/>
          <w:szCs w:val="19"/>
          <w:lang w:val="en-US"/>
        </w:rPr>
        <w:t>Musí umožňovat optimalizaci výkonu serveru v závislosti na zvoleném druhu zátěže</w:t>
      </w:r>
    </w:p>
    <w:p w14:paraId="4015DDE7" w14:textId="77777777" w:rsidR="007554C4" w:rsidRPr="00ED7520" w:rsidRDefault="007554C4" w:rsidP="007554C4">
      <w:pPr>
        <w:pStyle w:val="Odstavecseseznamem"/>
        <w:numPr>
          <w:ilvl w:val="1"/>
          <w:numId w:val="31"/>
        </w:numPr>
        <w:spacing w:after="0"/>
        <w:jc w:val="left"/>
        <w:rPr>
          <w:rFonts w:ascii="Tahoma" w:hAnsi="Tahoma" w:cs="Tahoma"/>
          <w:color w:val="1F497D"/>
          <w:sz w:val="19"/>
          <w:szCs w:val="19"/>
          <w:lang w:val="en-US"/>
        </w:rPr>
      </w:pPr>
      <w:r w:rsidRPr="00ED7520">
        <w:rPr>
          <w:rFonts w:ascii="Tahoma" w:hAnsi="Tahoma" w:cs="Tahoma"/>
          <w:color w:val="1F497D"/>
          <w:sz w:val="19"/>
          <w:szCs w:val="19"/>
          <w:lang w:val="en-US"/>
        </w:rPr>
        <w:t>Možnost nastavit sdílenou komunikaci pro správu celého systému přes standardní integrovaný Ethernet port s možností využití technologie VPN</w:t>
      </w:r>
    </w:p>
    <w:p w14:paraId="21EEB645" w14:textId="77777777" w:rsidR="007554C4" w:rsidRPr="00ED7520" w:rsidRDefault="007554C4" w:rsidP="007554C4">
      <w:pPr>
        <w:pStyle w:val="Odstavecseseznamem"/>
        <w:numPr>
          <w:ilvl w:val="1"/>
          <w:numId w:val="31"/>
        </w:numPr>
        <w:spacing w:after="0"/>
        <w:jc w:val="left"/>
        <w:rPr>
          <w:rFonts w:ascii="Tahoma" w:hAnsi="Tahoma" w:cs="Tahoma"/>
          <w:color w:val="1F497D"/>
          <w:sz w:val="19"/>
          <w:szCs w:val="19"/>
          <w:lang w:val="en-US"/>
        </w:rPr>
      </w:pPr>
      <w:r w:rsidRPr="00ED7520">
        <w:rPr>
          <w:rFonts w:ascii="Tahoma" w:hAnsi="Tahoma" w:cs="Tahoma"/>
          <w:color w:val="1F497D"/>
          <w:sz w:val="19"/>
          <w:szCs w:val="19"/>
          <w:lang w:val="en-US"/>
        </w:rPr>
        <w:t>Možnost zasílání proaktivních hlášení o možných chybách v systému pomocí SNMP v3 a také na uživatelsky definovanou emailovou adresu</w:t>
      </w:r>
    </w:p>
    <w:p w14:paraId="5DD33641" w14:textId="77777777" w:rsidR="007554C4" w:rsidRPr="00ED7520" w:rsidRDefault="007554C4" w:rsidP="007554C4">
      <w:pPr>
        <w:pStyle w:val="Odstavecseseznamem"/>
        <w:numPr>
          <w:ilvl w:val="1"/>
          <w:numId w:val="31"/>
        </w:numPr>
        <w:spacing w:after="0"/>
        <w:jc w:val="left"/>
        <w:rPr>
          <w:rFonts w:ascii="Tahoma" w:hAnsi="Tahoma" w:cs="Tahoma"/>
          <w:color w:val="1F497D"/>
          <w:sz w:val="19"/>
          <w:szCs w:val="19"/>
          <w:lang w:val="en-US"/>
        </w:rPr>
      </w:pPr>
      <w:r w:rsidRPr="00ED7520">
        <w:rPr>
          <w:rFonts w:ascii="Tahoma" w:hAnsi="Tahoma" w:cs="Tahoma"/>
          <w:color w:val="1F497D"/>
          <w:sz w:val="19"/>
          <w:szCs w:val="19"/>
          <w:lang w:val="en-US"/>
        </w:rPr>
        <w:t>Monitorování okamžité teploty a záznam hodnot do lokální db</w:t>
      </w:r>
    </w:p>
    <w:p w14:paraId="0AD53681" w14:textId="77777777" w:rsidR="007554C4" w:rsidRPr="00ED7520" w:rsidRDefault="007554C4" w:rsidP="007554C4">
      <w:pPr>
        <w:pStyle w:val="Odstavecseseznamem"/>
        <w:numPr>
          <w:ilvl w:val="1"/>
          <w:numId w:val="31"/>
        </w:numPr>
        <w:spacing w:after="0"/>
        <w:jc w:val="left"/>
        <w:rPr>
          <w:rFonts w:ascii="Tahoma" w:hAnsi="Tahoma" w:cs="Tahoma"/>
          <w:color w:val="1F497D"/>
          <w:sz w:val="19"/>
          <w:szCs w:val="19"/>
          <w:lang w:val="en-US"/>
        </w:rPr>
      </w:pPr>
      <w:r w:rsidRPr="00ED7520">
        <w:rPr>
          <w:rFonts w:ascii="Tahoma" w:hAnsi="Tahoma" w:cs="Tahoma"/>
          <w:color w:val="1F497D"/>
          <w:sz w:val="19"/>
          <w:szCs w:val="19"/>
          <w:lang w:val="en-US"/>
        </w:rPr>
        <w:t>Možnost skupinové správy všech poptávaných serverů prostřednictvím jedné servisní konzole</w:t>
      </w:r>
    </w:p>
    <w:p w14:paraId="3098B301" w14:textId="77777777" w:rsidR="007554C4" w:rsidRPr="00ED7520" w:rsidRDefault="007554C4" w:rsidP="007554C4">
      <w:pPr>
        <w:pStyle w:val="Odstavecseseznamem"/>
        <w:numPr>
          <w:ilvl w:val="1"/>
          <w:numId w:val="31"/>
        </w:numPr>
        <w:spacing w:after="0"/>
        <w:jc w:val="left"/>
        <w:rPr>
          <w:rFonts w:ascii="Tahoma" w:hAnsi="Tahoma" w:cs="Tahoma"/>
          <w:color w:val="1F497D"/>
          <w:sz w:val="19"/>
          <w:szCs w:val="19"/>
          <w:lang w:val="en-US"/>
        </w:rPr>
      </w:pPr>
      <w:r w:rsidRPr="00ED7520">
        <w:rPr>
          <w:rFonts w:ascii="Tahoma" w:hAnsi="Tahoma" w:cs="Tahoma"/>
          <w:color w:val="1F497D"/>
          <w:sz w:val="19"/>
          <w:szCs w:val="19"/>
          <w:lang w:val="en-US"/>
        </w:rPr>
        <w:t>Možnost skupinového update firmware více serverů bez nutnosti instalace SW</w:t>
      </w:r>
    </w:p>
    <w:p w14:paraId="6D17F36B" w14:textId="77777777" w:rsidR="007554C4" w:rsidRPr="00ED7520" w:rsidRDefault="007554C4" w:rsidP="007554C4">
      <w:pPr>
        <w:pStyle w:val="Odstavecseseznamem"/>
        <w:numPr>
          <w:ilvl w:val="1"/>
          <w:numId w:val="31"/>
        </w:numPr>
        <w:spacing w:after="0"/>
        <w:jc w:val="left"/>
        <w:rPr>
          <w:rFonts w:ascii="Tahoma" w:hAnsi="Tahoma" w:cs="Tahoma"/>
          <w:color w:val="1F497D"/>
          <w:sz w:val="19"/>
          <w:szCs w:val="19"/>
          <w:lang w:val="en-US"/>
        </w:rPr>
      </w:pPr>
      <w:r w:rsidRPr="00ED7520">
        <w:rPr>
          <w:rFonts w:ascii="Tahoma" w:hAnsi="Tahoma" w:cs="Tahoma"/>
          <w:color w:val="1F497D"/>
          <w:sz w:val="19"/>
          <w:szCs w:val="19"/>
          <w:lang w:val="en-US"/>
        </w:rPr>
        <w:t>Správa serverů umožňuje vzdálené monitorování a reporting událostí/závad i mimo firemní síť/VPN, v rámci globálního internetového portálu nebo cloud služby s podporou pro mobilní zařízení (Android, iOS)</w:t>
      </w:r>
    </w:p>
    <w:p w14:paraId="4AE249B4" w14:textId="77777777" w:rsidR="007554C4" w:rsidRPr="00ED7520" w:rsidRDefault="007554C4" w:rsidP="007554C4">
      <w:pPr>
        <w:pStyle w:val="Odstavecseseznamem"/>
        <w:numPr>
          <w:ilvl w:val="0"/>
          <w:numId w:val="31"/>
        </w:numPr>
        <w:spacing w:after="0"/>
        <w:jc w:val="left"/>
        <w:rPr>
          <w:rFonts w:ascii="Tahoma" w:hAnsi="Tahoma" w:cs="Tahoma"/>
          <w:color w:val="1F497D"/>
          <w:sz w:val="19"/>
          <w:szCs w:val="19"/>
          <w:lang w:val="en-US"/>
        </w:rPr>
      </w:pPr>
      <w:r w:rsidRPr="00ED7520">
        <w:rPr>
          <w:rFonts w:ascii="Tahoma" w:hAnsi="Tahoma" w:cs="Tahoma"/>
          <w:color w:val="1F497D"/>
          <w:sz w:val="19"/>
          <w:szCs w:val="19"/>
          <w:lang w:val="en-US"/>
        </w:rPr>
        <w:t>Server musí být schopen zajistit bezpečný provoz firmware komponent v serveru (minimálně HDD, SSD, síťové adaptéry, BIOS a vzdálenou správu) po celou dobu životnosti serveru. Server musí být schopen autonomně monitorovat autenticitu firmawre na těchto komponentách</w:t>
      </w:r>
    </w:p>
    <w:p w14:paraId="663265B7" w14:textId="77777777" w:rsidR="007554C4" w:rsidRPr="00ED7520" w:rsidRDefault="007554C4" w:rsidP="007554C4">
      <w:pPr>
        <w:pStyle w:val="Odstavecseseznamem"/>
        <w:numPr>
          <w:ilvl w:val="0"/>
          <w:numId w:val="31"/>
        </w:numPr>
        <w:spacing w:after="0"/>
        <w:jc w:val="left"/>
        <w:rPr>
          <w:rFonts w:ascii="Tahoma" w:hAnsi="Tahoma" w:cs="Tahoma"/>
          <w:color w:val="1F497D"/>
          <w:sz w:val="19"/>
          <w:szCs w:val="19"/>
          <w:lang w:val="en-US"/>
        </w:rPr>
      </w:pPr>
      <w:r w:rsidRPr="00ED7520">
        <w:rPr>
          <w:rFonts w:ascii="Tahoma" w:hAnsi="Tahoma" w:cs="Tahoma"/>
          <w:color w:val="1F497D"/>
          <w:sz w:val="19"/>
          <w:szCs w:val="19"/>
          <w:lang w:val="en-US"/>
        </w:rPr>
        <w:t>Integrovaný nástroj pro upgrade firmware s možnosti automatické aktualizace od výrobce HW</w:t>
      </w:r>
    </w:p>
    <w:p w14:paraId="367509D4" w14:textId="77777777" w:rsidR="007554C4" w:rsidRPr="00ED7520" w:rsidRDefault="007554C4" w:rsidP="007554C4">
      <w:pPr>
        <w:pStyle w:val="Odstavecseseznamem"/>
        <w:numPr>
          <w:ilvl w:val="0"/>
          <w:numId w:val="31"/>
        </w:numPr>
        <w:spacing w:after="0"/>
        <w:jc w:val="left"/>
        <w:rPr>
          <w:rFonts w:ascii="Tahoma" w:hAnsi="Tahoma" w:cs="Tahoma"/>
          <w:color w:val="1F497D"/>
          <w:sz w:val="19"/>
          <w:szCs w:val="19"/>
          <w:lang w:val="en-US"/>
        </w:rPr>
      </w:pPr>
      <w:r w:rsidRPr="00ED7520">
        <w:rPr>
          <w:rFonts w:ascii="Tahoma" w:hAnsi="Tahoma" w:cs="Tahoma"/>
          <w:color w:val="1F497D"/>
          <w:sz w:val="19"/>
          <w:szCs w:val="19"/>
          <w:lang w:val="en-US"/>
        </w:rPr>
        <w:t>Integrovaný nástroj pro plnohodnotnou konfiguraci RAID řadiče v grafickém prostředí</w:t>
      </w:r>
    </w:p>
    <w:p w14:paraId="4306D684" w14:textId="77777777" w:rsidR="007554C4" w:rsidRPr="00ED7520" w:rsidRDefault="007554C4" w:rsidP="007554C4">
      <w:pPr>
        <w:pStyle w:val="Odstavecseseznamem"/>
        <w:numPr>
          <w:ilvl w:val="0"/>
          <w:numId w:val="31"/>
        </w:numPr>
        <w:spacing w:after="0"/>
        <w:jc w:val="left"/>
        <w:rPr>
          <w:rFonts w:ascii="Tahoma" w:hAnsi="Tahoma" w:cs="Tahoma"/>
          <w:color w:val="1F497D"/>
          <w:sz w:val="19"/>
          <w:szCs w:val="19"/>
          <w:lang w:val="en-US"/>
        </w:rPr>
      </w:pPr>
      <w:r w:rsidRPr="00ED7520">
        <w:rPr>
          <w:rFonts w:ascii="Tahoma" w:hAnsi="Tahoma" w:cs="Tahoma"/>
          <w:color w:val="1F497D"/>
          <w:sz w:val="19"/>
          <w:szCs w:val="19"/>
          <w:lang w:val="en-US"/>
        </w:rPr>
        <w:t>Požadujeme rackmout kit pro moztáž do 19” racku včetně raměna pro kabeláž</w:t>
      </w:r>
    </w:p>
    <w:p w14:paraId="7860713F" w14:textId="77777777" w:rsidR="007554C4" w:rsidRPr="00ED7520" w:rsidRDefault="007554C4" w:rsidP="007554C4">
      <w:pPr>
        <w:pStyle w:val="Odstavecseseznamem"/>
        <w:numPr>
          <w:ilvl w:val="0"/>
          <w:numId w:val="31"/>
        </w:numPr>
        <w:spacing w:after="0"/>
        <w:jc w:val="left"/>
        <w:rPr>
          <w:rFonts w:ascii="Tahoma" w:hAnsi="Tahoma" w:cs="Tahoma"/>
          <w:color w:val="1F497D"/>
          <w:sz w:val="19"/>
          <w:szCs w:val="19"/>
          <w:lang w:val="en-US"/>
        </w:rPr>
      </w:pPr>
      <w:r w:rsidRPr="00ED7520">
        <w:rPr>
          <w:rFonts w:ascii="Tahoma" w:hAnsi="Tahoma" w:cs="Tahoma"/>
          <w:color w:val="1F497D"/>
          <w:sz w:val="19"/>
          <w:szCs w:val="19"/>
          <w:lang w:val="en-US"/>
        </w:rPr>
        <w:t>Podporované operační systémy, podpora musí být uvedená na oficiálních stránkách výrobce:</w:t>
      </w:r>
    </w:p>
    <w:p w14:paraId="26E58249" w14:textId="77777777" w:rsidR="007554C4" w:rsidRPr="00ED7520" w:rsidRDefault="007554C4" w:rsidP="007554C4">
      <w:pPr>
        <w:pStyle w:val="Odstavecseseznamem"/>
        <w:numPr>
          <w:ilvl w:val="1"/>
          <w:numId w:val="31"/>
        </w:numPr>
        <w:spacing w:after="0"/>
        <w:jc w:val="left"/>
        <w:rPr>
          <w:rFonts w:ascii="Tahoma" w:hAnsi="Tahoma" w:cs="Tahoma"/>
          <w:color w:val="1F497D"/>
          <w:sz w:val="19"/>
          <w:szCs w:val="19"/>
          <w:lang w:val="en-US"/>
        </w:rPr>
      </w:pPr>
      <w:r w:rsidRPr="00ED7520">
        <w:rPr>
          <w:rFonts w:ascii="Tahoma" w:hAnsi="Tahoma" w:cs="Tahoma"/>
          <w:color w:val="1F497D"/>
          <w:sz w:val="19"/>
          <w:szCs w:val="19"/>
          <w:lang w:val="en-US"/>
        </w:rPr>
        <w:t xml:space="preserve">Windows Server 2012 R2, Windows Server 2016, Windows Server 2019 </w:t>
      </w:r>
    </w:p>
    <w:p w14:paraId="4DC402DC" w14:textId="77777777" w:rsidR="007554C4" w:rsidRPr="00ED7520" w:rsidRDefault="007554C4" w:rsidP="007554C4">
      <w:pPr>
        <w:pStyle w:val="Odstavecseseznamem"/>
        <w:numPr>
          <w:ilvl w:val="1"/>
          <w:numId w:val="31"/>
        </w:numPr>
        <w:spacing w:after="0"/>
        <w:jc w:val="left"/>
        <w:rPr>
          <w:rFonts w:ascii="Tahoma" w:hAnsi="Tahoma" w:cs="Tahoma"/>
          <w:color w:val="1F497D"/>
          <w:sz w:val="19"/>
          <w:szCs w:val="19"/>
          <w:lang w:val="en-US"/>
        </w:rPr>
      </w:pPr>
      <w:r w:rsidRPr="00ED7520">
        <w:rPr>
          <w:rFonts w:ascii="Tahoma" w:hAnsi="Tahoma" w:cs="Tahoma"/>
          <w:color w:val="1F497D"/>
          <w:sz w:val="19"/>
          <w:szCs w:val="19"/>
          <w:lang w:val="en-US"/>
        </w:rPr>
        <w:t xml:space="preserve">VMware ESXi 6.0, VMware ESXi 6.5, VMware ESXi 7       </w:t>
      </w:r>
    </w:p>
    <w:p w14:paraId="73AE91AD" w14:textId="77777777" w:rsidR="007554C4" w:rsidRPr="00ED7520" w:rsidRDefault="007554C4" w:rsidP="007554C4">
      <w:pPr>
        <w:pStyle w:val="Odstavecseseznamem"/>
        <w:numPr>
          <w:ilvl w:val="1"/>
          <w:numId w:val="31"/>
        </w:numPr>
        <w:spacing w:after="0"/>
        <w:jc w:val="left"/>
        <w:rPr>
          <w:rFonts w:ascii="Tahoma" w:hAnsi="Tahoma" w:cs="Tahoma"/>
          <w:color w:val="1F497D"/>
          <w:sz w:val="19"/>
          <w:szCs w:val="19"/>
          <w:lang w:val="en-US"/>
        </w:rPr>
      </w:pPr>
      <w:r w:rsidRPr="00ED7520">
        <w:rPr>
          <w:rFonts w:ascii="Tahoma" w:hAnsi="Tahoma" w:cs="Tahoma"/>
          <w:color w:val="1F497D"/>
          <w:sz w:val="19"/>
          <w:szCs w:val="19"/>
          <w:lang w:val="en-US"/>
        </w:rPr>
        <w:t>CentOS</w:t>
      </w:r>
    </w:p>
    <w:p w14:paraId="0B179F4C" w14:textId="77777777" w:rsidR="007554C4" w:rsidRPr="00ED7520" w:rsidRDefault="007554C4" w:rsidP="007554C4">
      <w:pPr>
        <w:pStyle w:val="Odstavecseseznamem"/>
        <w:numPr>
          <w:ilvl w:val="1"/>
          <w:numId w:val="31"/>
        </w:numPr>
        <w:spacing w:after="0"/>
        <w:jc w:val="left"/>
        <w:rPr>
          <w:rFonts w:ascii="Tahoma" w:hAnsi="Tahoma" w:cs="Tahoma"/>
          <w:color w:val="1F497D"/>
          <w:sz w:val="19"/>
          <w:szCs w:val="19"/>
          <w:lang w:val="en-US"/>
        </w:rPr>
      </w:pPr>
      <w:r w:rsidRPr="00ED7520">
        <w:rPr>
          <w:rFonts w:ascii="Tahoma" w:hAnsi="Tahoma" w:cs="Tahoma"/>
          <w:color w:val="1F497D"/>
          <w:sz w:val="19"/>
          <w:szCs w:val="19"/>
          <w:lang w:val="en-US"/>
        </w:rPr>
        <w:t>Red Hat Enterprise Linux (RHEL) 7.6 / 7.7 / 8.0 /8.1</w:t>
      </w:r>
    </w:p>
    <w:p w14:paraId="2446ED6B" w14:textId="77777777" w:rsidR="007554C4" w:rsidRPr="00ED7520" w:rsidRDefault="007554C4" w:rsidP="007554C4">
      <w:pPr>
        <w:pStyle w:val="Odstavecseseznamem"/>
        <w:numPr>
          <w:ilvl w:val="1"/>
          <w:numId w:val="31"/>
        </w:numPr>
        <w:spacing w:after="0"/>
        <w:jc w:val="left"/>
        <w:rPr>
          <w:rFonts w:ascii="Tahoma" w:hAnsi="Tahoma" w:cs="Tahoma"/>
          <w:color w:val="1F497D"/>
          <w:sz w:val="19"/>
          <w:szCs w:val="19"/>
          <w:lang w:val="en-US"/>
        </w:rPr>
      </w:pPr>
      <w:r w:rsidRPr="00ED7520">
        <w:rPr>
          <w:rFonts w:ascii="Tahoma" w:hAnsi="Tahoma" w:cs="Tahoma"/>
          <w:color w:val="1F497D"/>
          <w:sz w:val="19"/>
          <w:szCs w:val="19"/>
          <w:lang w:val="en-US"/>
        </w:rPr>
        <w:t>SUSE Linux Enterprise Server (SLES) 12 SP3 / 15 / 15 SP1</w:t>
      </w:r>
    </w:p>
    <w:p w14:paraId="500EEE4C" w14:textId="77777777" w:rsidR="007554C4" w:rsidRPr="00ED7520" w:rsidRDefault="007554C4" w:rsidP="007554C4">
      <w:pPr>
        <w:pStyle w:val="Odstavecseseznamem"/>
        <w:numPr>
          <w:ilvl w:val="0"/>
          <w:numId w:val="31"/>
        </w:numPr>
        <w:spacing w:after="0"/>
        <w:jc w:val="left"/>
        <w:rPr>
          <w:rFonts w:ascii="Tahoma" w:hAnsi="Tahoma" w:cs="Tahoma"/>
          <w:color w:val="1F497D"/>
          <w:sz w:val="19"/>
          <w:szCs w:val="19"/>
          <w:lang w:val="en-US"/>
        </w:rPr>
      </w:pPr>
      <w:r w:rsidRPr="00ED7520">
        <w:rPr>
          <w:rFonts w:ascii="Tahoma" w:hAnsi="Tahoma" w:cs="Tahoma"/>
          <w:color w:val="1F497D"/>
          <w:sz w:val="19"/>
          <w:szCs w:val="19"/>
          <w:lang w:val="en-US"/>
        </w:rPr>
        <w:t xml:space="preserve">Požadujeme </w:t>
      </w:r>
      <w:r>
        <w:rPr>
          <w:rFonts w:ascii="Tahoma" w:hAnsi="Tahoma" w:cs="Tahoma"/>
          <w:color w:val="1F497D"/>
          <w:sz w:val="19"/>
          <w:szCs w:val="19"/>
          <w:lang w:val="en-US"/>
        </w:rPr>
        <w:t>3</w:t>
      </w:r>
      <w:r w:rsidRPr="00ED7520">
        <w:rPr>
          <w:rFonts w:ascii="Tahoma" w:hAnsi="Tahoma" w:cs="Tahoma"/>
          <w:color w:val="1F497D"/>
          <w:sz w:val="19"/>
          <w:szCs w:val="19"/>
          <w:lang w:val="en-US"/>
        </w:rPr>
        <w:t>-letou servisní podporu hardware a software třetích stran s</w:t>
      </w:r>
      <w:r>
        <w:rPr>
          <w:rFonts w:ascii="Tahoma" w:hAnsi="Tahoma" w:cs="Tahoma"/>
          <w:color w:val="1F497D"/>
          <w:sz w:val="19"/>
          <w:szCs w:val="19"/>
          <w:lang w:val="en-US"/>
        </w:rPr>
        <w:t xml:space="preserve"> odezvou do druhého pracovního dne (NBD)</w:t>
      </w:r>
    </w:p>
    <w:p w14:paraId="67D8BDF0" w14:textId="77777777" w:rsidR="007554C4" w:rsidRPr="00ED7520" w:rsidRDefault="007554C4" w:rsidP="007554C4">
      <w:pPr>
        <w:pStyle w:val="Odstavecseseznamem"/>
        <w:numPr>
          <w:ilvl w:val="0"/>
          <w:numId w:val="31"/>
        </w:numPr>
        <w:spacing w:after="0"/>
        <w:jc w:val="left"/>
        <w:rPr>
          <w:rFonts w:ascii="Tahoma" w:hAnsi="Tahoma" w:cs="Tahoma"/>
          <w:color w:val="1F497D"/>
          <w:sz w:val="19"/>
          <w:szCs w:val="19"/>
          <w:lang w:val="en-US"/>
        </w:rPr>
      </w:pPr>
      <w:r w:rsidRPr="00ED7520">
        <w:rPr>
          <w:rFonts w:ascii="Tahoma" w:hAnsi="Tahoma" w:cs="Tahoma"/>
          <w:color w:val="1F497D"/>
          <w:sz w:val="19"/>
          <w:szCs w:val="19"/>
          <w:lang w:val="en-US"/>
        </w:rPr>
        <w:t>Požadujeme službu vzdáleného dohledu (call home ) ze strany výrobce serveru ideálně s moznosti sledovaní stavu servisních incidentů na portálu výrobce</w:t>
      </w:r>
    </w:p>
    <w:p w14:paraId="00FB8259" w14:textId="77777777" w:rsidR="007554C4" w:rsidRDefault="007554C4" w:rsidP="007554C4">
      <w:pPr>
        <w:rPr>
          <w:rFonts w:ascii="Tahoma" w:hAnsi="Tahoma" w:cs="Tahoma"/>
          <w:color w:val="1F497D"/>
          <w:sz w:val="19"/>
          <w:szCs w:val="19"/>
          <w:lang w:val="en-US"/>
        </w:rPr>
      </w:pPr>
    </w:p>
    <w:p w14:paraId="4BC441DC" w14:textId="77777777" w:rsidR="007554C4" w:rsidRDefault="007554C4" w:rsidP="007554C4"/>
    <w:p w14:paraId="431F713C" w14:textId="77777777" w:rsidR="007554C4" w:rsidRDefault="007554C4" w:rsidP="007554C4">
      <w:r>
        <w:br w:type="page"/>
      </w:r>
    </w:p>
    <w:p w14:paraId="2847E7B6" w14:textId="77777777" w:rsidR="007554C4" w:rsidRPr="007C2681" w:rsidRDefault="007554C4" w:rsidP="007554C4">
      <w:pPr>
        <w:rPr>
          <w:rFonts w:ascii="Tahoma" w:hAnsi="Tahoma" w:cs="Tahoma"/>
          <w:b/>
          <w:bCs/>
          <w:color w:val="1F497D"/>
          <w:sz w:val="19"/>
          <w:szCs w:val="19"/>
        </w:rPr>
      </w:pPr>
      <w:r>
        <w:rPr>
          <w:rFonts w:ascii="Tahoma" w:hAnsi="Tahoma" w:cs="Tahoma"/>
          <w:b/>
          <w:bCs/>
          <w:color w:val="1F497D"/>
          <w:sz w:val="19"/>
          <w:szCs w:val="19"/>
        </w:rPr>
        <w:lastRenderedPageBreak/>
        <w:t>SERVER č. 2</w:t>
      </w:r>
    </w:p>
    <w:p w14:paraId="6990ED95" w14:textId="77777777" w:rsidR="007554C4" w:rsidRDefault="007554C4" w:rsidP="007554C4">
      <w:pPr>
        <w:rPr>
          <w:rFonts w:ascii="Tahoma" w:hAnsi="Tahoma" w:cs="Tahoma"/>
          <w:color w:val="1F497D"/>
          <w:sz w:val="19"/>
          <w:szCs w:val="19"/>
        </w:rPr>
      </w:pPr>
    </w:p>
    <w:p w14:paraId="77F75D5E" w14:textId="77777777" w:rsidR="007554C4" w:rsidRPr="003A707B" w:rsidRDefault="007554C4" w:rsidP="007554C4">
      <w:pPr>
        <w:pStyle w:val="Odstavecseseznamem"/>
        <w:numPr>
          <w:ilvl w:val="0"/>
          <w:numId w:val="31"/>
        </w:numPr>
        <w:spacing w:after="0"/>
        <w:jc w:val="left"/>
        <w:rPr>
          <w:rFonts w:ascii="Tahoma" w:hAnsi="Tahoma" w:cs="Tahoma"/>
          <w:color w:val="1F497D"/>
          <w:sz w:val="19"/>
          <w:szCs w:val="19"/>
        </w:rPr>
      </w:pPr>
      <w:r w:rsidRPr="003A707B">
        <w:rPr>
          <w:rFonts w:ascii="Tahoma" w:hAnsi="Tahoma" w:cs="Tahoma"/>
          <w:color w:val="1F497D"/>
          <w:sz w:val="19"/>
          <w:szCs w:val="19"/>
        </w:rPr>
        <w:t>Dvousoketový server o velikosti maximálně 2U včetně rackmount kitu</w:t>
      </w:r>
    </w:p>
    <w:p w14:paraId="67C5E318" w14:textId="77777777" w:rsidR="007554C4" w:rsidRPr="003A707B" w:rsidRDefault="007554C4" w:rsidP="007554C4">
      <w:pPr>
        <w:pStyle w:val="Odstavecseseznamem"/>
        <w:numPr>
          <w:ilvl w:val="0"/>
          <w:numId w:val="31"/>
        </w:numPr>
        <w:spacing w:after="0"/>
        <w:jc w:val="left"/>
        <w:rPr>
          <w:rFonts w:ascii="Tahoma" w:hAnsi="Tahoma" w:cs="Tahoma"/>
          <w:color w:val="1F497D"/>
          <w:sz w:val="19"/>
          <w:szCs w:val="19"/>
        </w:rPr>
      </w:pPr>
      <w:r w:rsidRPr="003A707B">
        <w:rPr>
          <w:rFonts w:ascii="Tahoma" w:hAnsi="Tahoma" w:cs="Tahoma"/>
          <w:color w:val="1F497D"/>
          <w:sz w:val="19"/>
          <w:szCs w:val="19"/>
        </w:rPr>
        <w:t>Osazený 2x CPU , každé CPU minimálně 10 jader , velikost cache minimálně 13 MB / CPU, nominální frekvence min. 2.40 GHz, turbo frekvence min. 3.2 GHz</w:t>
      </w:r>
    </w:p>
    <w:p w14:paraId="2DA60AFA" w14:textId="77777777" w:rsidR="007554C4" w:rsidRPr="003A707B" w:rsidRDefault="007554C4" w:rsidP="007554C4">
      <w:pPr>
        <w:pStyle w:val="Odstavecseseznamem"/>
        <w:numPr>
          <w:ilvl w:val="0"/>
          <w:numId w:val="31"/>
        </w:numPr>
        <w:spacing w:after="0"/>
        <w:jc w:val="left"/>
        <w:rPr>
          <w:rFonts w:ascii="Tahoma" w:hAnsi="Tahoma" w:cs="Tahoma"/>
          <w:color w:val="1F497D"/>
          <w:sz w:val="19"/>
          <w:szCs w:val="19"/>
        </w:rPr>
      </w:pPr>
      <w:r w:rsidRPr="003A707B">
        <w:rPr>
          <w:rFonts w:ascii="Tahoma" w:hAnsi="Tahoma" w:cs="Tahoma"/>
          <w:color w:val="1F497D"/>
          <w:sz w:val="19"/>
          <w:szCs w:val="19"/>
        </w:rPr>
        <w:t>Min. 24x dostupných DIMM slotů s možností osazeni až 3TB</w:t>
      </w:r>
    </w:p>
    <w:p w14:paraId="55FFEAF1" w14:textId="77777777" w:rsidR="007554C4" w:rsidRPr="003A707B" w:rsidRDefault="007554C4" w:rsidP="007554C4">
      <w:pPr>
        <w:pStyle w:val="Odstavecseseznamem"/>
        <w:numPr>
          <w:ilvl w:val="0"/>
          <w:numId w:val="31"/>
        </w:numPr>
        <w:spacing w:after="0"/>
        <w:jc w:val="left"/>
        <w:rPr>
          <w:rFonts w:ascii="Tahoma" w:hAnsi="Tahoma" w:cs="Tahoma"/>
          <w:color w:val="1F497D"/>
          <w:sz w:val="19"/>
          <w:szCs w:val="19"/>
        </w:rPr>
      </w:pPr>
      <w:r w:rsidRPr="003A707B">
        <w:rPr>
          <w:rFonts w:ascii="Tahoma" w:hAnsi="Tahoma" w:cs="Tahoma"/>
          <w:color w:val="1F497D"/>
          <w:sz w:val="19"/>
          <w:szCs w:val="19"/>
        </w:rPr>
        <w:t xml:space="preserve">Velikost osazené RAM minimálně </w:t>
      </w:r>
      <w:r>
        <w:rPr>
          <w:rFonts w:ascii="Tahoma" w:hAnsi="Tahoma" w:cs="Tahoma"/>
          <w:color w:val="1F497D"/>
          <w:sz w:val="19"/>
          <w:szCs w:val="19"/>
        </w:rPr>
        <w:t>256</w:t>
      </w:r>
      <w:r w:rsidRPr="003A707B">
        <w:rPr>
          <w:rFonts w:ascii="Tahoma" w:hAnsi="Tahoma" w:cs="Tahoma"/>
          <w:color w:val="1F497D"/>
          <w:sz w:val="19"/>
          <w:szCs w:val="19"/>
        </w:rPr>
        <w:t xml:space="preserve"> GB pomoci registered DDR4 2933 MT/s DIMM modulů</w:t>
      </w:r>
    </w:p>
    <w:p w14:paraId="55E4FC63" w14:textId="77777777" w:rsidR="007554C4" w:rsidRPr="003A707B" w:rsidRDefault="007554C4" w:rsidP="007554C4">
      <w:pPr>
        <w:pStyle w:val="Odstavecseseznamem"/>
        <w:numPr>
          <w:ilvl w:val="0"/>
          <w:numId w:val="31"/>
        </w:numPr>
        <w:spacing w:after="0"/>
        <w:jc w:val="left"/>
        <w:rPr>
          <w:rFonts w:ascii="Tahoma" w:hAnsi="Tahoma" w:cs="Tahoma"/>
          <w:color w:val="1F497D"/>
          <w:sz w:val="19"/>
          <w:szCs w:val="19"/>
        </w:rPr>
      </w:pPr>
      <w:r w:rsidRPr="003A707B">
        <w:rPr>
          <w:rFonts w:ascii="Tahoma" w:hAnsi="Tahoma" w:cs="Tahoma"/>
          <w:color w:val="1F497D"/>
          <w:sz w:val="19"/>
          <w:szCs w:val="19"/>
        </w:rPr>
        <w:t xml:space="preserve">Požadujeme podporu osazení persistentních pamětí </w:t>
      </w:r>
    </w:p>
    <w:p w14:paraId="4CB33DD4" w14:textId="77777777" w:rsidR="007554C4" w:rsidRDefault="007554C4" w:rsidP="007554C4">
      <w:pPr>
        <w:pStyle w:val="Odstavecseseznamem"/>
        <w:numPr>
          <w:ilvl w:val="0"/>
          <w:numId w:val="31"/>
        </w:numPr>
        <w:spacing w:after="0"/>
        <w:jc w:val="left"/>
        <w:rPr>
          <w:rFonts w:ascii="Tahoma" w:hAnsi="Tahoma" w:cs="Tahoma"/>
          <w:color w:val="1F497D"/>
          <w:sz w:val="19"/>
          <w:szCs w:val="19"/>
        </w:rPr>
      </w:pPr>
      <w:r w:rsidRPr="003A707B">
        <w:rPr>
          <w:rFonts w:ascii="Tahoma" w:hAnsi="Tahoma" w:cs="Tahoma"/>
          <w:color w:val="1F497D"/>
          <w:sz w:val="19"/>
          <w:szCs w:val="19"/>
        </w:rPr>
        <w:t xml:space="preserve">Dva za chodu vyměnitelné napájeci zdroje s příkonem maximálně 800W a účinností min. 94 % </w:t>
      </w:r>
    </w:p>
    <w:p w14:paraId="1357BC05" w14:textId="77777777" w:rsidR="007554C4" w:rsidRPr="003A707B" w:rsidRDefault="007554C4" w:rsidP="007554C4">
      <w:pPr>
        <w:pStyle w:val="Odstavecseseznamem"/>
        <w:numPr>
          <w:ilvl w:val="0"/>
          <w:numId w:val="31"/>
        </w:numPr>
        <w:spacing w:after="0"/>
        <w:jc w:val="left"/>
        <w:rPr>
          <w:rFonts w:ascii="Tahoma" w:hAnsi="Tahoma" w:cs="Tahoma"/>
          <w:color w:val="1F497D"/>
          <w:sz w:val="19"/>
          <w:szCs w:val="19"/>
        </w:rPr>
      </w:pPr>
      <w:r>
        <w:rPr>
          <w:rFonts w:ascii="Tahoma" w:hAnsi="Tahoma" w:cs="Tahoma"/>
          <w:color w:val="1F497D"/>
          <w:sz w:val="19"/>
          <w:szCs w:val="19"/>
        </w:rPr>
        <w:t>Redundantní za chodu vyměnitelné větráky</w:t>
      </w:r>
    </w:p>
    <w:p w14:paraId="27D4C2AA" w14:textId="77777777" w:rsidR="007554C4" w:rsidRPr="003A707B" w:rsidRDefault="007554C4" w:rsidP="007554C4">
      <w:pPr>
        <w:pStyle w:val="Odstavecseseznamem"/>
        <w:numPr>
          <w:ilvl w:val="0"/>
          <w:numId w:val="31"/>
        </w:numPr>
        <w:spacing w:after="0"/>
        <w:jc w:val="left"/>
        <w:rPr>
          <w:rFonts w:ascii="Tahoma" w:hAnsi="Tahoma" w:cs="Tahoma"/>
          <w:color w:val="1F497D"/>
          <w:sz w:val="19"/>
          <w:szCs w:val="19"/>
        </w:rPr>
      </w:pPr>
      <w:r w:rsidRPr="003A707B">
        <w:rPr>
          <w:rFonts w:ascii="Tahoma" w:hAnsi="Tahoma" w:cs="Tahoma"/>
          <w:color w:val="1F497D"/>
          <w:sz w:val="19"/>
          <w:szCs w:val="19"/>
        </w:rPr>
        <w:t>Minimálně 2x interní USB 3.0 konektory</w:t>
      </w:r>
    </w:p>
    <w:p w14:paraId="283CCC1A" w14:textId="77777777" w:rsidR="007554C4" w:rsidRPr="003A707B" w:rsidRDefault="007554C4" w:rsidP="007554C4">
      <w:pPr>
        <w:pStyle w:val="Odstavecseseznamem"/>
        <w:numPr>
          <w:ilvl w:val="0"/>
          <w:numId w:val="31"/>
        </w:numPr>
        <w:spacing w:after="0"/>
        <w:jc w:val="left"/>
        <w:rPr>
          <w:rFonts w:ascii="Tahoma" w:hAnsi="Tahoma" w:cs="Tahoma"/>
          <w:color w:val="1F497D"/>
          <w:sz w:val="19"/>
          <w:szCs w:val="19"/>
        </w:rPr>
      </w:pPr>
      <w:r w:rsidRPr="003A707B">
        <w:rPr>
          <w:rFonts w:ascii="Tahoma" w:hAnsi="Tahoma" w:cs="Tahoma"/>
          <w:color w:val="1F497D"/>
          <w:sz w:val="19"/>
          <w:szCs w:val="19"/>
        </w:rPr>
        <w:t>Minimálně 3x externí USB 3.0 konektory</w:t>
      </w:r>
    </w:p>
    <w:p w14:paraId="3F6EBAD7" w14:textId="77777777" w:rsidR="007554C4" w:rsidRPr="003A707B" w:rsidRDefault="007554C4" w:rsidP="007554C4">
      <w:pPr>
        <w:pStyle w:val="Odstavecseseznamem"/>
        <w:numPr>
          <w:ilvl w:val="0"/>
          <w:numId w:val="31"/>
        </w:numPr>
        <w:spacing w:after="0"/>
        <w:jc w:val="left"/>
        <w:rPr>
          <w:rFonts w:ascii="Tahoma" w:hAnsi="Tahoma" w:cs="Tahoma"/>
          <w:color w:val="1F497D"/>
          <w:sz w:val="19"/>
          <w:szCs w:val="19"/>
        </w:rPr>
      </w:pPr>
      <w:r w:rsidRPr="003A707B">
        <w:rPr>
          <w:rFonts w:ascii="Tahoma" w:hAnsi="Tahoma" w:cs="Tahoma"/>
          <w:color w:val="1F497D"/>
          <w:sz w:val="19"/>
          <w:szCs w:val="19"/>
        </w:rPr>
        <w:t>Interní Micro SD slot pro hypervisor</w:t>
      </w:r>
    </w:p>
    <w:p w14:paraId="1602A931" w14:textId="77777777" w:rsidR="007554C4" w:rsidRPr="003A707B" w:rsidRDefault="007554C4" w:rsidP="007554C4">
      <w:pPr>
        <w:pStyle w:val="Odstavecseseznamem"/>
        <w:numPr>
          <w:ilvl w:val="0"/>
          <w:numId w:val="31"/>
        </w:numPr>
        <w:spacing w:after="0"/>
        <w:jc w:val="left"/>
        <w:rPr>
          <w:rFonts w:ascii="Tahoma" w:hAnsi="Tahoma" w:cs="Tahoma"/>
          <w:color w:val="1F497D"/>
          <w:sz w:val="19"/>
          <w:szCs w:val="19"/>
        </w:rPr>
      </w:pPr>
      <w:r w:rsidRPr="003A707B">
        <w:rPr>
          <w:rFonts w:ascii="Tahoma" w:hAnsi="Tahoma" w:cs="Tahoma"/>
          <w:color w:val="1F497D"/>
          <w:sz w:val="19"/>
          <w:szCs w:val="19"/>
        </w:rPr>
        <w:t>Interní 2 sloty pro M.2 SSD</w:t>
      </w:r>
    </w:p>
    <w:p w14:paraId="7F218388" w14:textId="77777777" w:rsidR="007554C4" w:rsidRPr="003A707B" w:rsidRDefault="007554C4" w:rsidP="007554C4">
      <w:pPr>
        <w:pStyle w:val="Odstavecseseznamem"/>
        <w:numPr>
          <w:ilvl w:val="0"/>
          <w:numId w:val="31"/>
        </w:numPr>
        <w:spacing w:after="0"/>
        <w:jc w:val="left"/>
        <w:rPr>
          <w:rFonts w:ascii="Tahoma" w:hAnsi="Tahoma" w:cs="Tahoma"/>
          <w:color w:val="1F497D"/>
          <w:sz w:val="19"/>
          <w:szCs w:val="19"/>
        </w:rPr>
      </w:pPr>
      <w:r w:rsidRPr="003A707B">
        <w:rPr>
          <w:rFonts w:ascii="Tahoma" w:hAnsi="Tahoma" w:cs="Tahoma"/>
          <w:color w:val="1F497D"/>
          <w:sz w:val="19"/>
          <w:szCs w:val="19"/>
        </w:rPr>
        <w:t>Prediktivní analýza poruch min. pro RAM, CPU, napájecí zdroje a ventilátor</w:t>
      </w:r>
    </w:p>
    <w:p w14:paraId="43BFE43A" w14:textId="77777777" w:rsidR="007554C4" w:rsidRPr="003A707B" w:rsidRDefault="007554C4" w:rsidP="007554C4">
      <w:pPr>
        <w:pStyle w:val="Odstavecseseznamem"/>
        <w:numPr>
          <w:ilvl w:val="0"/>
          <w:numId w:val="31"/>
        </w:numPr>
        <w:spacing w:after="0"/>
        <w:jc w:val="left"/>
        <w:rPr>
          <w:rFonts w:ascii="Tahoma" w:hAnsi="Tahoma" w:cs="Tahoma"/>
          <w:color w:val="1F497D"/>
          <w:sz w:val="19"/>
          <w:szCs w:val="19"/>
        </w:rPr>
      </w:pPr>
      <w:r w:rsidRPr="003A707B">
        <w:rPr>
          <w:rFonts w:ascii="Tahoma" w:hAnsi="Tahoma" w:cs="Tahoma"/>
          <w:color w:val="1F497D"/>
          <w:sz w:val="19"/>
          <w:szCs w:val="19"/>
        </w:rPr>
        <w:t>Minimálně 3 PCI-e sloty s možností rozšiření na 6 PCI-e slotu</w:t>
      </w:r>
    </w:p>
    <w:p w14:paraId="33A36D99" w14:textId="77777777" w:rsidR="007554C4" w:rsidRPr="003A707B" w:rsidRDefault="007554C4" w:rsidP="007554C4">
      <w:pPr>
        <w:pStyle w:val="Odstavecseseznamem"/>
        <w:numPr>
          <w:ilvl w:val="0"/>
          <w:numId w:val="31"/>
        </w:numPr>
        <w:spacing w:after="0"/>
        <w:jc w:val="left"/>
        <w:rPr>
          <w:rFonts w:ascii="Tahoma" w:hAnsi="Tahoma" w:cs="Tahoma"/>
          <w:color w:val="1F497D"/>
          <w:sz w:val="19"/>
          <w:szCs w:val="19"/>
        </w:rPr>
      </w:pPr>
      <w:r w:rsidRPr="003A707B">
        <w:rPr>
          <w:rFonts w:ascii="Tahoma" w:hAnsi="Tahoma" w:cs="Tahoma"/>
          <w:color w:val="1F497D"/>
          <w:sz w:val="19"/>
          <w:szCs w:val="19"/>
        </w:rPr>
        <w:t xml:space="preserve">Požadujeme volitelnou podporu pro osazení až 150W PCI-e karet </w:t>
      </w:r>
    </w:p>
    <w:p w14:paraId="1FB048F9" w14:textId="77777777" w:rsidR="007554C4" w:rsidRDefault="007554C4" w:rsidP="007554C4">
      <w:pPr>
        <w:pStyle w:val="Odstavecseseznamem"/>
        <w:numPr>
          <w:ilvl w:val="0"/>
          <w:numId w:val="31"/>
        </w:numPr>
        <w:spacing w:after="0"/>
        <w:jc w:val="left"/>
        <w:rPr>
          <w:rFonts w:ascii="Tahoma" w:hAnsi="Tahoma" w:cs="Tahoma"/>
          <w:color w:val="1F497D"/>
          <w:sz w:val="19"/>
          <w:szCs w:val="19"/>
        </w:rPr>
      </w:pPr>
      <w:r w:rsidRPr="003C0AC8">
        <w:rPr>
          <w:rFonts w:ascii="Tahoma" w:hAnsi="Tahoma" w:cs="Tahoma"/>
          <w:color w:val="1F497D"/>
          <w:sz w:val="19"/>
          <w:szCs w:val="19"/>
        </w:rPr>
        <w:t xml:space="preserve">Požadujeme 4-portovou 1Gb sitovou kartu nezabirajici misto v PCI-e slotech s podporou Large Send and Receive offload capability, VLAN tagging, MSI-X, jumbo frames, IEEE 1588, VMware NetQueue a Microsoft VMQ </w:t>
      </w:r>
    </w:p>
    <w:p w14:paraId="48EC2963" w14:textId="77777777" w:rsidR="007554C4" w:rsidRPr="003C0AC8" w:rsidRDefault="007554C4" w:rsidP="007554C4">
      <w:pPr>
        <w:pStyle w:val="Odstavecseseznamem"/>
        <w:numPr>
          <w:ilvl w:val="0"/>
          <w:numId w:val="31"/>
        </w:numPr>
        <w:spacing w:after="0"/>
        <w:jc w:val="left"/>
        <w:rPr>
          <w:rFonts w:ascii="Tahoma" w:hAnsi="Tahoma" w:cs="Tahoma"/>
          <w:color w:val="1F497D"/>
          <w:sz w:val="19"/>
          <w:szCs w:val="19"/>
        </w:rPr>
      </w:pPr>
      <w:r w:rsidRPr="003C0AC8">
        <w:rPr>
          <w:rFonts w:ascii="Tahoma" w:hAnsi="Tahoma" w:cs="Tahoma"/>
          <w:color w:val="1F497D"/>
          <w:sz w:val="19"/>
          <w:szCs w:val="19"/>
        </w:rPr>
        <w:t>Pozice pro osazení min. 24 SFF HDD s možností rozšiření až 30 SFF HDD</w:t>
      </w:r>
    </w:p>
    <w:p w14:paraId="26FC85E5" w14:textId="77777777" w:rsidR="007554C4" w:rsidRPr="003A707B" w:rsidRDefault="007554C4" w:rsidP="007554C4">
      <w:pPr>
        <w:pStyle w:val="Odstavecseseznamem"/>
        <w:numPr>
          <w:ilvl w:val="0"/>
          <w:numId w:val="31"/>
        </w:numPr>
        <w:spacing w:after="0"/>
        <w:jc w:val="left"/>
        <w:rPr>
          <w:rFonts w:ascii="Tahoma" w:hAnsi="Tahoma" w:cs="Tahoma"/>
          <w:color w:val="1F497D"/>
          <w:sz w:val="19"/>
          <w:szCs w:val="19"/>
        </w:rPr>
      </w:pPr>
      <w:r w:rsidRPr="003A707B">
        <w:rPr>
          <w:rFonts w:ascii="Tahoma" w:hAnsi="Tahoma" w:cs="Tahoma"/>
          <w:color w:val="1F497D"/>
          <w:sz w:val="19"/>
          <w:szCs w:val="19"/>
        </w:rPr>
        <w:t>Požadujeme možnost osazení až 20 SFF NVMe disky</w:t>
      </w:r>
    </w:p>
    <w:p w14:paraId="40A96E3E" w14:textId="77777777" w:rsidR="007554C4" w:rsidRPr="003A707B" w:rsidRDefault="007554C4" w:rsidP="007554C4">
      <w:pPr>
        <w:pStyle w:val="Odstavecseseznamem"/>
        <w:numPr>
          <w:ilvl w:val="0"/>
          <w:numId w:val="31"/>
        </w:numPr>
        <w:spacing w:after="0"/>
        <w:jc w:val="left"/>
        <w:rPr>
          <w:rFonts w:ascii="Tahoma" w:hAnsi="Tahoma" w:cs="Tahoma"/>
          <w:color w:val="1F497D"/>
          <w:sz w:val="19"/>
          <w:szCs w:val="19"/>
        </w:rPr>
      </w:pPr>
      <w:r w:rsidRPr="003A707B">
        <w:rPr>
          <w:rFonts w:ascii="Tahoma" w:hAnsi="Tahoma" w:cs="Tahoma"/>
          <w:color w:val="1F497D"/>
          <w:sz w:val="19"/>
          <w:szCs w:val="19"/>
        </w:rPr>
        <w:t>Disky musí mít rámečky vybaveny indikátorem proti vytažení disku, které by znamenalo nedostupnost RAID LUNu nebo musí být takový disk proti případnému vytažení blokován</w:t>
      </w:r>
    </w:p>
    <w:p w14:paraId="3EF72860" w14:textId="77777777" w:rsidR="007554C4" w:rsidRPr="003A707B" w:rsidRDefault="007554C4" w:rsidP="007554C4">
      <w:pPr>
        <w:pStyle w:val="Odstavecseseznamem"/>
        <w:numPr>
          <w:ilvl w:val="0"/>
          <w:numId w:val="31"/>
        </w:numPr>
        <w:spacing w:after="0"/>
        <w:jc w:val="left"/>
        <w:rPr>
          <w:rFonts w:ascii="Tahoma" w:hAnsi="Tahoma" w:cs="Tahoma"/>
          <w:color w:val="1F497D"/>
          <w:sz w:val="19"/>
          <w:szCs w:val="19"/>
        </w:rPr>
      </w:pPr>
      <w:r w:rsidRPr="003A707B">
        <w:rPr>
          <w:rFonts w:ascii="Tahoma" w:hAnsi="Tahoma" w:cs="Tahoma"/>
          <w:color w:val="1F497D"/>
          <w:sz w:val="19"/>
          <w:szCs w:val="19"/>
        </w:rPr>
        <w:t xml:space="preserve">Požadujeme 12Gb SAS RAID řadič nezabírající místo v PCI-e slotech s podporou RAID 0/1/5/6/10/50/60, minimálně 2GB zálohované cache, podpora min. 230 HDD a min. 64 logických disků, </w:t>
      </w:r>
    </w:p>
    <w:p w14:paraId="2AD4BB46" w14:textId="77777777" w:rsidR="007554C4" w:rsidRPr="003A707B" w:rsidRDefault="007554C4" w:rsidP="007554C4">
      <w:pPr>
        <w:pStyle w:val="Odstavecseseznamem"/>
        <w:numPr>
          <w:ilvl w:val="0"/>
          <w:numId w:val="31"/>
        </w:numPr>
        <w:spacing w:after="0"/>
        <w:jc w:val="left"/>
        <w:rPr>
          <w:rFonts w:ascii="Tahoma" w:hAnsi="Tahoma" w:cs="Tahoma"/>
          <w:color w:val="1F497D"/>
          <w:sz w:val="19"/>
          <w:szCs w:val="19"/>
        </w:rPr>
      </w:pPr>
      <w:r w:rsidRPr="003A707B">
        <w:rPr>
          <w:rFonts w:ascii="Tahoma" w:hAnsi="Tahoma" w:cs="Tahoma"/>
          <w:color w:val="1F497D"/>
          <w:sz w:val="19"/>
          <w:szCs w:val="19"/>
        </w:rPr>
        <w:t>Požadujeme dodávku baterie která zajistí zapsání dat z DRAM části cache RAID řadiče do flash paměti zajišťující ochranu nezapsaných dat po neomezeně dlouhou dobu</w:t>
      </w:r>
    </w:p>
    <w:p w14:paraId="3E214273" w14:textId="77777777" w:rsidR="007554C4" w:rsidRPr="003A707B" w:rsidRDefault="007554C4" w:rsidP="007554C4">
      <w:pPr>
        <w:pStyle w:val="Odstavecseseznamem"/>
        <w:numPr>
          <w:ilvl w:val="0"/>
          <w:numId w:val="31"/>
        </w:numPr>
        <w:spacing w:after="0"/>
        <w:jc w:val="left"/>
        <w:rPr>
          <w:rFonts w:ascii="Tahoma" w:hAnsi="Tahoma" w:cs="Tahoma"/>
          <w:color w:val="1F497D"/>
          <w:sz w:val="19"/>
          <w:szCs w:val="19"/>
        </w:rPr>
      </w:pPr>
      <w:r w:rsidRPr="003A707B">
        <w:rPr>
          <w:rFonts w:ascii="Tahoma" w:hAnsi="Tahoma" w:cs="Tahoma"/>
          <w:color w:val="1F497D"/>
          <w:sz w:val="19"/>
          <w:szCs w:val="19"/>
        </w:rPr>
        <w:t xml:space="preserve">Požadujeme dodávku baterie která zajistí zapsání dat z DRAM části NVDIMM do flash oblasti NVDIMM v případě výpadku napájení </w:t>
      </w:r>
    </w:p>
    <w:p w14:paraId="1CFEFD56" w14:textId="77777777" w:rsidR="007554C4" w:rsidRPr="003A707B" w:rsidRDefault="007554C4" w:rsidP="007554C4">
      <w:pPr>
        <w:pStyle w:val="Odstavecseseznamem"/>
        <w:numPr>
          <w:ilvl w:val="0"/>
          <w:numId w:val="31"/>
        </w:numPr>
        <w:spacing w:after="0"/>
        <w:jc w:val="left"/>
        <w:rPr>
          <w:rFonts w:ascii="Tahoma" w:hAnsi="Tahoma" w:cs="Tahoma"/>
          <w:color w:val="1F497D"/>
          <w:sz w:val="19"/>
          <w:szCs w:val="19"/>
        </w:rPr>
      </w:pPr>
      <w:r w:rsidRPr="003A707B">
        <w:rPr>
          <w:rFonts w:ascii="Tahoma" w:hAnsi="Tahoma" w:cs="Tahoma"/>
          <w:color w:val="1F497D"/>
          <w:sz w:val="19"/>
          <w:szCs w:val="19"/>
        </w:rPr>
        <w:t>RAID řadič musí umožnit současný provoz v RAID i HBA módu, podpora Microsoft Storage Spaces, podpora VMware vSAN</w:t>
      </w:r>
    </w:p>
    <w:p w14:paraId="7D49919F" w14:textId="77777777" w:rsidR="007554C4" w:rsidRPr="003A707B" w:rsidRDefault="007554C4" w:rsidP="007554C4">
      <w:pPr>
        <w:pStyle w:val="Odstavecseseznamem"/>
        <w:numPr>
          <w:ilvl w:val="0"/>
          <w:numId w:val="31"/>
        </w:numPr>
        <w:spacing w:after="0"/>
        <w:jc w:val="left"/>
        <w:rPr>
          <w:rFonts w:ascii="Tahoma" w:hAnsi="Tahoma" w:cs="Tahoma"/>
          <w:color w:val="1F497D"/>
          <w:sz w:val="19"/>
          <w:szCs w:val="19"/>
          <w:lang w:val="en-US"/>
        </w:rPr>
      </w:pPr>
      <w:r w:rsidRPr="003A707B">
        <w:rPr>
          <w:rFonts w:ascii="Tahoma" w:hAnsi="Tahoma" w:cs="Tahoma"/>
          <w:color w:val="1F497D"/>
          <w:sz w:val="19"/>
          <w:szCs w:val="19"/>
        </w:rPr>
        <w:t xml:space="preserve">RAID řadič musí volitelně umožnit šifrování dat na standartních HDD </w:t>
      </w:r>
      <w:r w:rsidRPr="003A707B">
        <w:rPr>
          <w:rFonts w:ascii="Tahoma" w:hAnsi="Tahoma" w:cs="Tahoma"/>
          <w:color w:val="1F497D"/>
          <w:sz w:val="19"/>
          <w:szCs w:val="19"/>
          <w:lang w:val="en-US"/>
        </w:rPr>
        <w:t>(s rozhraním SAS a SATA)</w:t>
      </w:r>
    </w:p>
    <w:p w14:paraId="0A64889C" w14:textId="77777777" w:rsidR="007554C4" w:rsidRPr="003A707B" w:rsidRDefault="007554C4" w:rsidP="007554C4">
      <w:pPr>
        <w:pStyle w:val="Odstavecseseznamem"/>
        <w:numPr>
          <w:ilvl w:val="0"/>
          <w:numId w:val="31"/>
        </w:numPr>
        <w:spacing w:after="0"/>
        <w:jc w:val="left"/>
        <w:rPr>
          <w:rFonts w:ascii="Tahoma" w:hAnsi="Tahoma" w:cs="Tahoma"/>
          <w:color w:val="1F497D"/>
          <w:sz w:val="19"/>
          <w:szCs w:val="19"/>
          <w:lang w:val="en-US"/>
        </w:rPr>
      </w:pPr>
      <w:r w:rsidRPr="003A707B">
        <w:rPr>
          <w:rFonts w:ascii="Tahoma" w:hAnsi="Tahoma" w:cs="Tahoma"/>
          <w:color w:val="1F497D"/>
          <w:sz w:val="19"/>
          <w:szCs w:val="19"/>
          <w:lang w:val="en-US"/>
        </w:rPr>
        <w:t xml:space="preserve">Funkce šifrování musí umožňovat lokální i centrální uložení šifrovacích klíčů </w:t>
      </w:r>
    </w:p>
    <w:p w14:paraId="4DD98849" w14:textId="77777777" w:rsidR="007554C4" w:rsidRPr="003A707B" w:rsidRDefault="007554C4" w:rsidP="007554C4">
      <w:pPr>
        <w:pStyle w:val="Odstavecseseznamem"/>
        <w:numPr>
          <w:ilvl w:val="0"/>
          <w:numId w:val="31"/>
        </w:numPr>
        <w:spacing w:after="0"/>
        <w:jc w:val="left"/>
        <w:rPr>
          <w:rFonts w:ascii="Tahoma" w:hAnsi="Tahoma" w:cs="Tahoma"/>
          <w:color w:val="1F497D"/>
          <w:sz w:val="19"/>
          <w:szCs w:val="19"/>
          <w:lang w:val="en-US"/>
        </w:rPr>
      </w:pPr>
      <w:r w:rsidRPr="003A707B">
        <w:rPr>
          <w:rFonts w:ascii="Tahoma" w:hAnsi="Tahoma" w:cs="Tahoma"/>
          <w:color w:val="1F497D"/>
          <w:sz w:val="19"/>
          <w:szCs w:val="19"/>
          <w:lang w:val="en-US"/>
        </w:rPr>
        <w:t>RAID řadič musí volitelně umožňovat rozšíření cache o SSD oblast</w:t>
      </w:r>
    </w:p>
    <w:p w14:paraId="2D4E3A87" w14:textId="77777777" w:rsidR="007554C4" w:rsidRPr="003A707B" w:rsidRDefault="007554C4" w:rsidP="007554C4">
      <w:pPr>
        <w:pStyle w:val="Odstavecseseznamem"/>
        <w:numPr>
          <w:ilvl w:val="0"/>
          <w:numId w:val="31"/>
        </w:numPr>
        <w:spacing w:after="0"/>
        <w:jc w:val="left"/>
        <w:rPr>
          <w:rFonts w:ascii="Tahoma" w:hAnsi="Tahoma" w:cs="Tahoma"/>
          <w:color w:val="1F497D"/>
          <w:sz w:val="19"/>
          <w:szCs w:val="19"/>
          <w:lang w:val="en-US"/>
        </w:rPr>
      </w:pPr>
      <w:r w:rsidRPr="003A707B">
        <w:rPr>
          <w:rFonts w:ascii="Tahoma" w:hAnsi="Tahoma" w:cs="Tahoma"/>
          <w:color w:val="1F497D"/>
          <w:sz w:val="19"/>
          <w:szCs w:val="19"/>
        </w:rPr>
        <w:t xml:space="preserve">Požadujeme 2ks za chodu vyměnitelných SSD HDD </w:t>
      </w:r>
      <w:r w:rsidRPr="003A707B">
        <w:rPr>
          <w:rFonts w:ascii="Tahoma" w:hAnsi="Tahoma" w:cs="Tahoma"/>
          <w:color w:val="1F497D"/>
          <w:sz w:val="19"/>
          <w:szCs w:val="19"/>
          <w:lang w:val="en-US"/>
        </w:rPr>
        <w:t>o kapacitě 240GB</w:t>
      </w:r>
    </w:p>
    <w:p w14:paraId="2D281700" w14:textId="77777777" w:rsidR="007554C4" w:rsidRDefault="007554C4" w:rsidP="007554C4">
      <w:pPr>
        <w:pStyle w:val="Odstavecseseznamem"/>
        <w:numPr>
          <w:ilvl w:val="0"/>
          <w:numId w:val="31"/>
        </w:numPr>
        <w:spacing w:after="0"/>
        <w:jc w:val="left"/>
        <w:rPr>
          <w:rFonts w:ascii="Tahoma" w:hAnsi="Tahoma" w:cs="Tahoma"/>
          <w:color w:val="1F497D"/>
          <w:sz w:val="19"/>
          <w:szCs w:val="19"/>
          <w:lang w:val="en-US"/>
        </w:rPr>
      </w:pPr>
      <w:r w:rsidRPr="003A707B">
        <w:rPr>
          <w:rFonts w:ascii="Tahoma" w:hAnsi="Tahoma" w:cs="Tahoma"/>
          <w:color w:val="1F497D"/>
          <w:sz w:val="19"/>
          <w:szCs w:val="19"/>
        </w:rPr>
        <w:t xml:space="preserve">Požadujeme 12ks za chodu vyměnitelných HDD </w:t>
      </w:r>
      <w:r w:rsidRPr="003A707B">
        <w:rPr>
          <w:rFonts w:ascii="Tahoma" w:hAnsi="Tahoma" w:cs="Tahoma"/>
          <w:color w:val="1F497D"/>
          <w:sz w:val="19"/>
          <w:szCs w:val="19"/>
          <w:lang w:val="en-US"/>
        </w:rPr>
        <w:t>o kapacitě 2.4GB , rozhraní SAS 12Gb , 10tis. Otáček</w:t>
      </w:r>
    </w:p>
    <w:p w14:paraId="76071930" w14:textId="77777777" w:rsidR="007554C4" w:rsidRPr="00ED7520" w:rsidRDefault="007554C4" w:rsidP="007554C4">
      <w:pPr>
        <w:pStyle w:val="Odstavecseseznamem"/>
        <w:numPr>
          <w:ilvl w:val="0"/>
          <w:numId w:val="31"/>
        </w:numPr>
        <w:spacing w:after="0"/>
        <w:jc w:val="left"/>
        <w:rPr>
          <w:rFonts w:ascii="Tahoma" w:hAnsi="Tahoma" w:cs="Tahoma"/>
          <w:color w:val="1F497D"/>
          <w:sz w:val="19"/>
          <w:szCs w:val="19"/>
          <w:lang w:val="en-US"/>
        </w:rPr>
      </w:pPr>
      <w:r w:rsidRPr="00ED7520">
        <w:rPr>
          <w:rFonts w:ascii="Tahoma" w:hAnsi="Tahoma" w:cs="Tahoma"/>
          <w:color w:val="1F497D"/>
          <w:sz w:val="19"/>
          <w:szCs w:val="19"/>
          <w:lang w:val="en-US"/>
        </w:rPr>
        <w:t>Podpora UEFI Secure Boot</w:t>
      </w:r>
    </w:p>
    <w:p w14:paraId="095E3D81" w14:textId="77777777" w:rsidR="007554C4" w:rsidRPr="00ED7520" w:rsidRDefault="007554C4" w:rsidP="007554C4">
      <w:pPr>
        <w:pStyle w:val="Odstavecseseznamem"/>
        <w:numPr>
          <w:ilvl w:val="0"/>
          <w:numId w:val="31"/>
        </w:numPr>
        <w:spacing w:after="0"/>
        <w:jc w:val="left"/>
        <w:rPr>
          <w:rFonts w:ascii="Tahoma" w:hAnsi="Tahoma" w:cs="Tahoma"/>
          <w:color w:val="1F497D"/>
          <w:sz w:val="19"/>
          <w:szCs w:val="19"/>
          <w:lang w:val="en-US"/>
        </w:rPr>
      </w:pPr>
      <w:r w:rsidRPr="00ED7520">
        <w:rPr>
          <w:rFonts w:ascii="Tahoma" w:hAnsi="Tahoma" w:cs="Tahoma"/>
          <w:color w:val="1F497D"/>
          <w:sz w:val="19"/>
          <w:szCs w:val="19"/>
          <w:lang w:val="en-US"/>
        </w:rPr>
        <w:t>Podpora pro NVMe boot</w:t>
      </w:r>
    </w:p>
    <w:p w14:paraId="7F6A2319" w14:textId="77777777" w:rsidR="007554C4" w:rsidRPr="00ED7520" w:rsidRDefault="007554C4" w:rsidP="007554C4">
      <w:pPr>
        <w:pStyle w:val="Odstavecseseznamem"/>
        <w:numPr>
          <w:ilvl w:val="0"/>
          <w:numId w:val="31"/>
        </w:numPr>
        <w:spacing w:after="0"/>
        <w:jc w:val="left"/>
        <w:rPr>
          <w:rFonts w:ascii="Tahoma" w:hAnsi="Tahoma" w:cs="Tahoma"/>
          <w:color w:val="1F497D"/>
          <w:sz w:val="19"/>
          <w:szCs w:val="19"/>
          <w:lang w:val="en-US"/>
        </w:rPr>
      </w:pPr>
      <w:r w:rsidRPr="00ED7520">
        <w:rPr>
          <w:rFonts w:ascii="Tahoma" w:hAnsi="Tahoma" w:cs="Tahoma"/>
          <w:color w:val="1F497D"/>
          <w:sz w:val="19"/>
          <w:szCs w:val="19"/>
          <w:lang w:val="en-US"/>
        </w:rPr>
        <w:t>Podpora pro PXE boot IPv4</w:t>
      </w:r>
    </w:p>
    <w:p w14:paraId="25D180DA" w14:textId="77777777" w:rsidR="007554C4" w:rsidRPr="00ED7520" w:rsidRDefault="007554C4" w:rsidP="007554C4">
      <w:pPr>
        <w:pStyle w:val="Odstavecseseznamem"/>
        <w:numPr>
          <w:ilvl w:val="0"/>
          <w:numId w:val="31"/>
        </w:numPr>
        <w:spacing w:after="0"/>
        <w:jc w:val="left"/>
        <w:rPr>
          <w:rFonts w:ascii="Tahoma" w:hAnsi="Tahoma" w:cs="Tahoma"/>
          <w:color w:val="1F497D"/>
          <w:sz w:val="19"/>
          <w:szCs w:val="19"/>
          <w:lang w:val="en-US"/>
        </w:rPr>
      </w:pPr>
      <w:r w:rsidRPr="00ED7520">
        <w:rPr>
          <w:rFonts w:ascii="Tahoma" w:hAnsi="Tahoma" w:cs="Tahoma"/>
          <w:color w:val="1F497D"/>
          <w:sz w:val="19"/>
          <w:szCs w:val="19"/>
          <w:lang w:val="en-US"/>
        </w:rPr>
        <w:t>Podpora pro PXE boot IPv6</w:t>
      </w:r>
    </w:p>
    <w:p w14:paraId="7148EDF4" w14:textId="77777777" w:rsidR="007554C4" w:rsidRPr="00ED7520" w:rsidRDefault="007554C4" w:rsidP="007554C4">
      <w:pPr>
        <w:pStyle w:val="Odstavecseseznamem"/>
        <w:numPr>
          <w:ilvl w:val="0"/>
          <w:numId w:val="31"/>
        </w:numPr>
        <w:spacing w:after="0"/>
        <w:jc w:val="left"/>
        <w:rPr>
          <w:rFonts w:ascii="Tahoma" w:hAnsi="Tahoma" w:cs="Tahoma"/>
          <w:color w:val="1F497D"/>
          <w:sz w:val="19"/>
          <w:szCs w:val="19"/>
          <w:lang w:val="en-US"/>
        </w:rPr>
      </w:pPr>
      <w:r w:rsidRPr="00ED7520">
        <w:rPr>
          <w:rFonts w:ascii="Tahoma" w:hAnsi="Tahoma" w:cs="Tahoma"/>
          <w:color w:val="1F497D"/>
          <w:sz w:val="19"/>
          <w:szCs w:val="19"/>
          <w:lang w:val="en-US"/>
        </w:rPr>
        <w:t>Podpora pro HTTP/HTTPS boot</w:t>
      </w:r>
    </w:p>
    <w:p w14:paraId="15DDA3C7" w14:textId="77777777" w:rsidR="007554C4" w:rsidRPr="00ED7520" w:rsidRDefault="007554C4" w:rsidP="007554C4">
      <w:pPr>
        <w:pStyle w:val="Odstavecseseznamem"/>
        <w:numPr>
          <w:ilvl w:val="0"/>
          <w:numId w:val="31"/>
        </w:numPr>
        <w:spacing w:after="0"/>
        <w:jc w:val="left"/>
        <w:rPr>
          <w:rFonts w:ascii="Tahoma" w:hAnsi="Tahoma" w:cs="Tahoma"/>
          <w:color w:val="1F497D"/>
          <w:sz w:val="19"/>
          <w:szCs w:val="19"/>
          <w:lang w:val="en-US"/>
        </w:rPr>
      </w:pPr>
      <w:r w:rsidRPr="00ED7520">
        <w:rPr>
          <w:rFonts w:ascii="Tahoma" w:hAnsi="Tahoma" w:cs="Tahoma"/>
          <w:color w:val="1F497D"/>
          <w:sz w:val="19"/>
          <w:szCs w:val="19"/>
          <w:lang w:val="en-US"/>
        </w:rPr>
        <w:t>Integrovaný nezávislý procesor pro vzdálenou správu umožňující :</w:t>
      </w:r>
    </w:p>
    <w:p w14:paraId="72E0BFC3" w14:textId="77777777" w:rsidR="007554C4" w:rsidRPr="00ED7520" w:rsidRDefault="007554C4" w:rsidP="007554C4">
      <w:pPr>
        <w:pStyle w:val="Odstavecseseznamem"/>
        <w:numPr>
          <w:ilvl w:val="1"/>
          <w:numId w:val="31"/>
        </w:numPr>
        <w:spacing w:after="0"/>
        <w:jc w:val="left"/>
        <w:rPr>
          <w:rFonts w:ascii="Tahoma" w:hAnsi="Tahoma" w:cs="Tahoma"/>
          <w:color w:val="1F497D"/>
          <w:sz w:val="19"/>
          <w:szCs w:val="19"/>
          <w:lang w:val="en-US"/>
        </w:rPr>
      </w:pPr>
      <w:r w:rsidRPr="00ED7520">
        <w:rPr>
          <w:rFonts w:ascii="Tahoma" w:hAnsi="Tahoma" w:cs="Tahoma"/>
          <w:color w:val="1F497D"/>
          <w:sz w:val="19"/>
          <w:szCs w:val="19"/>
          <w:lang w:val="en-US"/>
        </w:rPr>
        <w:t>Řízení přístupových práv k centrální části SW a k management nástrojům pomocí účtů Active Directory domény, dvoufaktorová autentizace uživatele PINem a certifikátem</w:t>
      </w:r>
    </w:p>
    <w:p w14:paraId="33299E11" w14:textId="77777777" w:rsidR="007554C4" w:rsidRPr="00ED7520" w:rsidRDefault="007554C4" w:rsidP="007554C4">
      <w:pPr>
        <w:pStyle w:val="Odstavecseseznamem"/>
        <w:numPr>
          <w:ilvl w:val="1"/>
          <w:numId w:val="31"/>
        </w:numPr>
        <w:spacing w:after="0"/>
        <w:jc w:val="left"/>
        <w:rPr>
          <w:rFonts w:ascii="Tahoma" w:hAnsi="Tahoma" w:cs="Tahoma"/>
          <w:color w:val="1F497D"/>
          <w:sz w:val="19"/>
          <w:szCs w:val="19"/>
          <w:lang w:val="en-US"/>
        </w:rPr>
      </w:pPr>
      <w:r w:rsidRPr="00ED7520">
        <w:rPr>
          <w:rFonts w:ascii="Tahoma" w:hAnsi="Tahoma" w:cs="Tahoma"/>
          <w:color w:val="1F497D"/>
          <w:sz w:val="19"/>
          <w:szCs w:val="19"/>
          <w:lang w:val="en-US"/>
        </w:rPr>
        <w:t>Virtuální KVM (tj. převzetí textové i grafické konsole serveru a zajištění přenosu povelů z klávesnice a myši vzdáleného počítače), včetně možnosti sdílení až čtyřmi uživateli současně u plně grafické konsole</w:t>
      </w:r>
    </w:p>
    <w:p w14:paraId="5EA1C053" w14:textId="77777777" w:rsidR="007554C4" w:rsidRPr="00ED7520" w:rsidRDefault="007554C4" w:rsidP="007554C4">
      <w:pPr>
        <w:pStyle w:val="Odstavecseseznamem"/>
        <w:numPr>
          <w:ilvl w:val="1"/>
          <w:numId w:val="31"/>
        </w:numPr>
        <w:spacing w:after="0"/>
        <w:jc w:val="left"/>
        <w:rPr>
          <w:rFonts w:ascii="Tahoma" w:hAnsi="Tahoma" w:cs="Tahoma"/>
          <w:color w:val="1F497D"/>
          <w:sz w:val="19"/>
          <w:szCs w:val="19"/>
          <w:lang w:val="en-US"/>
        </w:rPr>
      </w:pPr>
      <w:r w:rsidRPr="00ED7520">
        <w:rPr>
          <w:rFonts w:ascii="Tahoma" w:hAnsi="Tahoma" w:cs="Tahoma"/>
          <w:color w:val="1F497D"/>
          <w:sz w:val="19"/>
          <w:szCs w:val="19"/>
          <w:lang w:val="en-US"/>
        </w:rPr>
        <w:t>Vzdálená grafická konsole s rozlišením min. 1600x1200</w:t>
      </w:r>
    </w:p>
    <w:p w14:paraId="7E5C1B4C" w14:textId="77777777" w:rsidR="007554C4" w:rsidRPr="00ED7520" w:rsidRDefault="007554C4" w:rsidP="007554C4">
      <w:pPr>
        <w:pStyle w:val="Odstavecseseznamem"/>
        <w:numPr>
          <w:ilvl w:val="1"/>
          <w:numId w:val="31"/>
        </w:numPr>
        <w:spacing w:after="0"/>
        <w:jc w:val="left"/>
        <w:rPr>
          <w:rFonts w:ascii="Tahoma" w:hAnsi="Tahoma" w:cs="Tahoma"/>
          <w:color w:val="1F497D"/>
          <w:sz w:val="19"/>
          <w:szCs w:val="19"/>
          <w:lang w:val="en-US"/>
        </w:rPr>
      </w:pPr>
      <w:r w:rsidRPr="00ED7520">
        <w:rPr>
          <w:rFonts w:ascii="Tahoma" w:hAnsi="Tahoma" w:cs="Tahoma"/>
          <w:color w:val="1F497D"/>
          <w:sz w:val="19"/>
          <w:szCs w:val="19"/>
          <w:lang w:val="en-US"/>
        </w:rPr>
        <w:t>GUI v HTML5 interface s možností využití běžných www prohlížečů integrovaných v desktopovém OS pro správu serverů (IE, Firefox)</w:t>
      </w:r>
    </w:p>
    <w:p w14:paraId="2E902913" w14:textId="77777777" w:rsidR="007554C4" w:rsidRPr="00ED7520" w:rsidRDefault="007554C4" w:rsidP="007554C4">
      <w:pPr>
        <w:pStyle w:val="Odstavecseseznamem"/>
        <w:numPr>
          <w:ilvl w:val="1"/>
          <w:numId w:val="31"/>
        </w:numPr>
        <w:spacing w:after="0"/>
        <w:jc w:val="left"/>
        <w:rPr>
          <w:rFonts w:ascii="Tahoma" w:hAnsi="Tahoma" w:cs="Tahoma"/>
          <w:color w:val="1F497D"/>
          <w:sz w:val="19"/>
          <w:szCs w:val="19"/>
          <w:lang w:val="en-US"/>
        </w:rPr>
      </w:pPr>
      <w:r w:rsidRPr="00ED7520">
        <w:rPr>
          <w:rFonts w:ascii="Tahoma" w:hAnsi="Tahoma" w:cs="Tahoma"/>
          <w:color w:val="1F497D"/>
          <w:sz w:val="19"/>
          <w:szCs w:val="19"/>
          <w:lang w:val="en-US"/>
        </w:rPr>
        <w:t>Možnost přesměrování terminálových služeb Windows na dedikovaný management port</w:t>
      </w:r>
    </w:p>
    <w:p w14:paraId="6B84781F" w14:textId="77777777" w:rsidR="007554C4" w:rsidRPr="00ED7520" w:rsidRDefault="007554C4" w:rsidP="007554C4">
      <w:pPr>
        <w:pStyle w:val="Odstavecseseznamem"/>
        <w:numPr>
          <w:ilvl w:val="1"/>
          <w:numId w:val="31"/>
        </w:numPr>
        <w:spacing w:after="0"/>
        <w:jc w:val="left"/>
        <w:rPr>
          <w:rFonts w:ascii="Tahoma" w:hAnsi="Tahoma" w:cs="Tahoma"/>
          <w:color w:val="1F497D"/>
          <w:sz w:val="19"/>
          <w:szCs w:val="19"/>
          <w:lang w:val="en-US"/>
        </w:rPr>
      </w:pPr>
      <w:r w:rsidRPr="00ED7520">
        <w:rPr>
          <w:rFonts w:ascii="Tahoma" w:hAnsi="Tahoma" w:cs="Tahoma"/>
          <w:color w:val="1F497D"/>
          <w:sz w:val="19"/>
          <w:szCs w:val="19"/>
          <w:lang w:val="en-US"/>
        </w:rPr>
        <w:t>Možnost záznamu a následného přehrání videozáznamu chybové obrazovky a následného restartu</w:t>
      </w:r>
    </w:p>
    <w:p w14:paraId="54011C45" w14:textId="77777777" w:rsidR="007554C4" w:rsidRPr="00ED7520" w:rsidRDefault="007554C4" w:rsidP="007554C4">
      <w:pPr>
        <w:pStyle w:val="Odstavecseseznamem"/>
        <w:numPr>
          <w:ilvl w:val="1"/>
          <w:numId w:val="31"/>
        </w:numPr>
        <w:spacing w:after="0"/>
        <w:jc w:val="left"/>
        <w:rPr>
          <w:rFonts w:ascii="Tahoma" w:hAnsi="Tahoma" w:cs="Tahoma"/>
          <w:color w:val="1F497D"/>
          <w:sz w:val="19"/>
          <w:szCs w:val="19"/>
          <w:lang w:val="en-US"/>
        </w:rPr>
      </w:pPr>
      <w:r w:rsidRPr="00ED7520">
        <w:rPr>
          <w:rFonts w:ascii="Tahoma" w:hAnsi="Tahoma" w:cs="Tahoma"/>
          <w:color w:val="1F497D"/>
          <w:sz w:val="19"/>
          <w:szCs w:val="19"/>
          <w:lang w:val="en-US"/>
        </w:rPr>
        <w:t>Zapnutí, vypnutí a restart serveru na dálku</w:t>
      </w:r>
    </w:p>
    <w:p w14:paraId="49A66932" w14:textId="77777777" w:rsidR="007554C4" w:rsidRPr="00ED7520" w:rsidRDefault="007554C4" w:rsidP="007554C4">
      <w:pPr>
        <w:pStyle w:val="Odstavecseseznamem"/>
        <w:numPr>
          <w:ilvl w:val="2"/>
          <w:numId w:val="31"/>
        </w:numPr>
        <w:spacing w:after="0"/>
        <w:jc w:val="left"/>
        <w:rPr>
          <w:rFonts w:ascii="Tahoma" w:hAnsi="Tahoma" w:cs="Tahoma"/>
          <w:color w:val="1F497D"/>
          <w:sz w:val="19"/>
          <w:szCs w:val="19"/>
          <w:lang w:val="en-US"/>
        </w:rPr>
      </w:pPr>
      <w:r w:rsidRPr="00ED7520">
        <w:rPr>
          <w:rFonts w:ascii="Tahoma" w:hAnsi="Tahoma" w:cs="Tahoma"/>
          <w:color w:val="1F497D"/>
          <w:sz w:val="19"/>
          <w:szCs w:val="19"/>
          <w:lang w:val="en-US"/>
        </w:rPr>
        <w:t>Namapování vzdálených medií Floppy/CD, image souborů a adresářů</w:t>
      </w:r>
    </w:p>
    <w:p w14:paraId="101E6CBF" w14:textId="77777777" w:rsidR="007554C4" w:rsidRPr="00ED7520" w:rsidRDefault="007554C4" w:rsidP="007554C4">
      <w:pPr>
        <w:pStyle w:val="Odstavecseseznamem"/>
        <w:numPr>
          <w:ilvl w:val="1"/>
          <w:numId w:val="31"/>
        </w:numPr>
        <w:spacing w:after="0"/>
        <w:jc w:val="left"/>
        <w:rPr>
          <w:rFonts w:ascii="Tahoma" w:hAnsi="Tahoma" w:cs="Tahoma"/>
          <w:color w:val="1F497D"/>
          <w:sz w:val="19"/>
          <w:szCs w:val="19"/>
          <w:lang w:val="en-US"/>
        </w:rPr>
      </w:pPr>
      <w:r w:rsidRPr="00ED7520">
        <w:rPr>
          <w:rFonts w:ascii="Tahoma" w:hAnsi="Tahoma" w:cs="Tahoma"/>
          <w:color w:val="1F497D"/>
          <w:sz w:val="19"/>
          <w:szCs w:val="19"/>
          <w:lang w:val="en-US"/>
        </w:rPr>
        <w:lastRenderedPageBreak/>
        <w:t>Kódování Advanced Encryption Standard (AES) a Triple Data Encryption Standard (3DES) pro zabezpečení komunikace s běžnými www prohlížeči</w:t>
      </w:r>
    </w:p>
    <w:p w14:paraId="7A3E9D18" w14:textId="77777777" w:rsidR="007554C4" w:rsidRPr="00ED7520" w:rsidRDefault="007554C4" w:rsidP="007554C4">
      <w:pPr>
        <w:pStyle w:val="Odstavecseseznamem"/>
        <w:numPr>
          <w:ilvl w:val="1"/>
          <w:numId w:val="31"/>
        </w:numPr>
        <w:spacing w:after="0"/>
        <w:jc w:val="left"/>
        <w:rPr>
          <w:rFonts w:ascii="Tahoma" w:hAnsi="Tahoma" w:cs="Tahoma"/>
          <w:color w:val="1F497D"/>
          <w:sz w:val="19"/>
          <w:szCs w:val="19"/>
          <w:lang w:val="en-US"/>
        </w:rPr>
      </w:pPr>
      <w:r w:rsidRPr="00ED7520">
        <w:rPr>
          <w:rFonts w:ascii="Tahoma" w:hAnsi="Tahoma" w:cs="Tahoma"/>
          <w:color w:val="1F497D"/>
          <w:sz w:val="19"/>
          <w:szCs w:val="19"/>
          <w:lang w:val="en-US"/>
        </w:rPr>
        <w:t>RESTful API rozhraní pro skriptování</w:t>
      </w:r>
    </w:p>
    <w:p w14:paraId="4F1DAD62" w14:textId="77777777" w:rsidR="007554C4" w:rsidRPr="00ED7520" w:rsidRDefault="007554C4" w:rsidP="007554C4">
      <w:pPr>
        <w:pStyle w:val="Odstavecseseznamem"/>
        <w:numPr>
          <w:ilvl w:val="1"/>
          <w:numId w:val="31"/>
        </w:numPr>
        <w:spacing w:after="0"/>
        <w:jc w:val="left"/>
        <w:rPr>
          <w:rFonts w:ascii="Tahoma" w:hAnsi="Tahoma" w:cs="Tahoma"/>
          <w:color w:val="1F497D"/>
          <w:sz w:val="19"/>
          <w:szCs w:val="19"/>
          <w:lang w:val="en-US"/>
        </w:rPr>
      </w:pPr>
      <w:r w:rsidRPr="00ED7520">
        <w:rPr>
          <w:rFonts w:ascii="Tahoma" w:hAnsi="Tahoma" w:cs="Tahoma"/>
          <w:color w:val="1F497D"/>
          <w:sz w:val="19"/>
          <w:szCs w:val="19"/>
          <w:lang w:val="en-US"/>
        </w:rPr>
        <w:t>Možnost detekce otevření chassis serveru</w:t>
      </w:r>
    </w:p>
    <w:p w14:paraId="4091789F" w14:textId="77777777" w:rsidR="007554C4" w:rsidRPr="00ED7520" w:rsidRDefault="007554C4" w:rsidP="007554C4">
      <w:pPr>
        <w:pStyle w:val="Odstavecseseznamem"/>
        <w:numPr>
          <w:ilvl w:val="1"/>
          <w:numId w:val="31"/>
        </w:numPr>
        <w:spacing w:after="0"/>
        <w:jc w:val="left"/>
        <w:rPr>
          <w:rFonts w:ascii="Tahoma" w:hAnsi="Tahoma" w:cs="Tahoma"/>
          <w:color w:val="1F497D"/>
          <w:sz w:val="19"/>
          <w:szCs w:val="19"/>
          <w:lang w:val="en-US"/>
        </w:rPr>
      </w:pPr>
      <w:r w:rsidRPr="00ED7520">
        <w:rPr>
          <w:rFonts w:ascii="Tahoma" w:hAnsi="Tahoma" w:cs="Tahoma"/>
          <w:color w:val="1F497D"/>
          <w:sz w:val="19"/>
          <w:szCs w:val="19"/>
          <w:lang w:val="en-US"/>
        </w:rPr>
        <w:t>Musí umožňovat stabilizaci nežádoucích fluktuací frekvence procesoru mezi nativní a Turbo frekvencí</w:t>
      </w:r>
    </w:p>
    <w:p w14:paraId="27CD3472" w14:textId="77777777" w:rsidR="007554C4" w:rsidRPr="00ED7520" w:rsidRDefault="007554C4" w:rsidP="007554C4">
      <w:pPr>
        <w:pStyle w:val="Odstavecseseznamem"/>
        <w:numPr>
          <w:ilvl w:val="1"/>
          <w:numId w:val="31"/>
        </w:numPr>
        <w:spacing w:after="0"/>
        <w:jc w:val="left"/>
        <w:rPr>
          <w:rFonts w:ascii="Tahoma" w:hAnsi="Tahoma" w:cs="Tahoma"/>
          <w:color w:val="1F497D"/>
          <w:sz w:val="19"/>
          <w:szCs w:val="19"/>
          <w:lang w:val="en-US"/>
        </w:rPr>
      </w:pPr>
      <w:r w:rsidRPr="00ED7520">
        <w:rPr>
          <w:rFonts w:ascii="Tahoma" w:hAnsi="Tahoma" w:cs="Tahoma"/>
          <w:color w:val="1F497D"/>
          <w:sz w:val="19"/>
          <w:szCs w:val="19"/>
          <w:lang w:val="en-US"/>
        </w:rPr>
        <w:t>Musí umožňovat optimalizaci výkonu serveru v závislosti na zvoleném druhu zátěže</w:t>
      </w:r>
    </w:p>
    <w:p w14:paraId="0661B43D" w14:textId="77777777" w:rsidR="007554C4" w:rsidRPr="00ED7520" w:rsidRDefault="007554C4" w:rsidP="007554C4">
      <w:pPr>
        <w:pStyle w:val="Odstavecseseznamem"/>
        <w:numPr>
          <w:ilvl w:val="1"/>
          <w:numId w:val="31"/>
        </w:numPr>
        <w:spacing w:after="0"/>
        <w:jc w:val="left"/>
        <w:rPr>
          <w:rFonts w:ascii="Tahoma" w:hAnsi="Tahoma" w:cs="Tahoma"/>
          <w:color w:val="1F497D"/>
          <w:sz w:val="19"/>
          <w:szCs w:val="19"/>
          <w:lang w:val="en-US"/>
        </w:rPr>
      </w:pPr>
      <w:r w:rsidRPr="00ED7520">
        <w:rPr>
          <w:rFonts w:ascii="Tahoma" w:hAnsi="Tahoma" w:cs="Tahoma"/>
          <w:color w:val="1F497D"/>
          <w:sz w:val="19"/>
          <w:szCs w:val="19"/>
          <w:lang w:val="en-US"/>
        </w:rPr>
        <w:t>Možnost nastavit sdílenou komunikaci pro správu celého systému přes standardní integrovaný Ethernet port s možností využití technologie VPN</w:t>
      </w:r>
    </w:p>
    <w:p w14:paraId="6D4C2BD3" w14:textId="77777777" w:rsidR="007554C4" w:rsidRPr="00ED7520" w:rsidRDefault="007554C4" w:rsidP="007554C4">
      <w:pPr>
        <w:pStyle w:val="Odstavecseseznamem"/>
        <w:numPr>
          <w:ilvl w:val="1"/>
          <w:numId w:val="31"/>
        </w:numPr>
        <w:spacing w:after="0"/>
        <w:jc w:val="left"/>
        <w:rPr>
          <w:rFonts w:ascii="Tahoma" w:hAnsi="Tahoma" w:cs="Tahoma"/>
          <w:color w:val="1F497D"/>
          <w:sz w:val="19"/>
          <w:szCs w:val="19"/>
          <w:lang w:val="en-US"/>
        </w:rPr>
      </w:pPr>
      <w:r w:rsidRPr="00ED7520">
        <w:rPr>
          <w:rFonts w:ascii="Tahoma" w:hAnsi="Tahoma" w:cs="Tahoma"/>
          <w:color w:val="1F497D"/>
          <w:sz w:val="19"/>
          <w:szCs w:val="19"/>
          <w:lang w:val="en-US"/>
        </w:rPr>
        <w:t>Možnost zasílání proaktivních hlášení o možných chybách v systému pomocí SNMP v3 a také na uživatelsky definovanou emailovou adresu</w:t>
      </w:r>
    </w:p>
    <w:p w14:paraId="1E3A292D" w14:textId="77777777" w:rsidR="007554C4" w:rsidRPr="00ED7520" w:rsidRDefault="007554C4" w:rsidP="007554C4">
      <w:pPr>
        <w:pStyle w:val="Odstavecseseznamem"/>
        <w:numPr>
          <w:ilvl w:val="1"/>
          <w:numId w:val="31"/>
        </w:numPr>
        <w:spacing w:after="0"/>
        <w:jc w:val="left"/>
        <w:rPr>
          <w:rFonts w:ascii="Tahoma" w:hAnsi="Tahoma" w:cs="Tahoma"/>
          <w:color w:val="1F497D"/>
          <w:sz w:val="19"/>
          <w:szCs w:val="19"/>
          <w:lang w:val="en-US"/>
        </w:rPr>
      </w:pPr>
      <w:r w:rsidRPr="00ED7520">
        <w:rPr>
          <w:rFonts w:ascii="Tahoma" w:hAnsi="Tahoma" w:cs="Tahoma"/>
          <w:color w:val="1F497D"/>
          <w:sz w:val="19"/>
          <w:szCs w:val="19"/>
          <w:lang w:val="en-US"/>
        </w:rPr>
        <w:t>Monitorování okamžité teploty a záznam hodnot do lokální db</w:t>
      </w:r>
    </w:p>
    <w:p w14:paraId="384A7000" w14:textId="77777777" w:rsidR="007554C4" w:rsidRPr="00ED7520" w:rsidRDefault="007554C4" w:rsidP="007554C4">
      <w:pPr>
        <w:pStyle w:val="Odstavecseseznamem"/>
        <w:numPr>
          <w:ilvl w:val="1"/>
          <w:numId w:val="31"/>
        </w:numPr>
        <w:spacing w:after="0"/>
        <w:jc w:val="left"/>
        <w:rPr>
          <w:rFonts w:ascii="Tahoma" w:hAnsi="Tahoma" w:cs="Tahoma"/>
          <w:color w:val="1F497D"/>
          <w:sz w:val="19"/>
          <w:szCs w:val="19"/>
          <w:lang w:val="en-US"/>
        </w:rPr>
      </w:pPr>
      <w:r w:rsidRPr="00ED7520">
        <w:rPr>
          <w:rFonts w:ascii="Tahoma" w:hAnsi="Tahoma" w:cs="Tahoma"/>
          <w:color w:val="1F497D"/>
          <w:sz w:val="19"/>
          <w:szCs w:val="19"/>
          <w:lang w:val="en-US"/>
        </w:rPr>
        <w:t>Možnost skupinové správy všech poptávaných serverů prostřednictvím jedné servisní konzole</w:t>
      </w:r>
    </w:p>
    <w:p w14:paraId="1AB782E0" w14:textId="77777777" w:rsidR="007554C4" w:rsidRPr="00ED7520" w:rsidRDefault="007554C4" w:rsidP="007554C4">
      <w:pPr>
        <w:pStyle w:val="Odstavecseseznamem"/>
        <w:numPr>
          <w:ilvl w:val="1"/>
          <w:numId w:val="31"/>
        </w:numPr>
        <w:spacing w:after="0"/>
        <w:jc w:val="left"/>
        <w:rPr>
          <w:rFonts w:ascii="Tahoma" w:hAnsi="Tahoma" w:cs="Tahoma"/>
          <w:color w:val="1F497D"/>
          <w:sz w:val="19"/>
          <w:szCs w:val="19"/>
          <w:lang w:val="en-US"/>
        </w:rPr>
      </w:pPr>
      <w:r w:rsidRPr="00ED7520">
        <w:rPr>
          <w:rFonts w:ascii="Tahoma" w:hAnsi="Tahoma" w:cs="Tahoma"/>
          <w:color w:val="1F497D"/>
          <w:sz w:val="19"/>
          <w:szCs w:val="19"/>
          <w:lang w:val="en-US"/>
        </w:rPr>
        <w:t>Možnost skupinového update firmware více serverů bez nutnosti instalace SW</w:t>
      </w:r>
    </w:p>
    <w:p w14:paraId="0D247ACF" w14:textId="77777777" w:rsidR="007554C4" w:rsidRPr="00ED7520" w:rsidRDefault="007554C4" w:rsidP="007554C4">
      <w:pPr>
        <w:pStyle w:val="Odstavecseseznamem"/>
        <w:numPr>
          <w:ilvl w:val="1"/>
          <w:numId w:val="31"/>
        </w:numPr>
        <w:spacing w:after="0"/>
        <w:jc w:val="left"/>
        <w:rPr>
          <w:rFonts w:ascii="Tahoma" w:hAnsi="Tahoma" w:cs="Tahoma"/>
          <w:color w:val="1F497D"/>
          <w:sz w:val="19"/>
          <w:szCs w:val="19"/>
          <w:lang w:val="en-US"/>
        </w:rPr>
      </w:pPr>
      <w:r w:rsidRPr="00ED7520">
        <w:rPr>
          <w:rFonts w:ascii="Tahoma" w:hAnsi="Tahoma" w:cs="Tahoma"/>
          <w:color w:val="1F497D"/>
          <w:sz w:val="19"/>
          <w:szCs w:val="19"/>
          <w:lang w:val="en-US"/>
        </w:rPr>
        <w:t>Správa serverů umožňuje vzdálené monitorování a reporting událostí/závad i mimo firemní síť/VPN, v rámci globálního internetového portálu nebo cloud služby s podporou pro mobilní zařízení (Android, iOS)</w:t>
      </w:r>
    </w:p>
    <w:p w14:paraId="4B8809DA" w14:textId="77777777" w:rsidR="007554C4" w:rsidRPr="00ED7520" w:rsidRDefault="007554C4" w:rsidP="007554C4">
      <w:pPr>
        <w:pStyle w:val="Odstavecseseznamem"/>
        <w:numPr>
          <w:ilvl w:val="0"/>
          <w:numId w:val="31"/>
        </w:numPr>
        <w:spacing w:after="0"/>
        <w:jc w:val="left"/>
        <w:rPr>
          <w:rFonts w:ascii="Tahoma" w:hAnsi="Tahoma" w:cs="Tahoma"/>
          <w:color w:val="1F497D"/>
          <w:sz w:val="19"/>
          <w:szCs w:val="19"/>
          <w:lang w:val="en-US"/>
        </w:rPr>
      </w:pPr>
      <w:r w:rsidRPr="00ED7520">
        <w:rPr>
          <w:rFonts w:ascii="Tahoma" w:hAnsi="Tahoma" w:cs="Tahoma"/>
          <w:color w:val="1F497D"/>
          <w:sz w:val="19"/>
          <w:szCs w:val="19"/>
          <w:lang w:val="en-US"/>
        </w:rPr>
        <w:t>Server musí být schopen zajistit bezpečný provoz firmware komponent v serveru (minimálně HDD, SSD, síťové adaptéry, BIOS a vzdálenou správu) po celou dobu životnosti serveru. Server musí být schopen autonomně monitorovat autenticitu firmawre na těchto komponentách</w:t>
      </w:r>
    </w:p>
    <w:p w14:paraId="3CEEC1F1" w14:textId="77777777" w:rsidR="007554C4" w:rsidRPr="00ED7520" w:rsidRDefault="007554C4" w:rsidP="007554C4">
      <w:pPr>
        <w:pStyle w:val="Odstavecseseznamem"/>
        <w:numPr>
          <w:ilvl w:val="0"/>
          <w:numId w:val="31"/>
        </w:numPr>
        <w:spacing w:after="0"/>
        <w:jc w:val="left"/>
        <w:rPr>
          <w:rFonts w:ascii="Tahoma" w:hAnsi="Tahoma" w:cs="Tahoma"/>
          <w:color w:val="1F497D"/>
          <w:sz w:val="19"/>
          <w:szCs w:val="19"/>
          <w:lang w:val="en-US"/>
        </w:rPr>
      </w:pPr>
      <w:r w:rsidRPr="00ED7520">
        <w:rPr>
          <w:rFonts w:ascii="Tahoma" w:hAnsi="Tahoma" w:cs="Tahoma"/>
          <w:color w:val="1F497D"/>
          <w:sz w:val="19"/>
          <w:szCs w:val="19"/>
          <w:lang w:val="en-US"/>
        </w:rPr>
        <w:t>Integrovaný nástroj pro upgrade firmware s možnosti automatické aktualizace od výrobce HW</w:t>
      </w:r>
    </w:p>
    <w:p w14:paraId="2E931AE9" w14:textId="77777777" w:rsidR="007554C4" w:rsidRPr="00ED7520" w:rsidRDefault="007554C4" w:rsidP="007554C4">
      <w:pPr>
        <w:pStyle w:val="Odstavecseseznamem"/>
        <w:numPr>
          <w:ilvl w:val="0"/>
          <w:numId w:val="31"/>
        </w:numPr>
        <w:spacing w:after="0"/>
        <w:jc w:val="left"/>
        <w:rPr>
          <w:rFonts w:ascii="Tahoma" w:hAnsi="Tahoma" w:cs="Tahoma"/>
          <w:color w:val="1F497D"/>
          <w:sz w:val="19"/>
          <w:szCs w:val="19"/>
          <w:lang w:val="en-US"/>
        </w:rPr>
      </w:pPr>
      <w:r w:rsidRPr="00ED7520">
        <w:rPr>
          <w:rFonts w:ascii="Tahoma" w:hAnsi="Tahoma" w:cs="Tahoma"/>
          <w:color w:val="1F497D"/>
          <w:sz w:val="19"/>
          <w:szCs w:val="19"/>
          <w:lang w:val="en-US"/>
        </w:rPr>
        <w:t>Integrovaný nástroj pro plnohodnotnou konfiguraci RAID řadiče v grafickém prostředí</w:t>
      </w:r>
    </w:p>
    <w:p w14:paraId="5C7C26BF" w14:textId="77777777" w:rsidR="007554C4" w:rsidRPr="00ED7520" w:rsidRDefault="007554C4" w:rsidP="007554C4">
      <w:pPr>
        <w:pStyle w:val="Odstavecseseznamem"/>
        <w:numPr>
          <w:ilvl w:val="0"/>
          <w:numId w:val="31"/>
        </w:numPr>
        <w:spacing w:after="0"/>
        <w:jc w:val="left"/>
        <w:rPr>
          <w:rFonts w:ascii="Tahoma" w:hAnsi="Tahoma" w:cs="Tahoma"/>
          <w:color w:val="1F497D"/>
          <w:sz w:val="19"/>
          <w:szCs w:val="19"/>
          <w:lang w:val="en-US"/>
        </w:rPr>
      </w:pPr>
      <w:r w:rsidRPr="00ED7520">
        <w:rPr>
          <w:rFonts w:ascii="Tahoma" w:hAnsi="Tahoma" w:cs="Tahoma"/>
          <w:color w:val="1F497D"/>
          <w:sz w:val="19"/>
          <w:szCs w:val="19"/>
          <w:lang w:val="en-US"/>
        </w:rPr>
        <w:t>Požadujeme rackmout kit pro moztáž do 19” racku včetně raměna pro kabeláž</w:t>
      </w:r>
    </w:p>
    <w:p w14:paraId="21E75FE1" w14:textId="77777777" w:rsidR="007554C4" w:rsidRPr="00ED7520" w:rsidRDefault="007554C4" w:rsidP="007554C4">
      <w:pPr>
        <w:pStyle w:val="Odstavecseseznamem"/>
        <w:numPr>
          <w:ilvl w:val="0"/>
          <w:numId w:val="31"/>
        </w:numPr>
        <w:spacing w:after="0"/>
        <w:jc w:val="left"/>
        <w:rPr>
          <w:rFonts w:ascii="Tahoma" w:hAnsi="Tahoma" w:cs="Tahoma"/>
          <w:color w:val="1F497D"/>
          <w:sz w:val="19"/>
          <w:szCs w:val="19"/>
          <w:lang w:val="en-US"/>
        </w:rPr>
      </w:pPr>
      <w:r w:rsidRPr="00ED7520">
        <w:rPr>
          <w:rFonts w:ascii="Tahoma" w:hAnsi="Tahoma" w:cs="Tahoma"/>
          <w:color w:val="1F497D"/>
          <w:sz w:val="19"/>
          <w:szCs w:val="19"/>
          <w:lang w:val="en-US"/>
        </w:rPr>
        <w:t>Podporované operační systémy, podpora musí být uvedená na oficiálních stránkách výrobce:</w:t>
      </w:r>
    </w:p>
    <w:p w14:paraId="44560332" w14:textId="77777777" w:rsidR="007554C4" w:rsidRPr="00ED7520" w:rsidRDefault="007554C4" w:rsidP="007554C4">
      <w:pPr>
        <w:pStyle w:val="Odstavecseseznamem"/>
        <w:numPr>
          <w:ilvl w:val="1"/>
          <w:numId w:val="31"/>
        </w:numPr>
        <w:spacing w:after="0"/>
        <w:jc w:val="left"/>
        <w:rPr>
          <w:rFonts w:ascii="Tahoma" w:hAnsi="Tahoma" w:cs="Tahoma"/>
          <w:color w:val="1F497D"/>
          <w:sz w:val="19"/>
          <w:szCs w:val="19"/>
          <w:lang w:val="en-US"/>
        </w:rPr>
      </w:pPr>
      <w:r w:rsidRPr="00ED7520">
        <w:rPr>
          <w:rFonts w:ascii="Tahoma" w:hAnsi="Tahoma" w:cs="Tahoma"/>
          <w:color w:val="1F497D"/>
          <w:sz w:val="19"/>
          <w:szCs w:val="19"/>
          <w:lang w:val="en-US"/>
        </w:rPr>
        <w:t xml:space="preserve">Windows Server 2012 R2, Windows Server 2016, Windows Server 2019 </w:t>
      </w:r>
    </w:p>
    <w:p w14:paraId="32C56171" w14:textId="77777777" w:rsidR="007554C4" w:rsidRPr="00ED7520" w:rsidRDefault="007554C4" w:rsidP="007554C4">
      <w:pPr>
        <w:pStyle w:val="Odstavecseseznamem"/>
        <w:numPr>
          <w:ilvl w:val="1"/>
          <w:numId w:val="31"/>
        </w:numPr>
        <w:spacing w:after="0"/>
        <w:jc w:val="left"/>
        <w:rPr>
          <w:rFonts w:ascii="Tahoma" w:hAnsi="Tahoma" w:cs="Tahoma"/>
          <w:color w:val="1F497D"/>
          <w:sz w:val="19"/>
          <w:szCs w:val="19"/>
          <w:lang w:val="en-US"/>
        </w:rPr>
      </w:pPr>
      <w:r w:rsidRPr="00ED7520">
        <w:rPr>
          <w:rFonts w:ascii="Tahoma" w:hAnsi="Tahoma" w:cs="Tahoma"/>
          <w:color w:val="1F497D"/>
          <w:sz w:val="19"/>
          <w:szCs w:val="19"/>
          <w:lang w:val="en-US"/>
        </w:rPr>
        <w:t xml:space="preserve">VMware ESXi 6.0, VMware ESXi 6.5, VMware ESXi 7       </w:t>
      </w:r>
    </w:p>
    <w:p w14:paraId="59380271" w14:textId="77777777" w:rsidR="007554C4" w:rsidRPr="00ED7520" w:rsidRDefault="007554C4" w:rsidP="007554C4">
      <w:pPr>
        <w:pStyle w:val="Odstavecseseznamem"/>
        <w:numPr>
          <w:ilvl w:val="1"/>
          <w:numId w:val="31"/>
        </w:numPr>
        <w:spacing w:after="0"/>
        <w:jc w:val="left"/>
        <w:rPr>
          <w:rFonts w:ascii="Tahoma" w:hAnsi="Tahoma" w:cs="Tahoma"/>
          <w:color w:val="1F497D"/>
          <w:sz w:val="19"/>
          <w:szCs w:val="19"/>
          <w:lang w:val="en-US"/>
        </w:rPr>
      </w:pPr>
      <w:r w:rsidRPr="00ED7520">
        <w:rPr>
          <w:rFonts w:ascii="Tahoma" w:hAnsi="Tahoma" w:cs="Tahoma"/>
          <w:color w:val="1F497D"/>
          <w:sz w:val="19"/>
          <w:szCs w:val="19"/>
          <w:lang w:val="en-US"/>
        </w:rPr>
        <w:t>CentOS</w:t>
      </w:r>
    </w:p>
    <w:p w14:paraId="54C29373" w14:textId="77777777" w:rsidR="007554C4" w:rsidRPr="00ED7520" w:rsidRDefault="007554C4" w:rsidP="007554C4">
      <w:pPr>
        <w:pStyle w:val="Odstavecseseznamem"/>
        <w:numPr>
          <w:ilvl w:val="1"/>
          <w:numId w:val="31"/>
        </w:numPr>
        <w:spacing w:after="0"/>
        <w:jc w:val="left"/>
        <w:rPr>
          <w:rFonts w:ascii="Tahoma" w:hAnsi="Tahoma" w:cs="Tahoma"/>
          <w:color w:val="1F497D"/>
          <w:sz w:val="19"/>
          <w:szCs w:val="19"/>
          <w:lang w:val="en-US"/>
        </w:rPr>
      </w:pPr>
      <w:r w:rsidRPr="00ED7520">
        <w:rPr>
          <w:rFonts w:ascii="Tahoma" w:hAnsi="Tahoma" w:cs="Tahoma"/>
          <w:color w:val="1F497D"/>
          <w:sz w:val="19"/>
          <w:szCs w:val="19"/>
          <w:lang w:val="en-US"/>
        </w:rPr>
        <w:t>Red Hat Enterprise Linux (RHEL) 7.6 / 7.7 / 8.0 /8.1</w:t>
      </w:r>
    </w:p>
    <w:p w14:paraId="479F79EB" w14:textId="77777777" w:rsidR="007554C4" w:rsidRPr="00ED7520" w:rsidRDefault="007554C4" w:rsidP="007554C4">
      <w:pPr>
        <w:pStyle w:val="Odstavecseseznamem"/>
        <w:numPr>
          <w:ilvl w:val="1"/>
          <w:numId w:val="31"/>
        </w:numPr>
        <w:spacing w:after="0"/>
        <w:jc w:val="left"/>
        <w:rPr>
          <w:rFonts w:ascii="Tahoma" w:hAnsi="Tahoma" w:cs="Tahoma"/>
          <w:color w:val="1F497D"/>
          <w:sz w:val="19"/>
          <w:szCs w:val="19"/>
          <w:lang w:val="en-US"/>
        </w:rPr>
      </w:pPr>
      <w:r w:rsidRPr="00ED7520">
        <w:rPr>
          <w:rFonts w:ascii="Tahoma" w:hAnsi="Tahoma" w:cs="Tahoma"/>
          <w:color w:val="1F497D"/>
          <w:sz w:val="19"/>
          <w:szCs w:val="19"/>
          <w:lang w:val="en-US"/>
        </w:rPr>
        <w:t>SUSE Linux Enterprise Server (SLES) 12 SP3 / 15 / 15 SP1</w:t>
      </w:r>
    </w:p>
    <w:p w14:paraId="4C150FBA" w14:textId="77777777" w:rsidR="007554C4" w:rsidRPr="00ED7520" w:rsidRDefault="007554C4" w:rsidP="007554C4">
      <w:pPr>
        <w:pStyle w:val="Odstavecseseznamem"/>
        <w:numPr>
          <w:ilvl w:val="0"/>
          <w:numId w:val="31"/>
        </w:numPr>
        <w:spacing w:after="0"/>
        <w:jc w:val="left"/>
        <w:rPr>
          <w:rFonts w:ascii="Tahoma" w:hAnsi="Tahoma" w:cs="Tahoma"/>
          <w:color w:val="1F497D"/>
          <w:sz w:val="19"/>
          <w:szCs w:val="19"/>
          <w:lang w:val="en-US"/>
        </w:rPr>
      </w:pPr>
      <w:r w:rsidRPr="00ED7520">
        <w:rPr>
          <w:rFonts w:ascii="Tahoma" w:hAnsi="Tahoma" w:cs="Tahoma"/>
          <w:color w:val="1F497D"/>
          <w:sz w:val="19"/>
          <w:szCs w:val="19"/>
          <w:lang w:val="en-US"/>
        </w:rPr>
        <w:t xml:space="preserve">Požadujeme </w:t>
      </w:r>
      <w:r>
        <w:rPr>
          <w:rFonts w:ascii="Tahoma" w:hAnsi="Tahoma" w:cs="Tahoma"/>
          <w:color w:val="1F497D"/>
          <w:sz w:val="19"/>
          <w:szCs w:val="19"/>
          <w:lang w:val="en-US"/>
        </w:rPr>
        <w:t>3</w:t>
      </w:r>
      <w:r w:rsidRPr="00ED7520">
        <w:rPr>
          <w:rFonts w:ascii="Tahoma" w:hAnsi="Tahoma" w:cs="Tahoma"/>
          <w:color w:val="1F497D"/>
          <w:sz w:val="19"/>
          <w:szCs w:val="19"/>
          <w:lang w:val="en-US"/>
        </w:rPr>
        <w:t>-letou servisní podporu hardware a software třetích stran s</w:t>
      </w:r>
      <w:r>
        <w:rPr>
          <w:rFonts w:ascii="Tahoma" w:hAnsi="Tahoma" w:cs="Tahoma"/>
          <w:color w:val="1F497D"/>
          <w:sz w:val="19"/>
          <w:szCs w:val="19"/>
          <w:lang w:val="en-US"/>
        </w:rPr>
        <w:t xml:space="preserve"> odezvou do druhého pracovního dne (NBD)</w:t>
      </w:r>
    </w:p>
    <w:p w14:paraId="5F0926DD" w14:textId="77777777" w:rsidR="007554C4" w:rsidRPr="00ED7520" w:rsidRDefault="007554C4" w:rsidP="007554C4">
      <w:pPr>
        <w:pStyle w:val="Odstavecseseznamem"/>
        <w:numPr>
          <w:ilvl w:val="0"/>
          <w:numId w:val="31"/>
        </w:numPr>
        <w:spacing w:after="0"/>
        <w:jc w:val="left"/>
        <w:rPr>
          <w:rFonts w:ascii="Tahoma" w:hAnsi="Tahoma" w:cs="Tahoma"/>
          <w:color w:val="1F497D"/>
          <w:sz w:val="19"/>
          <w:szCs w:val="19"/>
          <w:lang w:val="en-US"/>
        </w:rPr>
      </w:pPr>
      <w:r w:rsidRPr="00ED7520">
        <w:rPr>
          <w:rFonts w:ascii="Tahoma" w:hAnsi="Tahoma" w:cs="Tahoma"/>
          <w:color w:val="1F497D"/>
          <w:sz w:val="19"/>
          <w:szCs w:val="19"/>
          <w:lang w:val="en-US"/>
        </w:rPr>
        <w:t>Požadujeme službu vzdáleného dohledu (call home ) ze strany výrobce serveru ideálně s moznosti sledovaní stavu servisních incidentů na portálu výrobce</w:t>
      </w:r>
    </w:p>
    <w:p w14:paraId="7D24D362" w14:textId="77777777" w:rsidR="007554C4" w:rsidRDefault="007554C4" w:rsidP="007554C4">
      <w:pPr>
        <w:rPr>
          <w:rFonts w:ascii="Tahoma" w:hAnsi="Tahoma" w:cs="Tahoma"/>
          <w:color w:val="1F497D"/>
          <w:sz w:val="19"/>
          <w:szCs w:val="19"/>
          <w:lang w:val="en-US"/>
        </w:rPr>
      </w:pPr>
    </w:p>
    <w:p w14:paraId="37FA432E" w14:textId="77777777" w:rsidR="00820B81" w:rsidRDefault="00820B81">
      <w:pPr>
        <w:spacing w:line="276" w:lineRule="auto"/>
        <w:jc w:val="left"/>
      </w:pPr>
    </w:p>
    <w:p w14:paraId="13F04E77" w14:textId="77777777" w:rsidR="00820B81" w:rsidRDefault="00820B81">
      <w:pPr>
        <w:spacing w:line="276" w:lineRule="auto"/>
        <w:jc w:val="left"/>
      </w:pPr>
    </w:p>
    <w:p w14:paraId="436FF7DF" w14:textId="77777777" w:rsidR="00820B81" w:rsidRDefault="00820B81">
      <w:pPr>
        <w:spacing w:line="276" w:lineRule="auto"/>
        <w:jc w:val="left"/>
      </w:pPr>
    </w:p>
    <w:p w14:paraId="3D106E9C" w14:textId="77777777" w:rsidR="00820B81" w:rsidRDefault="00820B81">
      <w:pPr>
        <w:spacing w:line="276" w:lineRule="auto"/>
        <w:jc w:val="left"/>
      </w:pPr>
    </w:p>
    <w:p w14:paraId="7E5AD3BD" w14:textId="77777777" w:rsidR="00820B81" w:rsidRDefault="00820B81">
      <w:pPr>
        <w:spacing w:line="276" w:lineRule="auto"/>
        <w:jc w:val="left"/>
      </w:pPr>
    </w:p>
    <w:p w14:paraId="4C031E91" w14:textId="77777777" w:rsidR="00820B81" w:rsidRDefault="00820B81">
      <w:pPr>
        <w:spacing w:line="276" w:lineRule="auto"/>
        <w:jc w:val="left"/>
      </w:pPr>
    </w:p>
    <w:p w14:paraId="751BB8D0" w14:textId="77777777" w:rsidR="00820B81" w:rsidRDefault="00820B81">
      <w:pPr>
        <w:spacing w:line="276" w:lineRule="auto"/>
        <w:jc w:val="left"/>
      </w:pPr>
    </w:p>
    <w:p w14:paraId="39E2CB92" w14:textId="77777777" w:rsidR="00820B81" w:rsidRDefault="00820B81">
      <w:pPr>
        <w:spacing w:line="276" w:lineRule="auto"/>
        <w:jc w:val="left"/>
      </w:pPr>
    </w:p>
    <w:p w14:paraId="775E12A3" w14:textId="77777777" w:rsidR="00820B81" w:rsidRDefault="00820B81">
      <w:pPr>
        <w:spacing w:line="276" w:lineRule="auto"/>
        <w:jc w:val="left"/>
      </w:pPr>
    </w:p>
    <w:p w14:paraId="2142E773" w14:textId="77777777" w:rsidR="00820B81" w:rsidRDefault="00820B81">
      <w:pPr>
        <w:spacing w:line="276" w:lineRule="auto"/>
        <w:jc w:val="left"/>
      </w:pPr>
    </w:p>
    <w:p w14:paraId="4320AEAA" w14:textId="77777777" w:rsidR="00820B81" w:rsidRDefault="00820B81">
      <w:pPr>
        <w:spacing w:line="276" w:lineRule="auto"/>
        <w:jc w:val="left"/>
      </w:pPr>
    </w:p>
    <w:p w14:paraId="4CBD6411" w14:textId="77777777" w:rsidR="00820B81" w:rsidRDefault="00820B81">
      <w:pPr>
        <w:spacing w:line="276" w:lineRule="auto"/>
        <w:jc w:val="left"/>
      </w:pPr>
    </w:p>
    <w:p w14:paraId="18B4C9E7" w14:textId="4CDC7627" w:rsidR="00820B81" w:rsidRPr="007C2681" w:rsidRDefault="00820B81" w:rsidP="00820B81">
      <w:pPr>
        <w:rPr>
          <w:rFonts w:ascii="Tahoma" w:hAnsi="Tahoma" w:cs="Tahoma"/>
          <w:b/>
          <w:bCs/>
          <w:color w:val="1F497D"/>
          <w:sz w:val="19"/>
          <w:szCs w:val="19"/>
        </w:rPr>
      </w:pPr>
      <w:r>
        <w:rPr>
          <w:rFonts w:ascii="Tahoma" w:hAnsi="Tahoma" w:cs="Tahoma"/>
          <w:b/>
          <w:bCs/>
          <w:color w:val="1F497D"/>
          <w:sz w:val="19"/>
          <w:szCs w:val="19"/>
        </w:rPr>
        <w:lastRenderedPageBreak/>
        <w:t>Zálohovací software</w:t>
      </w:r>
    </w:p>
    <w:p w14:paraId="08CE5469" w14:textId="40AD9EB1" w:rsidR="007554C4" w:rsidRDefault="007554C4">
      <w:pPr>
        <w:spacing w:line="276" w:lineRule="auto"/>
        <w:jc w:val="left"/>
      </w:pPr>
    </w:p>
    <w:tbl>
      <w:tblPr>
        <w:tblStyle w:val="Mkatabulky"/>
        <w:tblW w:w="0" w:type="auto"/>
        <w:tblLook w:val="04A0" w:firstRow="1" w:lastRow="0" w:firstColumn="1" w:lastColumn="0" w:noHBand="0" w:noVBand="1"/>
      </w:tblPr>
      <w:tblGrid>
        <w:gridCol w:w="5308"/>
        <w:gridCol w:w="1877"/>
        <w:gridCol w:w="1877"/>
      </w:tblGrid>
      <w:tr w:rsidR="00CC5257" w:rsidRPr="00CC5257" w14:paraId="0D36E99A" w14:textId="77777777" w:rsidTr="00CC5257">
        <w:trPr>
          <w:trHeight w:val="480"/>
        </w:trPr>
        <w:tc>
          <w:tcPr>
            <w:tcW w:w="11140" w:type="dxa"/>
            <w:noWrap/>
            <w:hideMark/>
          </w:tcPr>
          <w:p w14:paraId="4A548D68" w14:textId="77777777" w:rsidR="00CC5257" w:rsidRPr="00CC5257" w:rsidRDefault="00CC5257" w:rsidP="00CC5257">
            <w:pPr>
              <w:rPr>
                <w:b/>
                <w:bCs/>
              </w:rPr>
            </w:pPr>
            <w:r w:rsidRPr="00CC5257">
              <w:rPr>
                <w:b/>
                <w:bCs/>
              </w:rPr>
              <w:t>Požadavek</w:t>
            </w:r>
          </w:p>
        </w:tc>
        <w:tc>
          <w:tcPr>
            <w:tcW w:w="3780" w:type="dxa"/>
            <w:noWrap/>
            <w:hideMark/>
          </w:tcPr>
          <w:p w14:paraId="28C1BB34" w14:textId="77777777" w:rsidR="00CC5257" w:rsidRPr="00CC5257" w:rsidRDefault="00CC5257">
            <w:pPr>
              <w:rPr>
                <w:b/>
                <w:bCs/>
              </w:rPr>
            </w:pPr>
            <w:r w:rsidRPr="00CC5257">
              <w:rPr>
                <w:b/>
                <w:bCs/>
              </w:rPr>
              <w:t>Splňuje ANO / NE</w:t>
            </w:r>
          </w:p>
        </w:tc>
        <w:tc>
          <w:tcPr>
            <w:tcW w:w="3780" w:type="dxa"/>
            <w:noWrap/>
            <w:hideMark/>
          </w:tcPr>
          <w:p w14:paraId="2B378D5D" w14:textId="77777777" w:rsidR="00CC5257" w:rsidRPr="00CC5257" w:rsidRDefault="00CC5257">
            <w:pPr>
              <w:rPr>
                <w:b/>
                <w:bCs/>
              </w:rPr>
            </w:pPr>
            <w:r w:rsidRPr="00CC5257">
              <w:rPr>
                <w:b/>
                <w:bCs/>
              </w:rPr>
              <w:t>Popis plnění</w:t>
            </w:r>
          </w:p>
        </w:tc>
      </w:tr>
      <w:tr w:rsidR="00CC5257" w:rsidRPr="00CC5257" w14:paraId="08779505" w14:textId="77777777" w:rsidTr="00CC5257">
        <w:trPr>
          <w:trHeight w:val="380"/>
        </w:trPr>
        <w:tc>
          <w:tcPr>
            <w:tcW w:w="18700" w:type="dxa"/>
            <w:gridSpan w:val="3"/>
            <w:noWrap/>
            <w:hideMark/>
          </w:tcPr>
          <w:p w14:paraId="0EAC70FF" w14:textId="77777777" w:rsidR="00CC5257" w:rsidRPr="00CC5257" w:rsidRDefault="00CC5257">
            <w:pPr>
              <w:rPr>
                <w:b/>
                <w:bCs/>
              </w:rPr>
            </w:pPr>
            <w:r w:rsidRPr="00CC5257">
              <w:rPr>
                <w:b/>
                <w:bCs/>
              </w:rPr>
              <w:t> </w:t>
            </w:r>
          </w:p>
        </w:tc>
      </w:tr>
      <w:tr w:rsidR="00CC5257" w:rsidRPr="00CC5257" w14:paraId="70647626" w14:textId="77777777" w:rsidTr="00CC5257">
        <w:trPr>
          <w:trHeight w:val="1280"/>
        </w:trPr>
        <w:tc>
          <w:tcPr>
            <w:tcW w:w="11140" w:type="dxa"/>
            <w:hideMark/>
          </w:tcPr>
          <w:p w14:paraId="6E9CA500" w14:textId="77777777" w:rsidR="00CC5257" w:rsidRPr="00CC5257" w:rsidRDefault="00CC5257">
            <w:r w:rsidRPr="00CC5257">
              <w:t>Nabízené řešení musí být přítomno v přední části Gartner Magic Quadrant pro řešení zálohování a obnovy datového centra. Kromě toho musí být přítomen v referenčním seznamu společnosti Gartner https://www.gartner.com/reviews/market/data-center-backup-and-recovery-solutions s minimálním požadavkem 150 odkazů a minimálním skóre 4,5</w:t>
            </w:r>
          </w:p>
        </w:tc>
        <w:tc>
          <w:tcPr>
            <w:tcW w:w="3780" w:type="dxa"/>
            <w:noWrap/>
            <w:hideMark/>
          </w:tcPr>
          <w:p w14:paraId="0A72D615" w14:textId="77777777" w:rsidR="00CC5257" w:rsidRPr="00CC5257" w:rsidRDefault="00CC5257">
            <w:r w:rsidRPr="00CC5257">
              <w:t> </w:t>
            </w:r>
          </w:p>
        </w:tc>
        <w:tc>
          <w:tcPr>
            <w:tcW w:w="3780" w:type="dxa"/>
            <w:noWrap/>
            <w:hideMark/>
          </w:tcPr>
          <w:p w14:paraId="728B9873" w14:textId="77777777" w:rsidR="00CC5257" w:rsidRPr="00CC5257" w:rsidRDefault="00CC5257">
            <w:r w:rsidRPr="00CC5257">
              <w:t> </w:t>
            </w:r>
          </w:p>
        </w:tc>
      </w:tr>
      <w:tr w:rsidR="00CC5257" w:rsidRPr="00CC5257" w14:paraId="005FCB36" w14:textId="77777777" w:rsidTr="00CC5257">
        <w:trPr>
          <w:trHeight w:val="960"/>
        </w:trPr>
        <w:tc>
          <w:tcPr>
            <w:tcW w:w="11140" w:type="dxa"/>
            <w:hideMark/>
          </w:tcPr>
          <w:p w14:paraId="5915921B" w14:textId="77777777" w:rsidR="00CC5257" w:rsidRPr="00CC5257" w:rsidRDefault="00CC5257">
            <w:r w:rsidRPr="00CC5257">
              <w:t>Zálohovací software musí pracovat s infrastrukturou VMware založenou na verzích 6.0, 6.5 a 6.7 a Hyper-V 2012, Hyper-V 2012 R2, Hyper-V 2016 a Hyper-V 2019. Všechny funkce v této specifikaci MUSÍ být podporovány ve všech hypervisorech uvedených verzí</w:t>
            </w:r>
          </w:p>
        </w:tc>
        <w:tc>
          <w:tcPr>
            <w:tcW w:w="3780" w:type="dxa"/>
            <w:noWrap/>
            <w:hideMark/>
          </w:tcPr>
          <w:p w14:paraId="2B92EADB" w14:textId="77777777" w:rsidR="00CC5257" w:rsidRPr="00CC5257" w:rsidRDefault="00CC5257">
            <w:r w:rsidRPr="00CC5257">
              <w:t> </w:t>
            </w:r>
          </w:p>
        </w:tc>
        <w:tc>
          <w:tcPr>
            <w:tcW w:w="3780" w:type="dxa"/>
            <w:noWrap/>
            <w:hideMark/>
          </w:tcPr>
          <w:p w14:paraId="3E488D41" w14:textId="77777777" w:rsidR="00CC5257" w:rsidRPr="00CC5257" w:rsidRDefault="00CC5257">
            <w:r w:rsidRPr="00CC5257">
              <w:t> </w:t>
            </w:r>
          </w:p>
        </w:tc>
      </w:tr>
      <w:tr w:rsidR="00CC5257" w:rsidRPr="00CC5257" w14:paraId="561C0C9D" w14:textId="77777777" w:rsidTr="00CC5257">
        <w:trPr>
          <w:trHeight w:val="640"/>
        </w:trPr>
        <w:tc>
          <w:tcPr>
            <w:tcW w:w="11140" w:type="dxa"/>
            <w:hideMark/>
          </w:tcPr>
          <w:p w14:paraId="76038CDD" w14:textId="77777777" w:rsidR="00CC5257" w:rsidRPr="00CC5257" w:rsidRDefault="00CC5257">
            <w:r w:rsidRPr="00CC5257">
              <w:t xml:space="preserve"> Software musí podporovat hostitele Hyper-V spravované produktem System Center Virtual Machine Manager, klastrové počítače a samostatné počítače a režim instalace serveru Nano Server</w:t>
            </w:r>
          </w:p>
        </w:tc>
        <w:tc>
          <w:tcPr>
            <w:tcW w:w="3780" w:type="dxa"/>
            <w:noWrap/>
            <w:hideMark/>
          </w:tcPr>
          <w:p w14:paraId="013FE79C" w14:textId="77777777" w:rsidR="00CC5257" w:rsidRPr="00CC5257" w:rsidRDefault="00CC5257">
            <w:r w:rsidRPr="00CC5257">
              <w:t> </w:t>
            </w:r>
          </w:p>
        </w:tc>
        <w:tc>
          <w:tcPr>
            <w:tcW w:w="3780" w:type="dxa"/>
            <w:noWrap/>
            <w:hideMark/>
          </w:tcPr>
          <w:p w14:paraId="0BA50E23" w14:textId="77777777" w:rsidR="00CC5257" w:rsidRPr="00CC5257" w:rsidRDefault="00CC5257">
            <w:r w:rsidRPr="00CC5257">
              <w:t> </w:t>
            </w:r>
          </w:p>
        </w:tc>
      </w:tr>
      <w:tr w:rsidR="00CC5257" w:rsidRPr="00CC5257" w14:paraId="6399A48A" w14:textId="77777777" w:rsidTr="00CC5257">
        <w:trPr>
          <w:trHeight w:val="640"/>
        </w:trPr>
        <w:tc>
          <w:tcPr>
            <w:tcW w:w="11140" w:type="dxa"/>
            <w:hideMark/>
          </w:tcPr>
          <w:p w14:paraId="0D1CB559" w14:textId="77777777" w:rsidR="00CC5257" w:rsidRPr="00CC5257" w:rsidRDefault="00CC5257">
            <w:r w:rsidRPr="00CC5257">
              <w:t>Software musí podporovat zálohování všech operačních systémů, které jsou podporovány pro provoz ve VMware nebo Hyper-V</w:t>
            </w:r>
          </w:p>
        </w:tc>
        <w:tc>
          <w:tcPr>
            <w:tcW w:w="3780" w:type="dxa"/>
            <w:noWrap/>
            <w:hideMark/>
          </w:tcPr>
          <w:p w14:paraId="2165CC15" w14:textId="77777777" w:rsidR="00CC5257" w:rsidRPr="00CC5257" w:rsidRDefault="00CC5257">
            <w:r w:rsidRPr="00CC5257">
              <w:t> </w:t>
            </w:r>
          </w:p>
        </w:tc>
        <w:tc>
          <w:tcPr>
            <w:tcW w:w="3780" w:type="dxa"/>
            <w:noWrap/>
            <w:hideMark/>
          </w:tcPr>
          <w:p w14:paraId="595316AC" w14:textId="77777777" w:rsidR="00CC5257" w:rsidRPr="00CC5257" w:rsidRDefault="00CC5257">
            <w:r w:rsidRPr="00CC5257">
              <w:t> </w:t>
            </w:r>
          </w:p>
        </w:tc>
      </w:tr>
      <w:tr w:rsidR="00CC5257" w:rsidRPr="00CC5257" w14:paraId="2177C92A" w14:textId="77777777" w:rsidTr="00CC5257">
        <w:trPr>
          <w:trHeight w:val="640"/>
        </w:trPr>
        <w:tc>
          <w:tcPr>
            <w:tcW w:w="11140" w:type="dxa"/>
            <w:hideMark/>
          </w:tcPr>
          <w:p w14:paraId="184A3D18" w14:textId="77777777" w:rsidR="00CC5257" w:rsidRPr="00CC5257" w:rsidRDefault="00CC5257">
            <w:r w:rsidRPr="00CC5257">
              <w:t>Software musí podporovat zálohování sdílených souborů ze zařízení založených na NAS pomocí sdílených složek SMB / CIFS a NFS a přímo ze souborových serverů Windows a Linux.</w:t>
            </w:r>
          </w:p>
        </w:tc>
        <w:tc>
          <w:tcPr>
            <w:tcW w:w="3780" w:type="dxa"/>
            <w:noWrap/>
            <w:hideMark/>
          </w:tcPr>
          <w:p w14:paraId="731677F7" w14:textId="77777777" w:rsidR="00CC5257" w:rsidRPr="00CC5257" w:rsidRDefault="00CC5257">
            <w:r w:rsidRPr="00CC5257">
              <w:t> </w:t>
            </w:r>
          </w:p>
        </w:tc>
        <w:tc>
          <w:tcPr>
            <w:tcW w:w="3780" w:type="dxa"/>
            <w:noWrap/>
            <w:hideMark/>
          </w:tcPr>
          <w:p w14:paraId="40052C0D" w14:textId="77777777" w:rsidR="00CC5257" w:rsidRPr="00CC5257" w:rsidRDefault="00CC5257">
            <w:r w:rsidRPr="00CC5257">
              <w:t> </w:t>
            </w:r>
          </w:p>
        </w:tc>
      </w:tr>
      <w:tr w:rsidR="00CC5257" w:rsidRPr="00CC5257" w14:paraId="33D7B737" w14:textId="77777777" w:rsidTr="00CC5257">
        <w:trPr>
          <w:trHeight w:val="660"/>
        </w:trPr>
        <w:tc>
          <w:tcPr>
            <w:tcW w:w="11140" w:type="dxa"/>
            <w:hideMark/>
          </w:tcPr>
          <w:p w14:paraId="0B6D0CF4" w14:textId="77777777" w:rsidR="00CC5257" w:rsidRPr="00CC5257" w:rsidRDefault="00CC5257">
            <w:r w:rsidRPr="00CC5257">
              <w:t>Software musí být možné licencovat v režimu per-cpu, nebo v režimu instancí (bodů). Instance je možné použít na různé workloady (on-premise, cloud, fyzické servery, enterprise aplikace…) a různé programové balíčky výrobce.</w:t>
            </w:r>
          </w:p>
        </w:tc>
        <w:tc>
          <w:tcPr>
            <w:tcW w:w="3780" w:type="dxa"/>
            <w:noWrap/>
            <w:hideMark/>
          </w:tcPr>
          <w:p w14:paraId="7196A50F" w14:textId="77777777" w:rsidR="00CC5257" w:rsidRPr="00CC5257" w:rsidRDefault="00CC5257">
            <w:r w:rsidRPr="00CC5257">
              <w:t> </w:t>
            </w:r>
          </w:p>
        </w:tc>
        <w:tc>
          <w:tcPr>
            <w:tcW w:w="3780" w:type="dxa"/>
            <w:noWrap/>
            <w:hideMark/>
          </w:tcPr>
          <w:p w14:paraId="3B472809" w14:textId="77777777" w:rsidR="00CC5257" w:rsidRPr="00CC5257" w:rsidRDefault="00CC5257">
            <w:r w:rsidRPr="00CC5257">
              <w:t> </w:t>
            </w:r>
          </w:p>
        </w:tc>
      </w:tr>
      <w:tr w:rsidR="00CC5257" w:rsidRPr="00CC5257" w14:paraId="0EF09F8C" w14:textId="77777777" w:rsidTr="00CC5257">
        <w:trPr>
          <w:trHeight w:val="380"/>
        </w:trPr>
        <w:tc>
          <w:tcPr>
            <w:tcW w:w="18700" w:type="dxa"/>
            <w:gridSpan w:val="3"/>
            <w:noWrap/>
            <w:hideMark/>
          </w:tcPr>
          <w:p w14:paraId="759C7991" w14:textId="77777777" w:rsidR="00CC5257" w:rsidRPr="00CC5257" w:rsidRDefault="00CC5257">
            <w:pPr>
              <w:rPr>
                <w:b/>
                <w:bCs/>
              </w:rPr>
            </w:pPr>
            <w:r w:rsidRPr="00CC5257">
              <w:rPr>
                <w:b/>
                <w:bCs/>
              </w:rPr>
              <w:t> </w:t>
            </w:r>
          </w:p>
        </w:tc>
      </w:tr>
      <w:tr w:rsidR="00CC5257" w:rsidRPr="00CC5257" w14:paraId="0C8C563B" w14:textId="77777777" w:rsidTr="00CC5257">
        <w:trPr>
          <w:trHeight w:val="320"/>
        </w:trPr>
        <w:tc>
          <w:tcPr>
            <w:tcW w:w="11140" w:type="dxa"/>
            <w:hideMark/>
          </w:tcPr>
          <w:p w14:paraId="402578AE" w14:textId="77777777" w:rsidR="00CC5257" w:rsidRPr="00CC5257" w:rsidRDefault="00CC5257">
            <w:r w:rsidRPr="00CC5257">
              <w:t>Software musí být nezávislý na hardware a musí využívat jakýkoli hardware serveru a úložiště</w:t>
            </w:r>
          </w:p>
        </w:tc>
        <w:tc>
          <w:tcPr>
            <w:tcW w:w="3780" w:type="dxa"/>
            <w:noWrap/>
            <w:hideMark/>
          </w:tcPr>
          <w:p w14:paraId="7893753D" w14:textId="77777777" w:rsidR="00CC5257" w:rsidRPr="00CC5257" w:rsidRDefault="00CC5257">
            <w:r w:rsidRPr="00CC5257">
              <w:t> </w:t>
            </w:r>
          </w:p>
        </w:tc>
        <w:tc>
          <w:tcPr>
            <w:tcW w:w="3780" w:type="dxa"/>
            <w:noWrap/>
            <w:hideMark/>
          </w:tcPr>
          <w:p w14:paraId="4C0590AF" w14:textId="77777777" w:rsidR="00CC5257" w:rsidRPr="00CC5257" w:rsidRDefault="00CC5257">
            <w:r w:rsidRPr="00CC5257">
              <w:t> </w:t>
            </w:r>
          </w:p>
        </w:tc>
      </w:tr>
      <w:tr w:rsidR="00CC5257" w:rsidRPr="00CC5257" w14:paraId="5E9FED2A" w14:textId="77777777" w:rsidTr="00CC5257">
        <w:trPr>
          <w:trHeight w:val="640"/>
        </w:trPr>
        <w:tc>
          <w:tcPr>
            <w:tcW w:w="11140" w:type="dxa"/>
            <w:hideMark/>
          </w:tcPr>
          <w:p w14:paraId="7ED4C1F0" w14:textId="77777777" w:rsidR="00CC5257" w:rsidRPr="00CC5257" w:rsidRDefault="00CC5257">
            <w:r w:rsidRPr="00CC5257">
              <w:t>Software musí vytvářet samostatné zálohovací archivy ve formě souborů, které jsou volně přenositelné, s možností vytvářet takové soubory na úrovni zálohovací úlohy nebo na VM</w:t>
            </w:r>
          </w:p>
        </w:tc>
        <w:tc>
          <w:tcPr>
            <w:tcW w:w="3780" w:type="dxa"/>
            <w:noWrap/>
            <w:hideMark/>
          </w:tcPr>
          <w:p w14:paraId="43211058" w14:textId="77777777" w:rsidR="00CC5257" w:rsidRPr="00CC5257" w:rsidRDefault="00CC5257">
            <w:r w:rsidRPr="00CC5257">
              <w:t> </w:t>
            </w:r>
          </w:p>
        </w:tc>
        <w:tc>
          <w:tcPr>
            <w:tcW w:w="3780" w:type="dxa"/>
            <w:noWrap/>
            <w:hideMark/>
          </w:tcPr>
          <w:p w14:paraId="667CD90E" w14:textId="77777777" w:rsidR="00CC5257" w:rsidRPr="00CC5257" w:rsidRDefault="00CC5257">
            <w:r w:rsidRPr="00CC5257">
              <w:t> </w:t>
            </w:r>
          </w:p>
        </w:tc>
      </w:tr>
      <w:tr w:rsidR="00CC5257" w:rsidRPr="00CC5257" w14:paraId="349900A7" w14:textId="77777777" w:rsidTr="00CC5257">
        <w:trPr>
          <w:trHeight w:val="320"/>
        </w:trPr>
        <w:tc>
          <w:tcPr>
            <w:tcW w:w="11140" w:type="dxa"/>
            <w:hideMark/>
          </w:tcPr>
          <w:p w14:paraId="385A407F" w14:textId="77777777" w:rsidR="00CC5257" w:rsidRPr="00CC5257" w:rsidRDefault="00CC5257">
            <w:r w:rsidRPr="00CC5257">
              <w:t>Software musí umožňovat vytváření záloh v plném, syntetickém úplném, přírůstkovém a zpětném přírůstkovém režimu</w:t>
            </w:r>
          </w:p>
        </w:tc>
        <w:tc>
          <w:tcPr>
            <w:tcW w:w="3780" w:type="dxa"/>
            <w:noWrap/>
            <w:hideMark/>
          </w:tcPr>
          <w:p w14:paraId="7969129D" w14:textId="77777777" w:rsidR="00CC5257" w:rsidRPr="00CC5257" w:rsidRDefault="00CC5257">
            <w:r w:rsidRPr="00CC5257">
              <w:t> </w:t>
            </w:r>
          </w:p>
        </w:tc>
        <w:tc>
          <w:tcPr>
            <w:tcW w:w="3780" w:type="dxa"/>
            <w:noWrap/>
            <w:hideMark/>
          </w:tcPr>
          <w:p w14:paraId="4EFC0001" w14:textId="77777777" w:rsidR="00CC5257" w:rsidRPr="00CC5257" w:rsidRDefault="00CC5257">
            <w:r w:rsidRPr="00CC5257">
              <w:t> </w:t>
            </w:r>
          </w:p>
        </w:tc>
      </w:tr>
      <w:tr w:rsidR="00CC5257" w:rsidRPr="00CC5257" w14:paraId="489A513C" w14:textId="77777777" w:rsidTr="00CC5257">
        <w:trPr>
          <w:trHeight w:val="640"/>
        </w:trPr>
        <w:tc>
          <w:tcPr>
            <w:tcW w:w="11140" w:type="dxa"/>
            <w:hideMark/>
          </w:tcPr>
          <w:p w14:paraId="6CBADBC9" w14:textId="77777777" w:rsidR="00CC5257" w:rsidRPr="00CC5257" w:rsidRDefault="00CC5257">
            <w:r w:rsidRPr="00CC5257">
              <w:t>Software musí mít mechanismy deduplikace a komprese, které vedou ke snížení objemu úložného prostoru pro zálohy. Povolení deduplikace a / nebo komprese nesmí omezit žádné funkcionality uvedené ve specifikaci</w:t>
            </w:r>
          </w:p>
        </w:tc>
        <w:tc>
          <w:tcPr>
            <w:tcW w:w="3780" w:type="dxa"/>
            <w:noWrap/>
            <w:hideMark/>
          </w:tcPr>
          <w:p w14:paraId="578E950B" w14:textId="77777777" w:rsidR="00CC5257" w:rsidRPr="00CC5257" w:rsidRDefault="00CC5257">
            <w:r w:rsidRPr="00CC5257">
              <w:t> </w:t>
            </w:r>
          </w:p>
        </w:tc>
        <w:tc>
          <w:tcPr>
            <w:tcW w:w="3780" w:type="dxa"/>
            <w:noWrap/>
            <w:hideMark/>
          </w:tcPr>
          <w:p w14:paraId="13F8BDE9" w14:textId="77777777" w:rsidR="00CC5257" w:rsidRPr="00CC5257" w:rsidRDefault="00CC5257">
            <w:r w:rsidRPr="00CC5257">
              <w:t> </w:t>
            </w:r>
          </w:p>
        </w:tc>
      </w:tr>
      <w:tr w:rsidR="00CC5257" w:rsidRPr="00CC5257" w14:paraId="53176AD2" w14:textId="77777777" w:rsidTr="00CC5257">
        <w:trPr>
          <w:trHeight w:val="960"/>
        </w:trPr>
        <w:tc>
          <w:tcPr>
            <w:tcW w:w="11140" w:type="dxa"/>
            <w:hideMark/>
          </w:tcPr>
          <w:p w14:paraId="632B5079" w14:textId="77777777" w:rsidR="00CC5257" w:rsidRPr="00CC5257" w:rsidRDefault="00CC5257">
            <w:r w:rsidRPr="00CC5257">
              <w:t>Software musí poskytovat abstrakční vrstvu přes jednotlivá úložná zařízení, aby se vytvořil jeden virtuální fond záložního úložiště pro ukládání záloh. Musí být podporována konfigurace dvou úložišť, každý maximálně se třemi extenty</w:t>
            </w:r>
          </w:p>
        </w:tc>
        <w:tc>
          <w:tcPr>
            <w:tcW w:w="3780" w:type="dxa"/>
            <w:noWrap/>
            <w:hideMark/>
          </w:tcPr>
          <w:p w14:paraId="0FBB1E75" w14:textId="77777777" w:rsidR="00CC5257" w:rsidRPr="00CC5257" w:rsidRDefault="00CC5257">
            <w:r w:rsidRPr="00CC5257">
              <w:t> </w:t>
            </w:r>
          </w:p>
        </w:tc>
        <w:tc>
          <w:tcPr>
            <w:tcW w:w="3780" w:type="dxa"/>
            <w:noWrap/>
            <w:hideMark/>
          </w:tcPr>
          <w:p w14:paraId="188C2295" w14:textId="77777777" w:rsidR="00CC5257" w:rsidRPr="00CC5257" w:rsidRDefault="00CC5257">
            <w:r w:rsidRPr="00CC5257">
              <w:t> </w:t>
            </w:r>
          </w:p>
        </w:tc>
      </w:tr>
      <w:tr w:rsidR="00CC5257" w:rsidRPr="00CC5257" w14:paraId="16D7D5A1" w14:textId="77777777" w:rsidTr="00CC5257">
        <w:trPr>
          <w:trHeight w:val="640"/>
        </w:trPr>
        <w:tc>
          <w:tcPr>
            <w:tcW w:w="11140" w:type="dxa"/>
            <w:hideMark/>
          </w:tcPr>
          <w:p w14:paraId="4469D913" w14:textId="77777777" w:rsidR="00CC5257" w:rsidRPr="00CC5257" w:rsidRDefault="00CC5257">
            <w:r w:rsidRPr="00CC5257">
              <w:t>Software musí poskytovat abstrakční vrstvu přes jednotlivá úložná zařízení, aby se vytvořil jeden virtuální fond záložního úložiště pro ukládání záloh. Musí být podporováno neomezené množství extentů.</w:t>
            </w:r>
          </w:p>
        </w:tc>
        <w:tc>
          <w:tcPr>
            <w:tcW w:w="3780" w:type="dxa"/>
            <w:noWrap/>
            <w:hideMark/>
          </w:tcPr>
          <w:p w14:paraId="2BB97F20" w14:textId="77777777" w:rsidR="00CC5257" w:rsidRPr="00CC5257" w:rsidRDefault="00CC5257">
            <w:r w:rsidRPr="00CC5257">
              <w:t> </w:t>
            </w:r>
          </w:p>
        </w:tc>
        <w:tc>
          <w:tcPr>
            <w:tcW w:w="3780" w:type="dxa"/>
            <w:noWrap/>
            <w:hideMark/>
          </w:tcPr>
          <w:p w14:paraId="064EC492" w14:textId="77777777" w:rsidR="00CC5257" w:rsidRPr="00CC5257" w:rsidRDefault="00CC5257">
            <w:r w:rsidRPr="00CC5257">
              <w:t> </w:t>
            </w:r>
          </w:p>
        </w:tc>
      </w:tr>
      <w:tr w:rsidR="00CC5257" w:rsidRPr="00CC5257" w14:paraId="529F5809" w14:textId="77777777" w:rsidTr="00CC5257">
        <w:trPr>
          <w:trHeight w:val="1280"/>
        </w:trPr>
        <w:tc>
          <w:tcPr>
            <w:tcW w:w="11140" w:type="dxa"/>
            <w:hideMark/>
          </w:tcPr>
          <w:p w14:paraId="712B4AFE" w14:textId="77777777" w:rsidR="00CC5257" w:rsidRPr="00CC5257" w:rsidRDefault="00CC5257">
            <w:r w:rsidRPr="00CC5257">
              <w:lastRenderedPageBreak/>
              <w:t>Software musí umožňovat rozšíření místního zálohovacího úložiště integrací s úložišti  Microsoft Azure Blob, Amazon S3 a S3 kompatibilními pro bezproblémovou migraci dat mezi primárním úložištěm záloh a úložišti sekundárních zálohovacích objektů. Aby se zachovaly požadavky na šířku pásma a úložiště, měly by být extrahovány pouze jedinečné bloky. Přenesení dat do objektového úložiště  nemůže ovlivnit žádný ze scénářů obnovy.</w:t>
            </w:r>
          </w:p>
        </w:tc>
        <w:tc>
          <w:tcPr>
            <w:tcW w:w="3780" w:type="dxa"/>
            <w:noWrap/>
            <w:hideMark/>
          </w:tcPr>
          <w:p w14:paraId="24E8D362" w14:textId="77777777" w:rsidR="00CC5257" w:rsidRPr="00CC5257" w:rsidRDefault="00CC5257">
            <w:r w:rsidRPr="00CC5257">
              <w:t> </w:t>
            </w:r>
          </w:p>
        </w:tc>
        <w:tc>
          <w:tcPr>
            <w:tcW w:w="3780" w:type="dxa"/>
            <w:noWrap/>
            <w:hideMark/>
          </w:tcPr>
          <w:p w14:paraId="130219AA" w14:textId="77777777" w:rsidR="00CC5257" w:rsidRPr="00CC5257" w:rsidRDefault="00CC5257">
            <w:r w:rsidRPr="00CC5257">
              <w:t> </w:t>
            </w:r>
          </w:p>
        </w:tc>
      </w:tr>
      <w:tr w:rsidR="00CC5257" w:rsidRPr="00CC5257" w14:paraId="36545610" w14:textId="77777777" w:rsidTr="00CC5257">
        <w:trPr>
          <w:trHeight w:val="640"/>
        </w:trPr>
        <w:tc>
          <w:tcPr>
            <w:tcW w:w="11140" w:type="dxa"/>
            <w:hideMark/>
          </w:tcPr>
          <w:p w14:paraId="460143D6" w14:textId="77777777" w:rsidR="00CC5257" w:rsidRPr="00CC5257" w:rsidRDefault="00CC5257">
            <w:r w:rsidRPr="00CC5257">
              <w:t>Software nesmí použít centrální databázi pro ukládání jakýchkoli metadat deduplikace. Ztráta databáze nemůže způsobit, že záložní soubory budou nestabilní. Metadata deduplikace musí být uložena v záložních souborech</w:t>
            </w:r>
          </w:p>
        </w:tc>
        <w:tc>
          <w:tcPr>
            <w:tcW w:w="3780" w:type="dxa"/>
            <w:noWrap/>
            <w:hideMark/>
          </w:tcPr>
          <w:p w14:paraId="3994382B" w14:textId="77777777" w:rsidR="00CC5257" w:rsidRPr="00CC5257" w:rsidRDefault="00CC5257">
            <w:r w:rsidRPr="00CC5257">
              <w:t> </w:t>
            </w:r>
          </w:p>
        </w:tc>
        <w:tc>
          <w:tcPr>
            <w:tcW w:w="3780" w:type="dxa"/>
            <w:noWrap/>
            <w:hideMark/>
          </w:tcPr>
          <w:p w14:paraId="063B91C8" w14:textId="77777777" w:rsidR="00CC5257" w:rsidRPr="00CC5257" w:rsidRDefault="00CC5257">
            <w:r w:rsidRPr="00CC5257">
              <w:t> </w:t>
            </w:r>
          </w:p>
        </w:tc>
      </w:tr>
      <w:tr w:rsidR="00CC5257" w:rsidRPr="00CC5257" w14:paraId="408B4354" w14:textId="77777777" w:rsidTr="00CC5257">
        <w:trPr>
          <w:trHeight w:val="640"/>
        </w:trPr>
        <w:tc>
          <w:tcPr>
            <w:tcW w:w="11140" w:type="dxa"/>
            <w:hideMark/>
          </w:tcPr>
          <w:p w14:paraId="5C766453" w14:textId="77777777" w:rsidR="00CC5257" w:rsidRPr="00CC5257" w:rsidRDefault="00CC5257">
            <w:r w:rsidRPr="00CC5257">
              <w:t>Software NESMÍ vyžadovat instalaci jakéhokoli druhu stálého agenta uvnitř virtuálních počítačů, který vyžaduje údržbu, nasazení, upgrade atd. Pro všechny operace zálohování a obnovy</w:t>
            </w:r>
          </w:p>
        </w:tc>
        <w:tc>
          <w:tcPr>
            <w:tcW w:w="3780" w:type="dxa"/>
            <w:noWrap/>
            <w:hideMark/>
          </w:tcPr>
          <w:p w14:paraId="44F3AD0D" w14:textId="77777777" w:rsidR="00CC5257" w:rsidRPr="00CC5257" w:rsidRDefault="00CC5257">
            <w:r w:rsidRPr="00CC5257">
              <w:t> </w:t>
            </w:r>
          </w:p>
        </w:tc>
        <w:tc>
          <w:tcPr>
            <w:tcW w:w="3780" w:type="dxa"/>
            <w:noWrap/>
            <w:hideMark/>
          </w:tcPr>
          <w:p w14:paraId="5342B0F3" w14:textId="77777777" w:rsidR="00CC5257" w:rsidRPr="00CC5257" w:rsidRDefault="00CC5257">
            <w:r w:rsidRPr="00CC5257">
              <w:t> </w:t>
            </w:r>
          </w:p>
        </w:tc>
      </w:tr>
      <w:tr w:rsidR="00CC5257" w:rsidRPr="00CC5257" w14:paraId="783CB518" w14:textId="77777777" w:rsidTr="00CC5257">
        <w:trPr>
          <w:trHeight w:val="640"/>
        </w:trPr>
        <w:tc>
          <w:tcPr>
            <w:tcW w:w="11140" w:type="dxa"/>
            <w:hideMark/>
          </w:tcPr>
          <w:p w14:paraId="39A2BA51" w14:textId="77777777" w:rsidR="00CC5257" w:rsidRPr="00CC5257" w:rsidRDefault="00CC5257">
            <w:r w:rsidRPr="00CC5257">
              <w:t>Software musí používat „single pass backup“ s možností vyloučit zpracování jednotlivých souborů a složek. „Jednoprůchodová záloha“ je vyžadována pro všechny druhy obnovení včetně granulárních obnov</w:t>
            </w:r>
          </w:p>
        </w:tc>
        <w:tc>
          <w:tcPr>
            <w:tcW w:w="3780" w:type="dxa"/>
            <w:noWrap/>
            <w:hideMark/>
          </w:tcPr>
          <w:p w14:paraId="32D2963C" w14:textId="77777777" w:rsidR="00CC5257" w:rsidRPr="00CC5257" w:rsidRDefault="00CC5257">
            <w:r w:rsidRPr="00CC5257">
              <w:t> </w:t>
            </w:r>
          </w:p>
        </w:tc>
        <w:tc>
          <w:tcPr>
            <w:tcW w:w="3780" w:type="dxa"/>
            <w:noWrap/>
            <w:hideMark/>
          </w:tcPr>
          <w:p w14:paraId="53DA4959" w14:textId="77777777" w:rsidR="00CC5257" w:rsidRPr="00CC5257" w:rsidRDefault="00CC5257">
            <w:r w:rsidRPr="00CC5257">
              <w:t> </w:t>
            </w:r>
          </w:p>
        </w:tc>
      </w:tr>
      <w:tr w:rsidR="00CC5257" w:rsidRPr="00CC5257" w14:paraId="79EE7E23" w14:textId="77777777" w:rsidTr="00CC5257">
        <w:trPr>
          <w:trHeight w:val="640"/>
        </w:trPr>
        <w:tc>
          <w:tcPr>
            <w:tcW w:w="11140" w:type="dxa"/>
            <w:hideMark/>
          </w:tcPr>
          <w:p w14:paraId="4BFC4AC9" w14:textId="77777777" w:rsidR="00CC5257" w:rsidRPr="00CC5257" w:rsidRDefault="00CC5257">
            <w:r w:rsidRPr="00CC5257">
              <w:t>Software musí umožňovat připojování a spouštění jakéhokoli skriptu pro zálohování před nebo po spuštěním zálohovací úlohy, nebo před a po snapshotu VM</w:t>
            </w:r>
          </w:p>
        </w:tc>
        <w:tc>
          <w:tcPr>
            <w:tcW w:w="3780" w:type="dxa"/>
            <w:noWrap/>
            <w:hideMark/>
          </w:tcPr>
          <w:p w14:paraId="28CDDE9B" w14:textId="77777777" w:rsidR="00CC5257" w:rsidRPr="00CC5257" w:rsidRDefault="00CC5257">
            <w:r w:rsidRPr="00CC5257">
              <w:t> </w:t>
            </w:r>
          </w:p>
        </w:tc>
        <w:tc>
          <w:tcPr>
            <w:tcW w:w="3780" w:type="dxa"/>
            <w:noWrap/>
            <w:hideMark/>
          </w:tcPr>
          <w:p w14:paraId="7CE1B520" w14:textId="77777777" w:rsidR="00CC5257" w:rsidRPr="00CC5257" w:rsidRDefault="00CC5257">
            <w:r w:rsidRPr="00CC5257">
              <w:t> </w:t>
            </w:r>
          </w:p>
        </w:tc>
      </w:tr>
      <w:tr w:rsidR="00CC5257" w:rsidRPr="00CC5257" w14:paraId="69AC69B2" w14:textId="77777777" w:rsidTr="00CC5257">
        <w:trPr>
          <w:trHeight w:val="640"/>
        </w:trPr>
        <w:tc>
          <w:tcPr>
            <w:tcW w:w="11140" w:type="dxa"/>
            <w:hideMark/>
          </w:tcPr>
          <w:p w14:paraId="4D6A0C1C" w14:textId="77777777" w:rsidR="00CC5257" w:rsidRPr="00CC5257" w:rsidRDefault="00CC5257">
            <w:r w:rsidRPr="00CC5257">
              <w:t>Software musí nabízet samoobslužný portál, prostřednictvím kterého si uživatelé mohou obnovit soubory, virtuální počítače, objekty MS Exchange a databáze MS SQL, databáze Oracle (včetně obnovení v čase)</w:t>
            </w:r>
          </w:p>
        </w:tc>
        <w:tc>
          <w:tcPr>
            <w:tcW w:w="3780" w:type="dxa"/>
            <w:noWrap/>
            <w:hideMark/>
          </w:tcPr>
          <w:p w14:paraId="785F70B3" w14:textId="77777777" w:rsidR="00CC5257" w:rsidRPr="00CC5257" w:rsidRDefault="00CC5257">
            <w:r w:rsidRPr="00CC5257">
              <w:t> </w:t>
            </w:r>
          </w:p>
        </w:tc>
        <w:tc>
          <w:tcPr>
            <w:tcW w:w="3780" w:type="dxa"/>
            <w:noWrap/>
            <w:hideMark/>
          </w:tcPr>
          <w:p w14:paraId="00737DC4" w14:textId="77777777" w:rsidR="00CC5257" w:rsidRPr="00CC5257" w:rsidRDefault="00CC5257">
            <w:r w:rsidRPr="00CC5257">
              <w:t> </w:t>
            </w:r>
          </w:p>
        </w:tc>
      </w:tr>
      <w:tr w:rsidR="00CC5257" w:rsidRPr="00CC5257" w14:paraId="19F3AA8B" w14:textId="77777777" w:rsidTr="00CC5257">
        <w:trPr>
          <w:trHeight w:val="320"/>
        </w:trPr>
        <w:tc>
          <w:tcPr>
            <w:tcW w:w="11140" w:type="dxa"/>
            <w:hideMark/>
          </w:tcPr>
          <w:p w14:paraId="165FB2ED" w14:textId="77777777" w:rsidR="00CC5257" w:rsidRPr="00CC5257" w:rsidRDefault="00CC5257">
            <w:r w:rsidRPr="00CC5257">
              <w:t>Software musí být schopen integrace s jinými systémy pomocí zabudovaného rozhraní REST API</w:t>
            </w:r>
          </w:p>
        </w:tc>
        <w:tc>
          <w:tcPr>
            <w:tcW w:w="3780" w:type="dxa"/>
            <w:noWrap/>
            <w:hideMark/>
          </w:tcPr>
          <w:p w14:paraId="705FE431" w14:textId="77777777" w:rsidR="00CC5257" w:rsidRPr="00CC5257" w:rsidRDefault="00CC5257">
            <w:r w:rsidRPr="00CC5257">
              <w:t> </w:t>
            </w:r>
          </w:p>
        </w:tc>
        <w:tc>
          <w:tcPr>
            <w:tcW w:w="3780" w:type="dxa"/>
            <w:noWrap/>
            <w:hideMark/>
          </w:tcPr>
          <w:p w14:paraId="29C2318D" w14:textId="77777777" w:rsidR="00CC5257" w:rsidRPr="00CC5257" w:rsidRDefault="00CC5257">
            <w:r w:rsidRPr="00CC5257">
              <w:t> </w:t>
            </w:r>
          </w:p>
        </w:tc>
      </w:tr>
      <w:tr w:rsidR="00CC5257" w:rsidRPr="00CC5257" w14:paraId="3C4D9C60" w14:textId="77777777" w:rsidTr="00CC5257">
        <w:trPr>
          <w:trHeight w:val="640"/>
        </w:trPr>
        <w:tc>
          <w:tcPr>
            <w:tcW w:w="11140" w:type="dxa"/>
            <w:hideMark/>
          </w:tcPr>
          <w:p w14:paraId="33E25271" w14:textId="77777777" w:rsidR="00CC5257" w:rsidRPr="00CC5257" w:rsidRDefault="00CC5257">
            <w:r w:rsidRPr="00CC5257">
              <w:t>Software musí nabízet šifrování celého síťového provozu mezi všemi komponentami a také  šifrování "na cíli" záložních souborů v úložišti. Šifrování nemůže omezit žádné funkce uvedené ve specifikaci</w:t>
            </w:r>
          </w:p>
        </w:tc>
        <w:tc>
          <w:tcPr>
            <w:tcW w:w="3780" w:type="dxa"/>
            <w:noWrap/>
            <w:hideMark/>
          </w:tcPr>
          <w:p w14:paraId="0C817885" w14:textId="77777777" w:rsidR="00CC5257" w:rsidRPr="00CC5257" w:rsidRDefault="00CC5257">
            <w:r w:rsidRPr="00CC5257">
              <w:t> </w:t>
            </w:r>
          </w:p>
        </w:tc>
        <w:tc>
          <w:tcPr>
            <w:tcW w:w="3780" w:type="dxa"/>
            <w:noWrap/>
            <w:hideMark/>
          </w:tcPr>
          <w:p w14:paraId="5DF93405" w14:textId="77777777" w:rsidR="00CC5257" w:rsidRPr="00CC5257" w:rsidRDefault="00CC5257">
            <w:r w:rsidRPr="00CC5257">
              <w:t> </w:t>
            </w:r>
          </w:p>
        </w:tc>
      </w:tr>
      <w:tr w:rsidR="00CC5257" w:rsidRPr="00CC5257" w14:paraId="6FBF6A24" w14:textId="77777777" w:rsidTr="00CC5257">
        <w:trPr>
          <w:trHeight w:val="340"/>
        </w:trPr>
        <w:tc>
          <w:tcPr>
            <w:tcW w:w="11140" w:type="dxa"/>
            <w:hideMark/>
          </w:tcPr>
          <w:p w14:paraId="0874F2AF" w14:textId="77777777" w:rsidR="00CC5257" w:rsidRPr="00CC5257" w:rsidRDefault="00CC5257">
            <w:r w:rsidRPr="00CC5257">
              <w:t>Software musí mít architekturu klient / server s možností instalace více instancí administrativní konzoly</w:t>
            </w:r>
          </w:p>
        </w:tc>
        <w:tc>
          <w:tcPr>
            <w:tcW w:w="3780" w:type="dxa"/>
            <w:noWrap/>
            <w:hideMark/>
          </w:tcPr>
          <w:p w14:paraId="098ED4F5" w14:textId="77777777" w:rsidR="00CC5257" w:rsidRPr="00CC5257" w:rsidRDefault="00CC5257">
            <w:r w:rsidRPr="00CC5257">
              <w:t> </w:t>
            </w:r>
          </w:p>
        </w:tc>
        <w:tc>
          <w:tcPr>
            <w:tcW w:w="3780" w:type="dxa"/>
            <w:noWrap/>
            <w:hideMark/>
          </w:tcPr>
          <w:p w14:paraId="478C6304" w14:textId="77777777" w:rsidR="00CC5257" w:rsidRPr="00CC5257" w:rsidRDefault="00CC5257">
            <w:r w:rsidRPr="00CC5257">
              <w:t> </w:t>
            </w:r>
          </w:p>
        </w:tc>
      </w:tr>
      <w:tr w:rsidR="00CC5257" w:rsidRPr="00CC5257" w14:paraId="4D008CFB" w14:textId="77777777" w:rsidTr="00CC5257">
        <w:trPr>
          <w:trHeight w:val="380"/>
        </w:trPr>
        <w:tc>
          <w:tcPr>
            <w:tcW w:w="18700" w:type="dxa"/>
            <w:gridSpan w:val="3"/>
            <w:noWrap/>
            <w:hideMark/>
          </w:tcPr>
          <w:p w14:paraId="1D57D12E" w14:textId="77777777" w:rsidR="00CC5257" w:rsidRPr="00CC5257" w:rsidRDefault="00CC5257">
            <w:pPr>
              <w:rPr>
                <w:b/>
                <w:bCs/>
              </w:rPr>
            </w:pPr>
            <w:r w:rsidRPr="00CC5257">
              <w:rPr>
                <w:b/>
                <w:bCs/>
              </w:rPr>
              <w:t> </w:t>
            </w:r>
          </w:p>
        </w:tc>
      </w:tr>
      <w:tr w:rsidR="00CC5257" w:rsidRPr="00CC5257" w14:paraId="22AED943" w14:textId="77777777" w:rsidTr="00CC5257">
        <w:trPr>
          <w:trHeight w:val="640"/>
        </w:trPr>
        <w:tc>
          <w:tcPr>
            <w:tcW w:w="11140" w:type="dxa"/>
            <w:hideMark/>
          </w:tcPr>
          <w:p w14:paraId="292D46A9" w14:textId="77777777" w:rsidR="00CC5257" w:rsidRPr="00CC5257" w:rsidRDefault="00CC5257">
            <w:r w:rsidRPr="00CC5257">
              <w:t>Software musí využívat mechanismus sledování změn bloku. Pro všechny podporované hypervizory musí být implementace CBT certifikována výrobcem hypervizoru</w:t>
            </w:r>
          </w:p>
        </w:tc>
        <w:tc>
          <w:tcPr>
            <w:tcW w:w="3780" w:type="dxa"/>
            <w:noWrap/>
            <w:hideMark/>
          </w:tcPr>
          <w:p w14:paraId="48FC9431" w14:textId="77777777" w:rsidR="00CC5257" w:rsidRPr="00CC5257" w:rsidRDefault="00CC5257">
            <w:r w:rsidRPr="00CC5257">
              <w:t> </w:t>
            </w:r>
          </w:p>
        </w:tc>
        <w:tc>
          <w:tcPr>
            <w:tcW w:w="3780" w:type="dxa"/>
            <w:noWrap/>
            <w:hideMark/>
          </w:tcPr>
          <w:p w14:paraId="1CCDEAA1" w14:textId="77777777" w:rsidR="00CC5257" w:rsidRPr="00CC5257" w:rsidRDefault="00CC5257">
            <w:r w:rsidRPr="00CC5257">
              <w:t> </w:t>
            </w:r>
          </w:p>
        </w:tc>
      </w:tr>
      <w:tr w:rsidR="00CC5257" w:rsidRPr="00CC5257" w14:paraId="4F2C6296" w14:textId="77777777" w:rsidTr="00CC5257">
        <w:trPr>
          <w:trHeight w:val="960"/>
        </w:trPr>
        <w:tc>
          <w:tcPr>
            <w:tcW w:w="11140" w:type="dxa"/>
            <w:hideMark/>
          </w:tcPr>
          <w:p w14:paraId="28D1B0B7" w14:textId="77777777" w:rsidR="00CC5257" w:rsidRPr="00CC5257" w:rsidRDefault="00CC5257">
            <w:r w:rsidRPr="00CC5257">
              <w:t>Software musí nabízet způsoby, jak omezit stres na produkčním úložišti během zálohování tak, aby záloha kontrolovatelným způsobem ovlivňovala latenci produkčního úložiště. Toto musí být nabídnuto pro všechny podporované hypervizory</w:t>
            </w:r>
          </w:p>
        </w:tc>
        <w:tc>
          <w:tcPr>
            <w:tcW w:w="3780" w:type="dxa"/>
            <w:noWrap/>
            <w:hideMark/>
          </w:tcPr>
          <w:p w14:paraId="0F751A00" w14:textId="77777777" w:rsidR="00CC5257" w:rsidRPr="00CC5257" w:rsidRDefault="00CC5257">
            <w:r w:rsidRPr="00CC5257">
              <w:t> </w:t>
            </w:r>
          </w:p>
        </w:tc>
        <w:tc>
          <w:tcPr>
            <w:tcW w:w="3780" w:type="dxa"/>
            <w:noWrap/>
            <w:hideMark/>
          </w:tcPr>
          <w:p w14:paraId="1A732A59" w14:textId="77777777" w:rsidR="00CC5257" w:rsidRPr="00CC5257" w:rsidRDefault="00CC5257">
            <w:r w:rsidRPr="00CC5257">
              <w:t> </w:t>
            </w:r>
          </w:p>
        </w:tc>
      </w:tr>
      <w:tr w:rsidR="00CC5257" w:rsidRPr="00CC5257" w14:paraId="3E611BBD" w14:textId="77777777" w:rsidTr="00CC5257">
        <w:trPr>
          <w:trHeight w:val="320"/>
        </w:trPr>
        <w:tc>
          <w:tcPr>
            <w:tcW w:w="11140" w:type="dxa"/>
            <w:hideMark/>
          </w:tcPr>
          <w:p w14:paraId="74CEEE8E" w14:textId="77777777" w:rsidR="00CC5257" w:rsidRPr="00CC5257" w:rsidRDefault="00CC5257">
            <w:r w:rsidRPr="00CC5257">
              <w:t>Výše uvedená funkce musí být konfigurovatelná na úrovni datastore virtualizační platformy</w:t>
            </w:r>
          </w:p>
        </w:tc>
        <w:tc>
          <w:tcPr>
            <w:tcW w:w="3780" w:type="dxa"/>
            <w:noWrap/>
            <w:hideMark/>
          </w:tcPr>
          <w:p w14:paraId="41A2A42A" w14:textId="77777777" w:rsidR="00CC5257" w:rsidRPr="00CC5257" w:rsidRDefault="00CC5257">
            <w:r w:rsidRPr="00CC5257">
              <w:t> </w:t>
            </w:r>
          </w:p>
        </w:tc>
        <w:tc>
          <w:tcPr>
            <w:tcW w:w="3780" w:type="dxa"/>
            <w:noWrap/>
            <w:hideMark/>
          </w:tcPr>
          <w:p w14:paraId="1780AC5D" w14:textId="77777777" w:rsidR="00CC5257" w:rsidRPr="00CC5257" w:rsidRDefault="00CC5257">
            <w:r w:rsidRPr="00CC5257">
              <w:t> </w:t>
            </w:r>
          </w:p>
        </w:tc>
      </w:tr>
      <w:tr w:rsidR="00CC5257" w:rsidRPr="00CC5257" w14:paraId="3B8B3F0E" w14:textId="77777777" w:rsidTr="00CC5257">
        <w:trPr>
          <w:trHeight w:val="640"/>
        </w:trPr>
        <w:tc>
          <w:tcPr>
            <w:tcW w:w="11140" w:type="dxa"/>
            <w:hideMark/>
          </w:tcPr>
          <w:p w14:paraId="2E720517" w14:textId="77777777" w:rsidR="00CC5257" w:rsidRPr="00CC5257" w:rsidRDefault="00CC5257">
            <w:r w:rsidRPr="00CC5257">
              <w:t>Software musí nabízet automatickou detekci "orphaned snapshots" a musí provést jejich konsolidaci automaticky bez zásahu uživatele</w:t>
            </w:r>
          </w:p>
        </w:tc>
        <w:tc>
          <w:tcPr>
            <w:tcW w:w="3780" w:type="dxa"/>
            <w:noWrap/>
            <w:hideMark/>
          </w:tcPr>
          <w:p w14:paraId="673A1E9E" w14:textId="77777777" w:rsidR="00CC5257" w:rsidRPr="00CC5257" w:rsidRDefault="00CC5257">
            <w:r w:rsidRPr="00CC5257">
              <w:t> </w:t>
            </w:r>
          </w:p>
        </w:tc>
        <w:tc>
          <w:tcPr>
            <w:tcW w:w="3780" w:type="dxa"/>
            <w:noWrap/>
            <w:hideMark/>
          </w:tcPr>
          <w:p w14:paraId="3BB57661" w14:textId="77777777" w:rsidR="00CC5257" w:rsidRPr="00CC5257" w:rsidRDefault="00CC5257">
            <w:r w:rsidRPr="00CC5257">
              <w:t> </w:t>
            </w:r>
          </w:p>
        </w:tc>
      </w:tr>
      <w:tr w:rsidR="00CC5257" w:rsidRPr="00CC5257" w14:paraId="1DBCC511" w14:textId="77777777" w:rsidTr="00CC5257">
        <w:trPr>
          <w:trHeight w:val="960"/>
        </w:trPr>
        <w:tc>
          <w:tcPr>
            <w:tcW w:w="11140" w:type="dxa"/>
            <w:hideMark/>
          </w:tcPr>
          <w:p w14:paraId="67FED16D" w14:textId="77777777" w:rsidR="00CC5257" w:rsidRPr="00CC5257" w:rsidRDefault="00CC5257">
            <w:r w:rsidRPr="00CC5257">
              <w:t>Software musí umožňovat vytváření záloh integrací se snímky úložiště. Dále musí umožnit obnovu jednotlivých VM, souborů a položek aplikace z těchto snímků. Proces zálohy nemůže k připojení snímku použít dočasného hostitele. Popsaná funkce musí fungovat pro prostředí VMware vSphere a Microsoft HyperV a musí podporovat pole Dell EMC</w:t>
            </w:r>
          </w:p>
        </w:tc>
        <w:tc>
          <w:tcPr>
            <w:tcW w:w="3780" w:type="dxa"/>
            <w:noWrap/>
            <w:hideMark/>
          </w:tcPr>
          <w:p w14:paraId="35B53E88" w14:textId="77777777" w:rsidR="00CC5257" w:rsidRPr="00CC5257" w:rsidRDefault="00CC5257">
            <w:r w:rsidRPr="00CC5257">
              <w:t> </w:t>
            </w:r>
          </w:p>
        </w:tc>
        <w:tc>
          <w:tcPr>
            <w:tcW w:w="3780" w:type="dxa"/>
            <w:noWrap/>
            <w:hideMark/>
          </w:tcPr>
          <w:p w14:paraId="052CAB85" w14:textId="77777777" w:rsidR="00CC5257" w:rsidRPr="00CC5257" w:rsidRDefault="00CC5257">
            <w:r w:rsidRPr="00CC5257">
              <w:t> </w:t>
            </w:r>
          </w:p>
        </w:tc>
      </w:tr>
      <w:tr w:rsidR="00CC5257" w:rsidRPr="00CC5257" w14:paraId="59B51533" w14:textId="77777777" w:rsidTr="00CC5257">
        <w:trPr>
          <w:trHeight w:val="320"/>
        </w:trPr>
        <w:tc>
          <w:tcPr>
            <w:tcW w:w="11140" w:type="dxa"/>
            <w:hideMark/>
          </w:tcPr>
          <w:p w14:paraId="6DE0D60B" w14:textId="77777777" w:rsidR="00CC5257" w:rsidRPr="00CC5257" w:rsidRDefault="00CC5257">
            <w:r w:rsidRPr="00CC5257">
              <w:t>Software musí podporovat NDMP</w:t>
            </w:r>
          </w:p>
        </w:tc>
        <w:tc>
          <w:tcPr>
            <w:tcW w:w="3780" w:type="dxa"/>
            <w:noWrap/>
            <w:hideMark/>
          </w:tcPr>
          <w:p w14:paraId="65805F07" w14:textId="77777777" w:rsidR="00CC5257" w:rsidRPr="00CC5257" w:rsidRDefault="00CC5257">
            <w:r w:rsidRPr="00CC5257">
              <w:t> </w:t>
            </w:r>
          </w:p>
        </w:tc>
        <w:tc>
          <w:tcPr>
            <w:tcW w:w="3780" w:type="dxa"/>
            <w:noWrap/>
            <w:hideMark/>
          </w:tcPr>
          <w:p w14:paraId="08CA7347" w14:textId="77777777" w:rsidR="00CC5257" w:rsidRPr="00CC5257" w:rsidRDefault="00CC5257">
            <w:r w:rsidRPr="00CC5257">
              <w:t> </w:t>
            </w:r>
          </w:p>
        </w:tc>
      </w:tr>
      <w:tr w:rsidR="00CC5257" w:rsidRPr="00CC5257" w14:paraId="7D79FC61" w14:textId="77777777" w:rsidTr="00CC5257">
        <w:trPr>
          <w:trHeight w:val="320"/>
        </w:trPr>
        <w:tc>
          <w:tcPr>
            <w:tcW w:w="11140" w:type="dxa"/>
            <w:hideMark/>
          </w:tcPr>
          <w:p w14:paraId="12FB3E64" w14:textId="77777777" w:rsidR="00CC5257" w:rsidRPr="00CC5257" w:rsidRDefault="00CC5257">
            <w:r w:rsidRPr="00CC5257">
              <w:lastRenderedPageBreak/>
              <w:t>Kopie musí umožňovat vytváření a udržování politiky uchovávání GFS (grandfather-father-son)</w:t>
            </w:r>
          </w:p>
        </w:tc>
        <w:tc>
          <w:tcPr>
            <w:tcW w:w="3780" w:type="dxa"/>
            <w:noWrap/>
            <w:hideMark/>
          </w:tcPr>
          <w:p w14:paraId="4B953547" w14:textId="77777777" w:rsidR="00CC5257" w:rsidRPr="00CC5257" w:rsidRDefault="00CC5257">
            <w:r w:rsidRPr="00CC5257">
              <w:t> </w:t>
            </w:r>
          </w:p>
        </w:tc>
        <w:tc>
          <w:tcPr>
            <w:tcW w:w="3780" w:type="dxa"/>
            <w:noWrap/>
            <w:hideMark/>
          </w:tcPr>
          <w:p w14:paraId="3629D26A" w14:textId="77777777" w:rsidR="00CC5257" w:rsidRPr="00CC5257" w:rsidRDefault="00CC5257">
            <w:r w:rsidRPr="00CC5257">
              <w:t> </w:t>
            </w:r>
          </w:p>
        </w:tc>
      </w:tr>
      <w:tr w:rsidR="00CC5257" w:rsidRPr="00CC5257" w14:paraId="75D7D22B" w14:textId="77777777" w:rsidTr="00CC5257">
        <w:trPr>
          <w:trHeight w:val="640"/>
        </w:trPr>
        <w:tc>
          <w:tcPr>
            <w:tcW w:w="11140" w:type="dxa"/>
            <w:hideMark/>
          </w:tcPr>
          <w:p w14:paraId="4BD40734" w14:textId="77777777" w:rsidR="00CC5257" w:rsidRPr="00CC5257" w:rsidRDefault="00CC5257">
            <w:r w:rsidRPr="00CC5257">
              <w:t>Software musí využívat protokol DD BOOST pokud je Dell EMC Data Domain používán jako záložní úložiště. To musí být podporováno pomocí připojení k síti LAN nebo FC</w:t>
            </w:r>
          </w:p>
        </w:tc>
        <w:tc>
          <w:tcPr>
            <w:tcW w:w="3780" w:type="dxa"/>
            <w:noWrap/>
            <w:hideMark/>
          </w:tcPr>
          <w:p w14:paraId="20253A5F" w14:textId="77777777" w:rsidR="00CC5257" w:rsidRPr="00CC5257" w:rsidRDefault="00CC5257">
            <w:r w:rsidRPr="00CC5257">
              <w:t> </w:t>
            </w:r>
          </w:p>
        </w:tc>
        <w:tc>
          <w:tcPr>
            <w:tcW w:w="3780" w:type="dxa"/>
            <w:noWrap/>
            <w:hideMark/>
          </w:tcPr>
          <w:p w14:paraId="4F3D183E" w14:textId="77777777" w:rsidR="00CC5257" w:rsidRPr="00CC5257" w:rsidRDefault="00CC5257">
            <w:r w:rsidRPr="00CC5257">
              <w:t> </w:t>
            </w:r>
          </w:p>
        </w:tc>
      </w:tr>
      <w:tr w:rsidR="00CC5257" w:rsidRPr="00CC5257" w14:paraId="7875EB17" w14:textId="77777777" w:rsidTr="00CC5257">
        <w:trPr>
          <w:trHeight w:val="640"/>
        </w:trPr>
        <w:tc>
          <w:tcPr>
            <w:tcW w:w="11140" w:type="dxa"/>
            <w:hideMark/>
          </w:tcPr>
          <w:p w14:paraId="73A6BF0B" w14:textId="77777777" w:rsidR="00CC5257" w:rsidRPr="00CC5257" w:rsidRDefault="00CC5257">
            <w:r w:rsidRPr="00CC5257">
              <w:t>Software musí podporovat rozhraní BlockClone API pokud se jako záložní úložiště používá systém Windows Server 2016 nebo 2019 se systémem souborů ReFS</w:t>
            </w:r>
          </w:p>
        </w:tc>
        <w:tc>
          <w:tcPr>
            <w:tcW w:w="3780" w:type="dxa"/>
            <w:noWrap/>
            <w:hideMark/>
          </w:tcPr>
          <w:p w14:paraId="5EFBF9E9" w14:textId="77777777" w:rsidR="00CC5257" w:rsidRPr="00CC5257" w:rsidRDefault="00CC5257">
            <w:r w:rsidRPr="00CC5257">
              <w:t> </w:t>
            </w:r>
          </w:p>
        </w:tc>
        <w:tc>
          <w:tcPr>
            <w:tcW w:w="3780" w:type="dxa"/>
            <w:noWrap/>
            <w:hideMark/>
          </w:tcPr>
          <w:p w14:paraId="03AF55A9" w14:textId="77777777" w:rsidR="00CC5257" w:rsidRPr="00CC5257" w:rsidRDefault="00CC5257">
            <w:r w:rsidRPr="00CC5257">
              <w:t> </w:t>
            </w:r>
          </w:p>
        </w:tc>
      </w:tr>
      <w:tr w:rsidR="00CC5257" w:rsidRPr="00CC5257" w14:paraId="478BEB84" w14:textId="77777777" w:rsidTr="00CC5257">
        <w:trPr>
          <w:trHeight w:val="315"/>
        </w:trPr>
        <w:tc>
          <w:tcPr>
            <w:tcW w:w="11140" w:type="dxa"/>
            <w:hideMark/>
          </w:tcPr>
          <w:p w14:paraId="5EC8C21F" w14:textId="77777777" w:rsidR="00CC5257" w:rsidRPr="00CC5257" w:rsidRDefault="00CC5257">
            <w:r w:rsidRPr="00CC5257">
              <w:t>Podobná funkcionalita musí být zajištěna pro úložiště založená na souborovém systému Linux XFS</w:t>
            </w:r>
          </w:p>
        </w:tc>
        <w:tc>
          <w:tcPr>
            <w:tcW w:w="3780" w:type="dxa"/>
            <w:noWrap/>
            <w:hideMark/>
          </w:tcPr>
          <w:p w14:paraId="56CC0756" w14:textId="77777777" w:rsidR="00CC5257" w:rsidRPr="00CC5257" w:rsidRDefault="00CC5257">
            <w:r w:rsidRPr="00CC5257">
              <w:t> </w:t>
            </w:r>
          </w:p>
        </w:tc>
        <w:tc>
          <w:tcPr>
            <w:tcW w:w="3780" w:type="dxa"/>
            <w:noWrap/>
            <w:hideMark/>
          </w:tcPr>
          <w:p w14:paraId="6C42538B" w14:textId="77777777" w:rsidR="00CC5257" w:rsidRPr="00CC5257" w:rsidRDefault="00CC5257">
            <w:r w:rsidRPr="00CC5257">
              <w:t> </w:t>
            </w:r>
          </w:p>
        </w:tc>
      </w:tr>
      <w:tr w:rsidR="00CC5257" w:rsidRPr="00CC5257" w14:paraId="5F586955" w14:textId="77777777" w:rsidTr="00CC5257">
        <w:trPr>
          <w:trHeight w:val="640"/>
        </w:trPr>
        <w:tc>
          <w:tcPr>
            <w:tcW w:w="11140" w:type="dxa"/>
            <w:hideMark/>
          </w:tcPr>
          <w:p w14:paraId="5DD6EFB5" w14:textId="77777777" w:rsidR="00CC5257" w:rsidRPr="00CC5257" w:rsidRDefault="00CC5257">
            <w:r w:rsidRPr="00CC5257">
              <w:t>Software musí být schopen kopírovat body obnovení a replikovat virtuální počítače do vzdáleného umístění pomocí technologie založené na vestavěné akceleraci WAN</w:t>
            </w:r>
          </w:p>
        </w:tc>
        <w:tc>
          <w:tcPr>
            <w:tcW w:w="3780" w:type="dxa"/>
            <w:noWrap/>
            <w:hideMark/>
          </w:tcPr>
          <w:p w14:paraId="19B6DAE8" w14:textId="77777777" w:rsidR="00CC5257" w:rsidRPr="00CC5257" w:rsidRDefault="00CC5257">
            <w:r w:rsidRPr="00CC5257">
              <w:t> </w:t>
            </w:r>
          </w:p>
        </w:tc>
        <w:tc>
          <w:tcPr>
            <w:tcW w:w="3780" w:type="dxa"/>
            <w:noWrap/>
            <w:hideMark/>
          </w:tcPr>
          <w:p w14:paraId="16F8BC31" w14:textId="77777777" w:rsidR="00CC5257" w:rsidRPr="00CC5257" w:rsidRDefault="00CC5257">
            <w:r w:rsidRPr="00CC5257">
              <w:t> </w:t>
            </w:r>
          </w:p>
        </w:tc>
      </w:tr>
      <w:tr w:rsidR="00CC5257" w:rsidRPr="00CC5257" w14:paraId="745BE096" w14:textId="77777777" w:rsidTr="00CC5257">
        <w:trPr>
          <w:trHeight w:val="640"/>
        </w:trPr>
        <w:tc>
          <w:tcPr>
            <w:tcW w:w="11140" w:type="dxa"/>
            <w:hideMark/>
          </w:tcPr>
          <w:p w14:paraId="5DCDD14C" w14:textId="77777777" w:rsidR="00CC5257" w:rsidRPr="00CC5257" w:rsidRDefault="00CC5257">
            <w:r w:rsidRPr="00CC5257">
              <w:t>Software musí mít replikaci produkčních VM přímo z infrastruktury VMware vSphere, mezi hostiteli ESXi, včetně asynchronní nepřetržité replikace. Software musí navíc umožnit jako zdroj replikačních úloh využít soubory záloh</w:t>
            </w:r>
          </w:p>
        </w:tc>
        <w:tc>
          <w:tcPr>
            <w:tcW w:w="3780" w:type="dxa"/>
            <w:noWrap/>
            <w:hideMark/>
          </w:tcPr>
          <w:p w14:paraId="3BE32E45" w14:textId="77777777" w:rsidR="00CC5257" w:rsidRPr="00CC5257" w:rsidRDefault="00CC5257">
            <w:r w:rsidRPr="00CC5257">
              <w:t> </w:t>
            </w:r>
          </w:p>
        </w:tc>
        <w:tc>
          <w:tcPr>
            <w:tcW w:w="3780" w:type="dxa"/>
            <w:noWrap/>
            <w:hideMark/>
          </w:tcPr>
          <w:p w14:paraId="1572E8DB" w14:textId="77777777" w:rsidR="00CC5257" w:rsidRPr="00CC5257" w:rsidRDefault="00CC5257">
            <w:r w:rsidRPr="00CC5257">
              <w:t> </w:t>
            </w:r>
          </w:p>
        </w:tc>
      </w:tr>
      <w:tr w:rsidR="00CC5257" w:rsidRPr="00CC5257" w14:paraId="3CA74F3F" w14:textId="77777777" w:rsidTr="00CC5257">
        <w:trPr>
          <w:trHeight w:val="320"/>
        </w:trPr>
        <w:tc>
          <w:tcPr>
            <w:tcW w:w="11140" w:type="dxa"/>
            <w:hideMark/>
          </w:tcPr>
          <w:p w14:paraId="03C3E231" w14:textId="77777777" w:rsidR="00CC5257" w:rsidRPr="00CC5257" w:rsidRDefault="00CC5257">
            <w:r w:rsidRPr="00CC5257">
              <w:t>Software musí umožňovat uchování více bodů obnovení na replikačních virtuálních počítačích</w:t>
            </w:r>
          </w:p>
        </w:tc>
        <w:tc>
          <w:tcPr>
            <w:tcW w:w="3780" w:type="dxa"/>
            <w:noWrap/>
            <w:hideMark/>
          </w:tcPr>
          <w:p w14:paraId="0CC9237B" w14:textId="77777777" w:rsidR="00CC5257" w:rsidRPr="00CC5257" w:rsidRDefault="00CC5257">
            <w:r w:rsidRPr="00CC5257">
              <w:t> </w:t>
            </w:r>
          </w:p>
        </w:tc>
        <w:tc>
          <w:tcPr>
            <w:tcW w:w="3780" w:type="dxa"/>
            <w:noWrap/>
            <w:hideMark/>
          </w:tcPr>
          <w:p w14:paraId="1B62E992" w14:textId="77777777" w:rsidR="00CC5257" w:rsidRPr="00CC5257" w:rsidRDefault="00CC5257">
            <w:r w:rsidRPr="00CC5257">
              <w:t> </w:t>
            </w:r>
          </w:p>
        </w:tc>
      </w:tr>
      <w:tr w:rsidR="00CC5257" w:rsidRPr="00CC5257" w14:paraId="41B53858" w14:textId="77777777" w:rsidTr="00CC5257">
        <w:trPr>
          <w:trHeight w:val="320"/>
        </w:trPr>
        <w:tc>
          <w:tcPr>
            <w:tcW w:w="11140" w:type="dxa"/>
            <w:noWrap/>
            <w:hideMark/>
          </w:tcPr>
          <w:p w14:paraId="7997E91E" w14:textId="77777777" w:rsidR="00CC5257" w:rsidRPr="00CC5257" w:rsidRDefault="00CC5257">
            <w:r w:rsidRPr="00CC5257">
              <w:t>Software musí umožňovat „seeding“ replik ze stávajícího virtuálního počítače</w:t>
            </w:r>
          </w:p>
        </w:tc>
        <w:tc>
          <w:tcPr>
            <w:tcW w:w="3780" w:type="dxa"/>
            <w:noWrap/>
            <w:hideMark/>
          </w:tcPr>
          <w:p w14:paraId="53D71DCE" w14:textId="77777777" w:rsidR="00CC5257" w:rsidRPr="00CC5257" w:rsidRDefault="00CC5257">
            <w:r w:rsidRPr="00CC5257">
              <w:t> </w:t>
            </w:r>
          </w:p>
        </w:tc>
        <w:tc>
          <w:tcPr>
            <w:tcW w:w="3780" w:type="dxa"/>
            <w:noWrap/>
            <w:hideMark/>
          </w:tcPr>
          <w:p w14:paraId="7E9F560D" w14:textId="77777777" w:rsidR="00CC5257" w:rsidRPr="00CC5257" w:rsidRDefault="00CC5257">
            <w:r w:rsidRPr="00CC5257">
              <w:t> </w:t>
            </w:r>
          </w:p>
        </w:tc>
      </w:tr>
      <w:tr w:rsidR="00CC5257" w:rsidRPr="00CC5257" w14:paraId="0EDC8533" w14:textId="77777777" w:rsidTr="00CC5257">
        <w:trPr>
          <w:trHeight w:val="320"/>
        </w:trPr>
        <w:tc>
          <w:tcPr>
            <w:tcW w:w="11140" w:type="dxa"/>
            <w:noWrap/>
            <w:hideMark/>
          </w:tcPr>
          <w:p w14:paraId="603F591D" w14:textId="77777777" w:rsidR="00CC5257" w:rsidRPr="00CC5257" w:rsidRDefault="00CC5257">
            <w:r w:rsidRPr="00CC5257">
              <w:t>Software musí mít stejné funkce replikace pro Hyper-V</w:t>
            </w:r>
          </w:p>
        </w:tc>
        <w:tc>
          <w:tcPr>
            <w:tcW w:w="3780" w:type="dxa"/>
            <w:noWrap/>
            <w:hideMark/>
          </w:tcPr>
          <w:p w14:paraId="794AA2DF" w14:textId="77777777" w:rsidR="00CC5257" w:rsidRPr="00CC5257" w:rsidRDefault="00CC5257">
            <w:r w:rsidRPr="00CC5257">
              <w:t> </w:t>
            </w:r>
          </w:p>
        </w:tc>
        <w:tc>
          <w:tcPr>
            <w:tcW w:w="3780" w:type="dxa"/>
            <w:noWrap/>
            <w:hideMark/>
          </w:tcPr>
          <w:p w14:paraId="3F573016" w14:textId="77777777" w:rsidR="00CC5257" w:rsidRPr="00CC5257" w:rsidRDefault="00CC5257">
            <w:r w:rsidRPr="00CC5257">
              <w:t> </w:t>
            </w:r>
          </w:p>
        </w:tc>
      </w:tr>
      <w:tr w:rsidR="00CC5257" w:rsidRPr="00CC5257" w14:paraId="605890AC" w14:textId="77777777" w:rsidTr="00CC5257">
        <w:trPr>
          <w:trHeight w:val="640"/>
        </w:trPr>
        <w:tc>
          <w:tcPr>
            <w:tcW w:w="11140" w:type="dxa"/>
            <w:hideMark/>
          </w:tcPr>
          <w:p w14:paraId="3CEEBAC3" w14:textId="77777777" w:rsidR="00CC5257" w:rsidRPr="00CC5257" w:rsidRDefault="00CC5257">
            <w:r w:rsidRPr="00CC5257">
              <w:t>Software musí využívat všechny režimy přenosu zálohy podporované hypervizorem (network, hotadd, direct SAN a direct NFS)</w:t>
            </w:r>
          </w:p>
        </w:tc>
        <w:tc>
          <w:tcPr>
            <w:tcW w:w="3780" w:type="dxa"/>
            <w:noWrap/>
            <w:hideMark/>
          </w:tcPr>
          <w:p w14:paraId="2D7F9E63" w14:textId="77777777" w:rsidR="00CC5257" w:rsidRPr="00CC5257" w:rsidRDefault="00CC5257">
            <w:r w:rsidRPr="00CC5257">
              <w:t> </w:t>
            </w:r>
          </w:p>
        </w:tc>
        <w:tc>
          <w:tcPr>
            <w:tcW w:w="3780" w:type="dxa"/>
            <w:noWrap/>
            <w:hideMark/>
          </w:tcPr>
          <w:p w14:paraId="13EC03C0" w14:textId="77777777" w:rsidR="00CC5257" w:rsidRPr="00CC5257" w:rsidRDefault="00CC5257">
            <w:r w:rsidRPr="00CC5257">
              <w:t> </w:t>
            </w:r>
          </w:p>
        </w:tc>
      </w:tr>
      <w:tr w:rsidR="00CC5257" w:rsidRPr="00CC5257" w14:paraId="26AE7044" w14:textId="77777777" w:rsidTr="00CC5257">
        <w:trPr>
          <w:trHeight w:val="660"/>
        </w:trPr>
        <w:tc>
          <w:tcPr>
            <w:tcW w:w="11140" w:type="dxa"/>
            <w:hideMark/>
          </w:tcPr>
          <w:p w14:paraId="40B311F7" w14:textId="77777777" w:rsidR="00CC5257" w:rsidRPr="00CC5257" w:rsidRDefault="00CC5257">
            <w:r w:rsidRPr="00CC5257">
              <w:t>Software musí umožňovat paralelní zpracování virtuálních disků a jejich disků, včetně paralelní obnovy virtuálních disků v úplném režimu obnovy VM</w:t>
            </w:r>
          </w:p>
        </w:tc>
        <w:tc>
          <w:tcPr>
            <w:tcW w:w="3780" w:type="dxa"/>
            <w:noWrap/>
            <w:hideMark/>
          </w:tcPr>
          <w:p w14:paraId="30C517C2" w14:textId="77777777" w:rsidR="00CC5257" w:rsidRPr="00CC5257" w:rsidRDefault="00CC5257">
            <w:r w:rsidRPr="00CC5257">
              <w:t> </w:t>
            </w:r>
          </w:p>
        </w:tc>
        <w:tc>
          <w:tcPr>
            <w:tcW w:w="3780" w:type="dxa"/>
            <w:noWrap/>
            <w:hideMark/>
          </w:tcPr>
          <w:p w14:paraId="142D3DF4" w14:textId="77777777" w:rsidR="00CC5257" w:rsidRPr="00CC5257" w:rsidRDefault="00CC5257">
            <w:r w:rsidRPr="00CC5257">
              <w:t> </w:t>
            </w:r>
          </w:p>
        </w:tc>
      </w:tr>
      <w:tr w:rsidR="00CC5257" w:rsidRPr="00CC5257" w14:paraId="1246BED7" w14:textId="77777777" w:rsidTr="00CC5257">
        <w:trPr>
          <w:trHeight w:val="380"/>
        </w:trPr>
        <w:tc>
          <w:tcPr>
            <w:tcW w:w="18700" w:type="dxa"/>
            <w:gridSpan w:val="3"/>
            <w:noWrap/>
            <w:hideMark/>
          </w:tcPr>
          <w:p w14:paraId="0D15A424" w14:textId="77777777" w:rsidR="00CC5257" w:rsidRPr="00CC5257" w:rsidRDefault="00CC5257">
            <w:pPr>
              <w:rPr>
                <w:b/>
                <w:bCs/>
              </w:rPr>
            </w:pPr>
            <w:r w:rsidRPr="00CC5257">
              <w:rPr>
                <w:b/>
                <w:bCs/>
              </w:rPr>
              <w:t> </w:t>
            </w:r>
          </w:p>
        </w:tc>
      </w:tr>
      <w:tr w:rsidR="00CC5257" w:rsidRPr="00CC5257" w14:paraId="758196A9" w14:textId="77777777" w:rsidTr="00CC5257">
        <w:trPr>
          <w:trHeight w:val="960"/>
        </w:trPr>
        <w:tc>
          <w:tcPr>
            <w:tcW w:w="11140" w:type="dxa"/>
            <w:hideMark/>
          </w:tcPr>
          <w:p w14:paraId="3F13F5B4" w14:textId="77777777" w:rsidR="00CC5257" w:rsidRPr="00CC5257" w:rsidRDefault="00CC5257">
            <w:r w:rsidRPr="00CC5257">
              <w:t>Software musí umožňovat okamžitou obnovu více virtuálních strojů současně, přímo ze záložních souborů z libovolného bodu obnovení (vestavěný NFS server). Tato funkce musí být podporována pro prostředí VMware a Hyper-V a musí fungovat bez ohledu na hardware používaný k ukládání záložních souborů VM</w:t>
            </w:r>
          </w:p>
        </w:tc>
        <w:tc>
          <w:tcPr>
            <w:tcW w:w="3780" w:type="dxa"/>
            <w:noWrap/>
            <w:hideMark/>
          </w:tcPr>
          <w:p w14:paraId="7BC5CBAF" w14:textId="77777777" w:rsidR="00CC5257" w:rsidRPr="00CC5257" w:rsidRDefault="00CC5257">
            <w:r w:rsidRPr="00CC5257">
              <w:t> </w:t>
            </w:r>
          </w:p>
        </w:tc>
        <w:tc>
          <w:tcPr>
            <w:tcW w:w="3780" w:type="dxa"/>
            <w:noWrap/>
            <w:hideMark/>
          </w:tcPr>
          <w:p w14:paraId="6E23FBD9" w14:textId="77777777" w:rsidR="00CC5257" w:rsidRPr="00CC5257" w:rsidRDefault="00CC5257">
            <w:r w:rsidRPr="00CC5257">
              <w:t> </w:t>
            </w:r>
          </w:p>
        </w:tc>
      </w:tr>
      <w:tr w:rsidR="00CC5257" w:rsidRPr="00CC5257" w14:paraId="6790DAA4" w14:textId="77777777" w:rsidTr="00CC5257">
        <w:trPr>
          <w:trHeight w:val="675"/>
        </w:trPr>
        <w:tc>
          <w:tcPr>
            <w:tcW w:w="11140" w:type="dxa"/>
            <w:hideMark/>
          </w:tcPr>
          <w:p w14:paraId="077DC1B7" w14:textId="77777777" w:rsidR="00CC5257" w:rsidRPr="00CC5257" w:rsidRDefault="00CC5257">
            <w:r w:rsidRPr="00CC5257">
              <w:t>Kromě toho musí v prostředích vSphere výše uvedená funkce umožňovat spuštění zálohy vytvořené z různých platforem (různých virtuálních, fyzických a veřejných cloudových virtuálních cloudů)</w:t>
            </w:r>
          </w:p>
        </w:tc>
        <w:tc>
          <w:tcPr>
            <w:tcW w:w="3780" w:type="dxa"/>
            <w:noWrap/>
            <w:hideMark/>
          </w:tcPr>
          <w:p w14:paraId="7E7D47BE" w14:textId="77777777" w:rsidR="00CC5257" w:rsidRPr="00CC5257" w:rsidRDefault="00CC5257">
            <w:r w:rsidRPr="00CC5257">
              <w:t> </w:t>
            </w:r>
          </w:p>
        </w:tc>
        <w:tc>
          <w:tcPr>
            <w:tcW w:w="3780" w:type="dxa"/>
            <w:noWrap/>
            <w:hideMark/>
          </w:tcPr>
          <w:p w14:paraId="2736420E" w14:textId="77777777" w:rsidR="00CC5257" w:rsidRPr="00CC5257" w:rsidRDefault="00CC5257">
            <w:r w:rsidRPr="00CC5257">
              <w:t> </w:t>
            </w:r>
          </w:p>
        </w:tc>
      </w:tr>
      <w:tr w:rsidR="00CC5257" w:rsidRPr="00CC5257" w14:paraId="77CBD126" w14:textId="77777777" w:rsidTr="00CC5257">
        <w:trPr>
          <w:trHeight w:val="640"/>
        </w:trPr>
        <w:tc>
          <w:tcPr>
            <w:tcW w:w="11140" w:type="dxa"/>
            <w:hideMark/>
          </w:tcPr>
          <w:p w14:paraId="3B20B153" w14:textId="77777777" w:rsidR="00CC5257" w:rsidRPr="00CC5257" w:rsidRDefault="00CC5257">
            <w:r w:rsidRPr="00CC5257">
              <w:t>Software musí umožňovat online migraci virtuálních počítačů, které běží tímto způsobem, do produkčního úložiště pomocí funkcí hypervizoru. Řešení musí také poskytovat svou vlastní funkci, která takové schopnosti poskytne.</w:t>
            </w:r>
          </w:p>
        </w:tc>
        <w:tc>
          <w:tcPr>
            <w:tcW w:w="3780" w:type="dxa"/>
            <w:noWrap/>
            <w:hideMark/>
          </w:tcPr>
          <w:p w14:paraId="703F9EA2" w14:textId="77777777" w:rsidR="00CC5257" w:rsidRPr="00CC5257" w:rsidRDefault="00CC5257">
            <w:r w:rsidRPr="00CC5257">
              <w:t> </w:t>
            </w:r>
          </w:p>
        </w:tc>
        <w:tc>
          <w:tcPr>
            <w:tcW w:w="3780" w:type="dxa"/>
            <w:noWrap/>
            <w:hideMark/>
          </w:tcPr>
          <w:p w14:paraId="53B592C1" w14:textId="77777777" w:rsidR="00CC5257" w:rsidRPr="00CC5257" w:rsidRDefault="00CC5257">
            <w:r w:rsidRPr="00CC5257">
              <w:t> </w:t>
            </w:r>
          </w:p>
        </w:tc>
      </w:tr>
      <w:tr w:rsidR="00CC5257" w:rsidRPr="00CC5257" w14:paraId="0D7E8A97" w14:textId="77777777" w:rsidTr="00CC5257">
        <w:trPr>
          <w:trHeight w:val="320"/>
        </w:trPr>
        <w:tc>
          <w:tcPr>
            <w:tcW w:w="11140" w:type="dxa"/>
            <w:hideMark/>
          </w:tcPr>
          <w:p w14:paraId="6123933E" w14:textId="77777777" w:rsidR="00CC5257" w:rsidRPr="00CC5257" w:rsidRDefault="00CC5257">
            <w:r w:rsidRPr="00CC5257">
              <w:t>Software musí umožňovat prezentaci disků přímo ze záložního souboru do spuštěné VMware VM anebo HyperV</w:t>
            </w:r>
          </w:p>
        </w:tc>
        <w:tc>
          <w:tcPr>
            <w:tcW w:w="3780" w:type="dxa"/>
            <w:noWrap/>
            <w:hideMark/>
          </w:tcPr>
          <w:p w14:paraId="2CD495DB" w14:textId="77777777" w:rsidR="00CC5257" w:rsidRPr="00CC5257" w:rsidRDefault="00CC5257">
            <w:r w:rsidRPr="00CC5257">
              <w:t> </w:t>
            </w:r>
          </w:p>
        </w:tc>
        <w:tc>
          <w:tcPr>
            <w:tcW w:w="3780" w:type="dxa"/>
            <w:noWrap/>
            <w:hideMark/>
          </w:tcPr>
          <w:p w14:paraId="7285AE59" w14:textId="77777777" w:rsidR="00CC5257" w:rsidRPr="00CC5257" w:rsidRDefault="00CC5257">
            <w:r w:rsidRPr="00CC5257">
              <w:t> </w:t>
            </w:r>
          </w:p>
        </w:tc>
      </w:tr>
      <w:tr w:rsidR="00CC5257" w:rsidRPr="00CC5257" w14:paraId="13C69A28" w14:textId="77777777" w:rsidTr="00CC5257">
        <w:trPr>
          <w:trHeight w:val="320"/>
        </w:trPr>
        <w:tc>
          <w:tcPr>
            <w:tcW w:w="11140" w:type="dxa"/>
            <w:noWrap/>
            <w:hideMark/>
          </w:tcPr>
          <w:p w14:paraId="4A9778E1" w14:textId="77777777" w:rsidR="00CC5257" w:rsidRPr="00CC5257" w:rsidRDefault="00CC5257">
            <w:r w:rsidRPr="00CC5257">
              <w:t>Software musí umožňovat úplné obnovení VM, obnovu souborů VM nebo disků VM</w:t>
            </w:r>
          </w:p>
        </w:tc>
        <w:tc>
          <w:tcPr>
            <w:tcW w:w="3780" w:type="dxa"/>
            <w:noWrap/>
            <w:hideMark/>
          </w:tcPr>
          <w:p w14:paraId="30052828" w14:textId="77777777" w:rsidR="00CC5257" w:rsidRPr="00CC5257" w:rsidRDefault="00CC5257">
            <w:r w:rsidRPr="00CC5257">
              <w:t> </w:t>
            </w:r>
          </w:p>
        </w:tc>
        <w:tc>
          <w:tcPr>
            <w:tcW w:w="3780" w:type="dxa"/>
            <w:noWrap/>
            <w:hideMark/>
          </w:tcPr>
          <w:p w14:paraId="50E246E5" w14:textId="77777777" w:rsidR="00CC5257" w:rsidRPr="00CC5257" w:rsidRDefault="00CC5257">
            <w:r w:rsidRPr="00CC5257">
              <w:t> </w:t>
            </w:r>
          </w:p>
        </w:tc>
      </w:tr>
      <w:tr w:rsidR="00CC5257" w:rsidRPr="00CC5257" w14:paraId="757614C3" w14:textId="77777777" w:rsidTr="00CC5257">
        <w:trPr>
          <w:trHeight w:val="320"/>
        </w:trPr>
        <w:tc>
          <w:tcPr>
            <w:tcW w:w="11140" w:type="dxa"/>
            <w:noWrap/>
            <w:hideMark/>
          </w:tcPr>
          <w:p w14:paraId="4514B7A3" w14:textId="77777777" w:rsidR="00CC5257" w:rsidRPr="00CC5257" w:rsidRDefault="00CC5257">
            <w:r w:rsidRPr="00CC5257">
              <w:t>Software musí umožňovat úplné obnovení VM přímo do Microsoft Azure, Azure Stack a Amazon EC2</w:t>
            </w:r>
          </w:p>
        </w:tc>
        <w:tc>
          <w:tcPr>
            <w:tcW w:w="3780" w:type="dxa"/>
            <w:noWrap/>
            <w:hideMark/>
          </w:tcPr>
          <w:p w14:paraId="46D5D084" w14:textId="77777777" w:rsidR="00CC5257" w:rsidRPr="00CC5257" w:rsidRDefault="00CC5257">
            <w:r w:rsidRPr="00CC5257">
              <w:t> </w:t>
            </w:r>
          </w:p>
        </w:tc>
        <w:tc>
          <w:tcPr>
            <w:tcW w:w="3780" w:type="dxa"/>
            <w:noWrap/>
            <w:hideMark/>
          </w:tcPr>
          <w:p w14:paraId="13AD2BCD" w14:textId="77777777" w:rsidR="00CC5257" w:rsidRPr="00CC5257" w:rsidRDefault="00CC5257">
            <w:r w:rsidRPr="00CC5257">
              <w:t> </w:t>
            </w:r>
          </w:p>
        </w:tc>
      </w:tr>
      <w:tr w:rsidR="00CC5257" w:rsidRPr="00CC5257" w14:paraId="768FA350" w14:textId="77777777" w:rsidTr="00CC5257">
        <w:trPr>
          <w:trHeight w:val="960"/>
        </w:trPr>
        <w:tc>
          <w:tcPr>
            <w:tcW w:w="11140" w:type="dxa"/>
            <w:hideMark/>
          </w:tcPr>
          <w:p w14:paraId="4E076D02" w14:textId="77777777" w:rsidR="00CC5257" w:rsidRPr="00CC5257" w:rsidRDefault="00CC5257">
            <w:r w:rsidRPr="00CC5257">
              <w:t xml:space="preserve">Software musí umožňovat obnovu souborů na stroj operátora nebo přímo do produkční VM bez potřeby agenta nainstalovaného uvnitř VM. Během obnovy bez </w:t>
            </w:r>
            <w:r w:rsidRPr="00CC5257">
              <w:lastRenderedPageBreak/>
              <w:t>agentů nesmí existovat žádné omezení na velikost souboru ani omezení počtu souborů</w:t>
            </w:r>
          </w:p>
        </w:tc>
        <w:tc>
          <w:tcPr>
            <w:tcW w:w="3780" w:type="dxa"/>
            <w:noWrap/>
            <w:hideMark/>
          </w:tcPr>
          <w:p w14:paraId="0DEDBC6C" w14:textId="77777777" w:rsidR="00CC5257" w:rsidRPr="00CC5257" w:rsidRDefault="00CC5257">
            <w:r w:rsidRPr="00CC5257">
              <w:lastRenderedPageBreak/>
              <w:t> </w:t>
            </w:r>
          </w:p>
        </w:tc>
        <w:tc>
          <w:tcPr>
            <w:tcW w:w="3780" w:type="dxa"/>
            <w:noWrap/>
            <w:hideMark/>
          </w:tcPr>
          <w:p w14:paraId="746234C7" w14:textId="77777777" w:rsidR="00CC5257" w:rsidRPr="00CC5257" w:rsidRDefault="00CC5257">
            <w:r w:rsidRPr="00CC5257">
              <w:t> </w:t>
            </w:r>
          </w:p>
        </w:tc>
      </w:tr>
      <w:tr w:rsidR="00CC5257" w:rsidRPr="00CC5257" w14:paraId="0633A0E3" w14:textId="77777777" w:rsidTr="00CC5257">
        <w:trPr>
          <w:trHeight w:val="640"/>
        </w:trPr>
        <w:tc>
          <w:tcPr>
            <w:tcW w:w="11140" w:type="dxa"/>
            <w:hideMark/>
          </w:tcPr>
          <w:p w14:paraId="7F7918FD" w14:textId="77777777" w:rsidR="00CC5257" w:rsidRPr="00CC5257" w:rsidRDefault="00CC5257">
            <w:r w:rsidRPr="00CC5257">
              <w:t>Software musí umožňovat obnovu souborů přímo do virtuálního počítače pomocí síťového připojení a rozhraní VIX API v prostředích VMware a PowerShell Direct v prostředích Hyper-V</w:t>
            </w:r>
          </w:p>
        </w:tc>
        <w:tc>
          <w:tcPr>
            <w:tcW w:w="3780" w:type="dxa"/>
            <w:noWrap/>
            <w:hideMark/>
          </w:tcPr>
          <w:p w14:paraId="63C09586" w14:textId="77777777" w:rsidR="00CC5257" w:rsidRPr="00CC5257" w:rsidRDefault="00CC5257">
            <w:r w:rsidRPr="00CC5257">
              <w:t> </w:t>
            </w:r>
          </w:p>
        </w:tc>
        <w:tc>
          <w:tcPr>
            <w:tcW w:w="3780" w:type="dxa"/>
            <w:noWrap/>
            <w:hideMark/>
          </w:tcPr>
          <w:p w14:paraId="6E351A02" w14:textId="77777777" w:rsidR="00CC5257" w:rsidRPr="00CC5257" w:rsidRDefault="00CC5257">
            <w:r w:rsidRPr="00CC5257">
              <w:t> </w:t>
            </w:r>
          </w:p>
        </w:tc>
      </w:tr>
      <w:tr w:rsidR="00CC5257" w:rsidRPr="00CC5257" w14:paraId="4BCC3671" w14:textId="77777777" w:rsidTr="00CC5257">
        <w:trPr>
          <w:trHeight w:val="2445"/>
        </w:trPr>
        <w:tc>
          <w:tcPr>
            <w:tcW w:w="11140" w:type="dxa"/>
            <w:hideMark/>
          </w:tcPr>
          <w:p w14:paraId="05AFD625" w14:textId="77777777" w:rsidR="00CC5257" w:rsidRPr="00CC5257" w:rsidRDefault="00CC5257">
            <w:r w:rsidRPr="00CC5257">
              <w:t>Software musí podporovat obnovu souborů z následujících souborových systémů:</w:t>
            </w:r>
            <w:r w:rsidRPr="00CC5257">
              <w:br/>
              <w:t>Linux: ext2, ext3, ext4, ReiserFS, JFS, XFS, BTRFS</w:t>
            </w:r>
            <w:r w:rsidRPr="00CC5257">
              <w:br/>
              <w:t>BSD: UFS, UFS2</w:t>
            </w:r>
            <w:r w:rsidRPr="00CC5257">
              <w:br/>
              <w:t>Solaris: ZFS, UFS</w:t>
            </w:r>
            <w:r w:rsidRPr="00CC5257">
              <w:br/>
              <w:t>Mac: HFS, HFS+</w:t>
            </w:r>
            <w:r w:rsidRPr="00CC5257">
              <w:br/>
              <w:t>Windows: NTFS, FAT, FAT32, ReFS</w:t>
            </w:r>
            <w:r w:rsidRPr="00CC5257">
              <w:br/>
              <w:t>Novel OES: NSS</w:t>
            </w:r>
          </w:p>
        </w:tc>
        <w:tc>
          <w:tcPr>
            <w:tcW w:w="3780" w:type="dxa"/>
            <w:noWrap/>
            <w:hideMark/>
          </w:tcPr>
          <w:p w14:paraId="45B70D54" w14:textId="77777777" w:rsidR="00CC5257" w:rsidRPr="00CC5257" w:rsidRDefault="00CC5257">
            <w:r w:rsidRPr="00CC5257">
              <w:t> </w:t>
            </w:r>
          </w:p>
        </w:tc>
        <w:tc>
          <w:tcPr>
            <w:tcW w:w="3780" w:type="dxa"/>
            <w:noWrap/>
            <w:hideMark/>
          </w:tcPr>
          <w:p w14:paraId="1A8718B9" w14:textId="77777777" w:rsidR="00CC5257" w:rsidRPr="00CC5257" w:rsidRDefault="00CC5257">
            <w:r w:rsidRPr="00CC5257">
              <w:t> </w:t>
            </w:r>
          </w:p>
        </w:tc>
      </w:tr>
      <w:tr w:rsidR="00CC5257" w:rsidRPr="00CC5257" w14:paraId="1D0DCCD7" w14:textId="77777777" w:rsidTr="00CC5257">
        <w:trPr>
          <w:trHeight w:val="320"/>
        </w:trPr>
        <w:tc>
          <w:tcPr>
            <w:tcW w:w="11140" w:type="dxa"/>
            <w:hideMark/>
          </w:tcPr>
          <w:p w14:paraId="74516098" w14:textId="77777777" w:rsidR="00CC5257" w:rsidRPr="00CC5257" w:rsidRDefault="00CC5257">
            <w:r w:rsidRPr="00CC5257">
              <w:t>Software musí podporovat obnovu souborů z Linux LVM a Windows Storage Spaces</w:t>
            </w:r>
          </w:p>
        </w:tc>
        <w:tc>
          <w:tcPr>
            <w:tcW w:w="3780" w:type="dxa"/>
            <w:noWrap/>
            <w:hideMark/>
          </w:tcPr>
          <w:p w14:paraId="70F3955C" w14:textId="77777777" w:rsidR="00CC5257" w:rsidRPr="00CC5257" w:rsidRDefault="00CC5257">
            <w:r w:rsidRPr="00CC5257">
              <w:t> </w:t>
            </w:r>
          </w:p>
        </w:tc>
        <w:tc>
          <w:tcPr>
            <w:tcW w:w="3780" w:type="dxa"/>
            <w:noWrap/>
            <w:hideMark/>
          </w:tcPr>
          <w:p w14:paraId="4BB5EB39" w14:textId="77777777" w:rsidR="00CC5257" w:rsidRPr="00CC5257" w:rsidRDefault="00CC5257">
            <w:r w:rsidRPr="00CC5257">
              <w:t> </w:t>
            </w:r>
          </w:p>
        </w:tc>
      </w:tr>
      <w:tr w:rsidR="00CC5257" w:rsidRPr="00CC5257" w14:paraId="6FA699BF" w14:textId="77777777" w:rsidTr="00CC5257">
        <w:trPr>
          <w:trHeight w:val="640"/>
        </w:trPr>
        <w:tc>
          <w:tcPr>
            <w:tcW w:w="11140" w:type="dxa"/>
            <w:hideMark/>
          </w:tcPr>
          <w:p w14:paraId="3578137F" w14:textId="77777777" w:rsidR="00CC5257" w:rsidRPr="00CC5257" w:rsidRDefault="00CC5257">
            <w:r w:rsidRPr="00CC5257">
              <w:t>Software musí umožňovat rychlou a podrobnou obnovu aplikačních objektů bez použití jakéhokoli agenta nainstalovaného uvnitř virtuálních počítačů</w:t>
            </w:r>
          </w:p>
        </w:tc>
        <w:tc>
          <w:tcPr>
            <w:tcW w:w="3780" w:type="dxa"/>
            <w:noWrap/>
            <w:hideMark/>
          </w:tcPr>
          <w:p w14:paraId="5A90BC3D" w14:textId="77777777" w:rsidR="00CC5257" w:rsidRPr="00CC5257" w:rsidRDefault="00CC5257">
            <w:r w:rsidRPr="00CC5257">
              <w:t> </w:t>
            </w:r>
          </w:p>
        </w:tc>
        <w:tc>
          <w:tcPr>
            <w:tcW w:w="3780" w:type="dxa"/>
            <w:noWrap/>
            <w:hideMark/>
          </w:tcPr>
          <w:p w14:paraId="7D924679" w14:textId="77777777" w:rsidR="00CC5257" w:rsidRPr="00CC5257" w:rsidRDefault="00CC5257">
            <w:r w:rsidRPr="00CC5257">
              <w:t> </w:t>
            </w:r>
          </w:p>
        </w:tc>
      </w:tr>
      <w:tr w:rsidR="00CC5257" w:rsidRPr="00CC5257" w14:paraId="7EEEE8A4" w14:textId="77777777" w:rsidTr="00CC5257">
        <w:trPr>
          <w:trHeight w:val="960"/>
        </w:trPr>
        <w:tc>
          <w:tcPr>
            <w:tcW w:w="11140" w:type="dxa"/>
            <w:hideMark/>
          </w:tcPr>
          <w:p w14:paraId="65653616" w14:textId="77777777" w:rsidR="00CC5257" w:rsidRPr="00CC5257" w:rsidRDefault="00CC5257">
            <w:r w:rsidRPr="00CC5257">
              <w:t>Software musí podporovat granulární obnovení libovolného objektu a všech atributů tohoto objektu včetně hesla, GPO, AD configuration partition, AD integrovaných záznamů DNS, Microsoft System Objects, informací o certifikátu CA a  AD Sites subnet</w:t>
            </w:r>
          </w:p>
        </w:tc>
        <w:tc>
          <w:tcPr>
            <w:tcW w:w="3780" w:type="dxa"/>
            <w:noWrap/>
            <w:hideMark/>
          </w:tcPr>
          <w:p w14:paraId="76D8D403" w14:textId="77777777" w:rsidR="00CC5257" w:rsidRPr="00CC5257" w:rsidRDefault="00CC5257">
            <w:r w:rsidRPr="00CC5257">
              <w:t> </w:t>
            </w:r>
          </w:p>
        </w:tc>
        <w:tc>
          <w:tcPr>
            <w:tcW w:w="3780" w:type="dxa"/>
            <w:noWrap/>
            <w:hideMark/>
          </w:tcPr>
          <w:p w14:paraId="774A781D" w14:textId="77777777" w:rsidR="00CC5257" w:rsidRPr="00CC5257" w:rsidRDefault="00CC5257">
            <w:r w:rsidRPr="00CC5257">
              <w:t> </w:t>
            </w:r>
          </w:p>
        </w:tc>
      </w:tr>
      <w:tr w:rsidR="00CC5257" w:rsidRPr="00CC5257" w14:paraId="381AC23E" w14:textId="77777777" w:rsidTr="00CC5257">
        <w:trPr>
          <w:trHeight w:val="640"/>
        </w:trPr>
        <w:tc>
          <w:tcPr>
            <w:tcW w:w="11140" w:type="dxa"/>
            <w:hideMark/>
          </w:tcPr>
          <w:p w14:paraId="2E5FE260" w14:textId="77777777" w:rsidR="00CC5257" w:rsidRPr="00CC5257" w:rsidRDefault="00CC5257">
            <w:r w:rsidRPr="00CC5257">
              <w:t>Software musí podporovat Microsoft Exchange 2016 a novější,  granulární obnovení jakéhokoli objektu včetně objektů ve složce „Permanently deleted objects“</w:t>
            </w:r>
          </w:p>
        </w:tc>
        <w:tc>
          <w:tcPr>
            <w:tcW w:w="3780" w:type="dxa"/>
            <w:noWrap/>
            <w:hideMark/>
          </w:tcPr>
          <w:p w14:paraId="2F7C4E06" w14:textId="77777777" w:rsidR="00CC5257" w:rsidRPr="00CC5257" w:rsidRDefault="00CC5257">
            <w:r w:rsidRPr="00CC5257">
              <w:t> </w:t>
            </w:r>
          </w:p>
        </w:tc>
        <w:tc>
          <w:tcPr>
            <w:tcW w:w="3780" w:type="dxa"/>
            <w:noWrap/>
            <w:hideMark/>
          </w:tcPr>
          <w:p w14:paraId="4ECA0B27" w14:textId="77777777" w:rsidR="00CC5257" w:rsidRPr="00CC5257" w:rsidRDefault="00CC5257">
            <w:r w:rsidRPr="00CC5257">
              <w:t> </w:t>
            </w:r>
          </w:p>
        </w:tc>
      </w:tr>
      <w:tr w:rsidR="00CC5257" w:rsidRPr="00CC5257" w14:paraId="711AFE11" w14:textId="77777777" w:rsidTr="00CC5257">
        <w:trPr>
          <w:trHeight w:val="640"/>
        </w:trPr>
        <w:tc>
          <w:tcPr>
            <w:tcW w:w="11140" w:type="dxa"/>
            <w:hideMark/>
          </w:tcPr>
          <w:p w14:paraId="759A8DA7" w14:textId="77777777" w:rsidR="00CC5257" w:rsidRPr="00CC5257" w:rsidRDefault="00CC5257">
            <w:r w:rsidRPr="00CC5257">
              <w:t>Software musí podporovat granulární obnovení Microsoft SQL 2008 a novějších, včetně databází s možností obnovení v čase (PiT), obnovy na úrovni tabulky, schéma</w:t>
            </w:r>
          </w:p>
        </w:tc>
        <w:tc>
          <w:tcPr>
            <w:tcW w:w="3780" w:type="dxa"/>
            <w:noWrap/>
            <w:hideMark/>
          </w:tcPr>
          <w:p w14:paraId="4539244C" w14:textId="77777777" w:rsidR="00CC5257" w:rsidRPr="00CC5257" w:rsidRDefault="00CC5257">
            <w:r w:rsidRPr="00CC5257">
              <w:t> </w:t>
            </w:r>
          </w:p>
        </w:tc>
        <w:tc>
          <w:tcPr>
            <w:tcW w:w="3780" w:type="dxa"/>
            <w:noWrap/>
            <w:hideMark/>
          </w:tcPr>
          <w:p w14:paraId="3C324F5A" w14:textId="77777777" w:rsidR="00CC5257" w:rsidRPr="00CC5257" w:rsidRDefault="00CC5257">
            <w:r w:rsidRPr="00CC5257">
              <w:t> </w:t>
            </w:r>
          </w:p>
        </w:tc>
      </w:tr>
      <w:tr w:rsidR="00CC5257" w:rsidRPr="00CC5257" w14:paraId="1E02E8FB" w14:textId="77777777" w:rsidTr="00CC5257">
        <w:trPr>
          <w:trHeight w:val="340"/>
        </w:trPr>
        <w:tc>
          <w:tcPr>
            <w:tcW w:w="11140" w:type="dxa"/>
            <w:hideMark/>
          </w:tcPr>
          <w:p w14:paraId="3391D23B" w14:textId="77777777" w:rsidR="00CC5257" w:rsidRPr="00CC5257" w:rsidRDefault="00CC5257">
            <w:r w:rsidRPr="00CC5257">
              <w:t>Software musí umožňovat publikování MS SQL DB přímo ze záložního souboru na spuštěný databázový server</w:t>
            </w:r>
          </w:p>
        </w:tc>
        <w:tc>
          <w:tcPr>
            <w:tcW w:w="3780" w:type="dxa"/>
            <w:noWrap/>
            <w:hideMark/>
          </w:tcPr>
          <w:p w14:paraId="7C3AE53E" w14:textId="77777777" w:rsidR="00CC5257" w:rsidRPr="00CC5257" w:rsidRDefault="00CC5257">
            <w:r w:rsidRPr="00CC5257">
              <w:t> </w:t>
            </w:r>
          </w:p>
        </w:tc>
        <w:tc>
          <w:tcPr>
            <w:tcW w:w="3780" w:type="dxa"/>
            <w:noWrap/>
            <w:hideMark/>
          </w:tcPr>
          <w:p w14:paraId="7A79641F" w14:textId="77777777" w:rsidR="00CC5257" w:rsidRPr="00CC5257" w:rsidRDefault="00CC5257">
            <w:r w:rsidRPr="00CC5257">
              <w:t> </w:t>
            </w:r>
          </w:p>
        </w:tc>
      </w:tr>
      <w:tr w:rsidR="00CC5257" w:rsidRPr="00CC5257" w14:paraId="46A0263B" w14:textId="77777777" w:rsidTr="00CC5257">
        <w:trPr>
          <w:trHeight w:val="380"/>
        </w:trPr>
        <w:tc>
          <w:tcPr>
            <w:tcW w:w="18700" w:type="dxa"/>
            <w:gridSpan w:val="3"/>
            <w:noWrap/>
            <w:hideMark/>
          </w:tcPr>
          <w:p w14:paraId="70B0B86D" w14:textId="77777777" w:rsidR="00CC5257" w:rsidRPr="00CC5257" w:rsidRDefault="00CC5257">
            <w:pPr>
              <w:rPr>
                <w:b/>
                <w:bCs/>
              </w:rPr>
            </w:pPr>
            <w:r w:rsidRPr="00CC5257">
              <w:rPr>
                <w:b/>
                <w:bCs/>
              </w:rPr>
              <w:t> </w:t>
            </w:r>
          </w:p>
        </w:tc>
      </w:tr>
      <w:tr w:rsidR="00CC5257" w:rsidRPr="00CC5257" w14:paraId="7CCAD632" w14:textId="77777777" w:rsidTr="00CC5257">
        <w:trPr>
          <w:trHeight w:val="975"/>
        </w:trPr>
        <w:tc>
          <w:tcPr>
            <w:tcW w:w="11140" w:type="dxa"/>
            <w:hideMark/>
          </w:tcPr>
          <w:p w14:paraId="08E7905C" w14:textId="77777777" w:rsidR="00CC5257" w:rsidRPr="00CC5257" w:rsidRDefault="00CC5257">
            <w:r w:rsidRPr="00CC5257">
              <w:t>Software musí umožňovat vytváření virtuální laboratoře (izolovaného prostředí) pro infrastrukturu VMware a Hyper-V pomocí VM spuštěných přímo ze záložních souborů. Pro VMware musí nabídnout vytvoření takového prostředí přímo ze snímků úložiště vytvořených na podporovaných zařízeních</w:t>
            </w:r>
          </w:p>
        </w:tc>
        <w:tc>
          <w:tcPr>
            <w:tcW w:w="3780" w:type="dxa"/>
            <w:noWrap/>
            <w:hideMark/>
          </w:tcPr>
          <w:p w14:paraId="3699D49E" w14:textId="77777777" w:rsidR="00CC5257" w:rsidRPr="00CC5257" w:rsidRDefault="00CC5257">
            <w:r w:rsidRPr="00CC5257">
              <w:t> </w:t>
            </w:r>
          </w:p>
        </w:tc>
        <w:tc>
          <w:tcPr>
            <w:tcW w:w="3780" w:type="dxa"/>
            <w:noWrap/>
            <w:hideMark/>
          </w:tcPr>
          <w:p w14:paraId="467E77E8" w14:textId="77777777" w:rsidR="00CC5257" w:rsidRPr="00CC5257" w:rsidRDefault="00CC5257">
            <w:r w:rsidRPr="00CC5257">
              <w:t> </w:t>
            </w:r>
          </w:p>
        </w:tc>
      </w:tr>
      <w:tr w:rsidR="00CC5257" w:rsidRPr="00CC5257" w14:paraId="2670A482" w14:textId="77777777" w:rsidTr="00CC5257">
        <w:trPr>
          <w:trHeight w:val="960"/>
        </w:trPr>
        <w:tc>
          <w:tcPr>
            <w:tcW w:w="11140" w:type="dxa"/>
            <w:hideMark/>
          </w:tcPr>
          <w:p w14:paraId="0C8830FB" w14:textId="77777777" w:rsidR="00CC5257" w:rsidRPr="00CC5257" w:rsidRDefault="00CC5257">
            <w:r w:rsidRPr="00CC5257">
              <w:t>Software musí mít mechanismy ověřování obnovení zálohy umožňující testování obnovy virtuálních počítačů v izolovaném síťovém prostředí na infrastruktuře VMware a Hyper-V. Ověření musí umožňovat testování aplikace uvnitř VM pomocí vlastních nebo předdefinovaných skriptů. Ověření musí být naplánovatelné a zcela automatizované</w:t>
            </w:r>
          </w:p>
        </w:tc>
        <w:tc>
          <w:tcPr>
            <w:tcW w:w="3780" w:type="dxa"/>
            <w:noWrap/>
            <w:hideMark/>
          </w:tcPr>
          <w:p w14:paraId="5FCBC78D" w14:textId="77777777" w:rsidR="00CC5257" w:rsidRPr="00CC5257" w:rsidRDefault="00CC5257">
            <w:r w:rsidRPr="00CC5257">
              <w:t> </w:t>
            </w:r>
          </w:p>
        </w:tc>
        <w:tc>
          <w:tcPr>
            <w:tcW w:w="3780" w:type="dxa"/>
            <w:noWrap/>
            <w:hideMark/>
          </w:tcPr>
          <w:p w14:paraId="27B3592C" w14:textId="77777777" w:rsidR="00CC5257" w:rsidRPr="00CC5257" w:rsidRDefault="00CC5257">
            <w:r w:rsidRPr="00CC5257">
              <w:t> </w:t>
            </w:r>
          </w:p>
        </w:tc>
      </w:tr>
      <w:tr w:rsidR="00CC5257" w:rsidRPr="00CC5257" w14:paraId="1284371D" w14:textId="77777777" w:rsidTr="00CC5257">
        <w:trPr>
          <w:trHeight w:val="320"/>
        </w:trPr>
        <w:tc>
          <w:tcPr>
            <w:tcW w:w="11140" w:type="dxa"/>
            <w:hideMark/>
          </w:tcPr>
          <w:p w14:paraId="4A63D98E" w14:textId="77777777" w:rsidR="00CC5257" w:rsidRPr="00CC5257" w:rsidRDefault="00CC5257">
            <w:r w:rsidRPr="00CC5257">
              <w:t>Software musí mít podobné mechanismy pro testování replik VM v prostředí vSphere anebo Hyper-V</w:t>
            </w:r>
          </w:p>
        </w:tc>
        <w:tc>
          <w:tcPr>
            <w:tcW w:w="3780" w:type="dxa"/>
            <w:noWrap/>
            <w:hideMark/>
          </w:tcPr>
          <w:p w14:paraId="739DFD9E" w14:textId="77777777" w:rsidR="00CC5257" w:rsidRPr="00CC5257" w:rsidRDefault="00CC5257">
            <w:r w:rsidRPr="00CC5257">
              <w:t> </w:t>
            </w:r>
          </w:p>
        </w:tc>
        <w:tc>
          <w:tcPr>
            <w:tcW w:w="3780" w:type="dxa"/>
            <w:noWrap/>
            <w:hideMark/>
          </w:tcPr>
          <w:p w14:paraId="0F1778DC" w14:textId="77777777" w:rsidR="00CC5257" w:rsidRPr="00CC5257" w:rsidRDefault="00CC5257">
            <w:r w:rsidRPr="00CC5257">
              <w:t> </w:t>
            </w:r>
          </w:p>
        </w:tc>
      </w:tr>
      <w:tr w:rsidR="00CC5257" w:rsidRPr="00CC5257" w14:paraId="66264653" w14:textId="77777777" w:rsidTr="00CC5257">
        <w:trPr>
          <w:trHeight w:val="615"/>
        </w:trPr>
        <w:tc>
          <w:tcPr>
            <w:tcW w:w="11140" w:type="dxa"/>
            <w:hideMark/>
          </w:tcPr>
          <w:p w14:paraId="754306EF" w14:textId="77777777" w:rsidR="00CC5257" w:rsidRPr="00CC5257" w:rsidRDefault="00CC5257">
            <w:r w:rsidRPr="00CC5257">
              <w:t>Software musí umožňovat automatizovanou dvoustupňovou obnovu virtuálních strojů, což umožňuje vložení vlastních skriptů za účelem změny dat před obnovením do produkčního prostředí.</w:t>
            </w:r>
          </w:p>
        </w:tc>
        <w:tc>
          <w:tcPr>
            <w:tcW w:w="3780" w:type="dxa"/>
            <w:noWrap/>
            <w:hideMark/>
          </w:tcPr>
          <w:p w14:paraId="276DEFE5" w14:textId="77777777" w:rsidR="00CC5257" w:rsidRPr="00CC5257" w:rsidRDefault="00CC5257">
            <w:r w:rsidRPr="00CC5257">
              <w:t> </w:t>
            </w:r>
          </w:p>
        </w:tc>
        <w:tc>
          <w:tcPr>
            <w:tcW w:w="3780" w:type="dxa"/>
            <w:noWrap/>
            <w:hideMark/>
          </w:tcPr>
          <w:p w14:paraId="3F98DB6A" w14:textId="77777777" w:rsidR="00CC5257" w:rsidRPr="00CC5257" w:rsidRDefault="00CC5257">
            <w:r w:rsidRPr="00CC5257">
              <w:t> </w:t>
            </w:r>
          </w:p>
        </w:tc>
      </w:tr>
      <w:tr w:rsidR="00CC5257" w:rsidRPr="00CC5257" w14:paraId="677FB414" w14:textId="77777777" w:rsidTr="00CC5257">
        <w:trPr>
          <w:trHeight w:val="380"/>
        </w:trPr>
        <w:tc>
          <w:tcPr>
            <w:tcW w:w="18700" w:type="dxa"/>
            <w:gridSpan w:val="3"/>
            <w:noWrap/>
            <w:hideMark/>
          </w:tcPr>
          <w:p w14:paraId="6564CFAB" w14:textId="77777777" w:rsidR="00CC5257" w:rsidRPr="00CC5257" w:rsidRDefault="00CC5257">
            <w:pPr>
              <w:rPr>
                <w:b/>
                <w:bCs/>
              </w:rPr>
            </w:pPr>
            <w:r w:rsidRPr="00CC5257">
              <w:rPr>
                <w:b/>
                <w:bCs/>
              </w:rPr>
              <w:t> </w:t>
            </w:r>
          </w:p>
        </w:tc>
      </w:tr>
      <w:tr w:rsidR="00CC5257" w:rsidRPr="00CC5257" w14:paraId="1D976997" w14:textId="77777777" w:rsidTr="00CC5257">
        <w:trPr>
          <w:trHeight w:val="640"/>
        </w:trPr>
        <w:tc>
          <w:tcPr>
            <w:tcW w:w="11140" w:type="dxa"/>
            <w:hideMark/>
          </w:tcPr>
          <w:p w14:paraId="292C3EC1" w14:textId="77777777" w:rsidR="00CC5257" w:rsidRPr="00CC5257" w:rsidRDefault="00CC5257">
            <w:r w:rsidRPr="00CC5257">
              <w:lastRenderedPageBreak/>
              <w:t>Řešení musí podporovat monitorování virtualizovaných prostředí VMware vSphere a Microsoft Hyper-V bez nástrojů třetích stran</w:t>
            </w:r>
          </w:p>
        </w:tc>
        <w:tc>
          <w:tcPr>
            <w:tcW w:w="3780" w:type="dxa"/>
            <w:noWrap/>
            <w:hideMark/>
          </w:tcPr>
          <w:p w14:paraId="217043A3" w14:textId="77777777" w:rsidR="00CC5257" w:rsidRPr="00CC5257" w:rsidRDefault="00CC5257">
            <w:r w:rsidRPr="00CC5257">
              <w:t> </w:t>
            </w:r>
          </w:p>
        </w:tc>
        <w:tc>
          <w:tcPr>
            <w:tcW w:w="3780" w:type="dxa"/>
            <w:noWrap/>
            <w:hideMark/>
          </w:tcPr>
          <w:p w14:paraId="6ADF8FAA" w14:textId="77777777" w:rsidR="00CC5257" w:rsidRPr="00CC5257" w:rsidRDefault="00CC5257">
            <w:r w:rsidRPr="00CC5257">
              <w:t> </w:t>
            </w:r>
          </w:p>
        </w:tc>
      </w:tr>
      <w:tr w:rsidR="00CC5257" w:rsidRPr="00CC5257" w14:paraId="3BDE0256" w14:textId="77777777" w:rsidTr="00CC5257">
        <w:trPr>
          <w:trHeight w:val="960"/>
        </w:trPr>
        <w:tc>
          <w:tcPr>
            <w:tcW w:w="11140" w:type="dxa"/>
            <w:hideMark/>
          </w:tcPr>
          <w:p w14:paraId="54BA9102" w14:textId="77777777" w:rsidR="00CC5257" w:rsidRPr="00CC5257" w:rsidRDefault="00CC5257">
            <w:r w:rsidRPr="00CC5257">
              <w:t>Řešení musí podporovat dohled následujících systémů: Hyper-V a Vmware 6.x pro placené i bezplatné edice ESXi. Podporovaní hostitelé mohou být spravováni pomocí vCenter serveru, Hyper-V clusteru anebo pracovat v samostatném režimu.</w:t>
            </w:r>
          </w:p>
        </w:tc>
        <w:tc>
          <w:tcPr>
            <w:tcW w:w="3780" w:type="dxa"/>
            <w:noWrap/>
            <w:hideMark/>
          </w:tcPr>
          <w:p w14:paraId="1459DAB0" w14:textId="77777777" w:rsidR="00CC5257" w:rsidRPr="00CC5257" w:rsidRDefault="00CC5257">
            <w:r w:rsidRPr="00CC5257">
              <w:t> </w:t>
            </w:r>
          </w:p>
        </w:tc>
        <w:tc>
          <w:tcPr>
            <w:tcW w:w="3780" w:type="dxa"/>
            <w:noWrap/>
            <w:hideMark/>
          </w:tcPr>
          <w:p w14:paraId="56274710" w14:textId="77777777" w:rsidR="00CC5257" w:rsidRPr="00CC5257" w:rsidRDefault="00CC5257">
            <w:r w:rsidRPr="00CC5257">
              <w:t> </w:t>
            </w:r>
          </w:p>
        </w:tc>
      </w:tr>
      <w:tr w:rsidR="00CC5257" w:rsidRPr="00CC5257" w14:paraId="4786D014" w14:textId="77777777" w:rsidTr="00CC5257">
        <w:trPr>
          <w:trHeight w:val="960"/>
        </w:trPr>
        <w:tc>
          <w:tcPr>
            <w:tcW w:w="11140" w:type="dxa"/>
            <w:hideMark/>
          </w:tcPr>
          <w:p w14:paraId="4F0C68B2" w14:textId="77777777" w:rsidR="00CC5257" w:rsidRPr="00CC5257" w:rsidRDefault="00CC5257">
            <w:r w:rsidRPr="00CC5257">
              <w:t>Řešení musí podporovat dohled následujících systémů: Microsoft Hyper-V 2008R2 SP1, 2012, 2012R2, 2016 a 2019 pro placené i bezplatné edice. Podporovaní hostitelé mohou být spravováni SCVMM nebo pracovat v samostatném režimu</w:t>
            </w:r>
          </w:p>
        </w:tc>
        <w:tc>
          <w:tcPr>
            <w:tcW w:w="3780" w:type="dxa"/>
            <w:noWrap/>
            <w:hideMark/>
          </w:tcPr>
          <w:p w14:paraId="2A194B22" w14:textId="77777777" w:rsidR="00CC5257" w:rsidRPr="00CC5257" w:rsidRDefault="00CC5257">
            <w:r w:rsidRPr="00CC5257">
              <w:t> </w:t>
            </w:r>
          </w:p>
        </w:tc>
        <w:tc>
          <w:tcPr>
            <w:tcW w:w="3780" w:type="dxa"/>
            <w:noWrap/>
            <w:hideMark/>
          </w:tcPr>
          <w:p w14:paraId="2764225B" w14:textId="77777777" w:rsidR="00CC5257" w:rsidRPr="00CC5257" w:rsidRDefault="00CC5257">
            <w:r w:rsidRPr="00CC5257">
              <w:t> </w:t>
            </w:r>
          </w:p>
        </w:tc>
      </w:tr>
      <w:tr w:rsidR="00CC5257" w:rsidRPr="00CC5257" w14:paraId="4A73BBE4" w14:textId="77777777" w:rsidTr="00CC5257">
        <w:trPr>
          <w:trHeight w:val="320"/>
        </w:trPr>
        <w:tc>
          <w:tcPr>
            <w:tcW w:w="11140" w:type="dxa"/>
            <w:hideMark/>
          </w:tcPr>
          <w:p w14:paraId="19E972FF" w14:textId="77777777" w:rsidR="00CC5257" w:rsidRPr="00CC5257" w:rsidRDefault="00CC5257">
            <w:r w:rsidRPr="00CC5257">
              <w:t>Řešení musí být certifikováno jako „VMware ready“</w:t>
            </w:r>
          </w:p>
        </w:tc>
        <w:tc>
          <w:tcPr>
            <w:tcW w:w="3780" w:type="dxa"/>
            <w:noWrap/>
            <w:hideMark/>
          </w:tcPr>
          <w:p w14:paraId="2BED7169" w14:textId="77777777" w:rsidR="00CC5257" w:rsidRPr="00CC5257" w:rsidRDefault="00CC5257">
            <w:r w:rsidRPr="00CC5257">
              <w:t> </w:t>
            </w:r>
          </w:p>
        </w:tc>
        <w:tc>
          <w:tcPr>
            <w:tcW w:w="3780" w:type="dxa"/>
            <w:noWrap/>
            <w:hideMark/>
          </w:tcPr>
          <w:p w14:paraId="4F249BA4" w14:textId="77777777" w:rsidR="00CC5257" w:rsidRPr="00CC5257" w:rsidRDefault="00CC5257">
            <w:r w:rsidRPr="00CC5257">
              <w:t> </w:t>
            </w:r>
          </w:p>
        </w:tc>
      </w:tr>
      <w:tr w:rsidR="00CC5257" w:rsidRPr="00CC5257" w14:paraId="161A4B79" w14:textId="77777777" w:rsidTr="00CC5257">
        <w:trPr>
          <w:trHeight w:val="320"/>
        </w:trPr>
        <w:tc>
          <w:tcPr>
            <w:tcW w:w="11140" w:type="dxa"/>
            <w:hideMark/>
          </w:tcPr>
          <w:p w14:paraId="54FC0772" w14:textId="77777777" w:rsidR="00CC5257" w:rsidRPr="00CC5257" w:rsidRDefault="00CC5257">
            <w:r w:rsidRPr="00CC5257">
              <w:t>Řešení musí podporovat personalizovanou kategorizaci objektů infrastruktury nezávisle na technologickém pohledu</w:t>
            </w:r>
          </w:p>
        </w:tc>
        <w:tc>
          <w:tcPr>
            <w:tcW w:w="3780" w:type="dxa"/>
            <w:noWrap/>
            <w:hideMark/>
          </w:tcPr>
          <w:p w14:paraId="63B696A6" w14:textId="77777777" w:rsidR="00CC5257" w:rsidRPr="00CC5257" w:rsidRDefault="00CC5257">
            <w:r w:rsidRPr="00CC5257">
              <w:t> </w:t>
            </w:r>
          </w:p>
        </w:tc>
        <w:tc>
          <w:tcPr>
            <w:tcW w:w="3780" w:type="dxa"/>
            <w:noWrap/>
            <w:hideMark/>
          </w:tcPr>
          <w:p w14:paraId="6EBE5045" w14:textId="77777777" w:rsidR="00CC5257" w:rsidRPr="00CC5257" w:rsidRDefault="00CC5257">
            <w:r w:rsidRPr="00CC5257">
              <w:t> </w:t>
            </w:r>
          </w:p>
        </w:tc>
      </w:tr>
      <w:tr w:rsidR="00CC5257" w:rsidRPr="00CC5257" w14:paraId="33774322" w14:textId="77777777" w:rsidTr="00CC5257">
        <w:trPr>
          <w:trHeight w:val="320"/>
        </w:trPr>
        <w:tc>
          <w:tcPr>
            <w:tcW w:w="11140" w:type="dxa"/>
            <w:hideMark/>
          </w:tcPr>
          <w:p w14:paraId="09CE23B9" w14:textId="77777777" w:rsidR="00CC5257" w:rsidRPr="00CC5257" w:rsidRDefault="00CC5257">
            <w:r w:rsidRPr="00CC5257">
              <w:t>Řešení musí podporovat vytváření alarmů pro skupiny virtuálních počítačů i pro jednotlivé stroje</w:t>
            </w:r>
          </w:p>
        </w:tc>
        <w:tc>
          <w:tcPr>
            <w:tcW w:w="3780" w:type="dxa"/>
            <w:noWrap/>
            <w:hideMark/>
          </w:tcPr>
          <w:p w14:paraId="443D1D9D" w14:textId="77777777" w:rsidR="00CC5257" w:rsidRPr="00CC5257" w:rsidRDefault="00CC5257">
            <w:r w:rsidRPr="00CC5257">
              <w:t> </w:t>
            </w:r>
          </w:p>
        </w:tc>
        <w:tc>
          <w:tcPr>
            <w:tcW w:w="3780" w:type="dxa"/>
            <w:noWrap/>
            <w:hideMark/>
          </w:tcPr>
          <w:p w14:paraId="77A5ECB8" w14:textId="77777777" w:rsidR="00CC5257" w:rsidRPr="00CC5257" w:rsidRDefault="00CC5257">
            <w:r w:rsidRPr="00CC5257">
              <w:t> </w:t>
            </w:r>
          </w:p>
        </w:tc>
      </w:tr>
      <w:tr w:rsidR="00CC5257" w:rsidRPr="00CC5257" w14:paraId="0F23F354" w14:textId="77777777" w:rsidTr="00CC5257">
        <w:trPr>
          <w:trHeight w:val="320"/>
        </w:trPr>
        <w:tc>
          <w:tcPr>
            <w:tcW w:w="11140" w:type="dxa"/>
            <w:hideMark/>
          </w:tcPr>
          <w:p w14:paraId="01574599" w14:textId="77777777" w:rsidR="00CC5257" w:rsidRPr="00CC5257" w:rsidRDefault="00CC5257">
            <w:r w:rsidRPr="00CC5257">
              <w:t>Řešení musí podporovat automatizované vytváření a zasílání reportů e-mailem</w:t>
            </w:r>
          </w:p>
        </w:tc>
        <w:tc>
          <w:tcPr>
            <w:tcW w:w="3780" w:type="dxa"/>
            <w:noWrap/>
            <w:hideMark/>
          </w:tcPr>
          <w:p w14:paraId="0C15B4AF" w14:textId="77777777" w:rsidR="00CC5257" w:rsidRPr="00CC5257" w:rsidRDefault="00CC5257">
            <w:r w:rsidRPr="00CC5257">
              <w:t> </w:t>
            </w:r>
          </w:p>
        </w:tc>
        <w:tc>
          <w:tcPr>
            <w:tcW w:w="3780" w:type="dxa"/>
            <w:noWrap/>
            <w:hideMark/>
          </w:tcPr>
          <w:p w14:paraId="37C15699" w14:textId="77777777" w:rsidR="00CC5257" w:rsidRPr="00CC5257" w:rsidRDefault="00CC5257">
            <w:r w:rsidRPr="00CC5257">
              <w:t> </w:t>
            </w:r>
          </w:p>
        </w:tc>
      </w:tr>
      <w:tr w:rsidR="00CC5257" w:rsidRPr="00CC5257" w14:paraId="7C0CBC19" w14:textId="77777777" w:rsidTr="00CC5257">
        <w:trPr>
          <w:trHeight w:val="640"/>
        </w:trPr>
        <w:tc>
          <w:tcPr>
            <w:tcW w:w="11140" w:type="dxa"/>
            <w:hideMark/>
          </w:tcPr>
          <w:p w14:paraId="713AA119" w14:textId="77777777" w:rsidR="00CC5257" w:rsidRPr="00CC5257" w:rsidRDefault="00CC5257">
            <w:r w:rsidRPr="00CC5257">
              <w:t>Řešení musí podporovat připojení více vSphere a Hyper-V serverů  pro souběžné sledování různých virtualizovaných prostředí</w:t>
            </w:r>
          </w:p>
        </w:tc>
        <w:tc>
          <w:tcPr>
            <w:tcW w:w="3780" w:type="dxa"/>
            <w:noWrap/>
            <w:hideMark/>
          </w:tcPr>
          <w:p w14:paraId="71433623" w14:textId="77777777" w:rsidR="00CC5257" w:rsidRPr="00CC5257" w:rsidRDefault="00CC5257">
            <w:r w:rsidRPr="00CC5257">
              <w:t> </w:t>
            </w:r>
          </w:p>
        </w:tc>
        <w:tc>
          <w:tcPr>
            <w:tcW w:w="3780" w:type="dxa"/>
            <w:noWrap/>
            <w:hideMark/>
          </w:tcPr>
          <w:p w14:paraId="3A80D8DF" w14:textId="77777777" w:rsidR="00CC5257" w:rsidRPr="00CC5257" w:rsidRDefault="00CC5257">
            <w:r w:rsidRPr="00CC5257">
              <w:t> </w:t>
            </w:r>
          </w:p>
        </w:tc>
      </w:tr>
      <w:tr w:rsidR="00CC5257" w:rsidRPr="00CC5257" w14:paraId="3CADC923" w14:textId="77777777" w:rsidTr="00CC5257">
        <w:trPr>
          <w:trHeight w:val="320"/>
        </w:trPr>
        <w:tc>
          <w:tcPr>
            <w:tcW w:w="11140" w:type="dxa"/>
            <w:hideMark/>
          </w:tcPr>
          <w:p w14:paraId="0F990A2A" w14:textId="77777777" w:rsidR="00CC5257" w:rsidRPr="00CC5257" w:rsidRDefault="00CC5257">
            <w:r w:rsidRPr="00CC5257">
              <w:t>Řešení musí obsahovat předdefinované alarmy a musí umožňovat vytváření nových alarmů a úpravu stávajících</w:t>
            </w:r>
          </w:p>
        </w:tc>
        <w:tc>
          <w:tcPr>
            <w:tcW w:w="3780" w:type="dxa"/>
            <w:noWrap/>
            <w:hideMark/>
          </w:tcPr>
          <w:p w14:paraId="7D27A321" w14:textId="77777777" w:rsidR="00CC5257" w:rsidRPr="00CC5257" w:rsidRDefault="00CC5257">
            <w:r w:rsidRPr="00CC5257">
              <w:t> </w:t>
            </w:r>
          </w:p>
        </w:tc>
        <w:tc>
          <w:tcPr>
            <w:tcW w:w="3780" w:type="dxa"/>
            <w:noWrap/>
            <w:hideMark/>
          </w:tcPr>
          <w:p w14:paraId="74AA19D4" w14:textId="77777777" w:rsidR="00CC5257" w:rsidRPr="00CC5257" w:rsidRDefault="00CC5257">
            <w:r w:rsidRPr="00CC5257">
              <w:t> </w:t>
            </w:r>
          </w:p>
        </w:tc>
      </w:tr>
      <w:tr w:rsidR="00CC5257" w:rsidRPr="00CC5257" w14:paraId="5C223E3A" w14:textId="77777777" w:rsidTr="00CC5257">
        <w:trPr>
          <w:trHeight w:val="320"/>
        </w:trPr>
        <w:tc>
          <w:tcPr>
            <w:tcW w:w="11140" w:type="dxa"/>
            <w:noWrap/>
            <w:hideMark/>
          </w:tcPr>
          <w:p w14:paraId="720A0593" w14:textId="77777777" w:rsidR="00CC5257" w:rsidRPr="00CC5257" w:rsidRDefault="00CC5257">
            <w:r w:rsidRPr="00CC5257">
              <w:t>Řešení musí obsahovat znalostní bázi popisující všechny předdefinované alarmy</w:t>
            </w:r>
          </w:p>
        </w:tc>
        <w:tc>
          <w:tcPr>
            <w:tcW w:w="3780" w:type="dxa"/>
            <w:noWrap/>
            <w:hideMark/>
          </w:tcPr>
          <w:p w14:paraId="0584CBA5" w14:textId="77777777" w:rsidR="00CC5257" w:rsidRPr="00CC5257" w:rsidRDefault="00CC5257">
            <w:r w:rsidRPr="00CC5257">
              <w:t> </w:t>
            </w:r>
          </w:p>
        </w:tc>
        <w:tc>
          <w:tcPr>
            <w:tcW w:w="3780" w:type="dxa"/>
            <w:noWrap/>
            <w:hideMark/>
          </w:tcPr>
          <w:p w14:paraId="52853A81" w14:textId="77777777" w:rsidR="00CC5257" w:rsidRPr="00CC5257" w:rsidRDefault="00CC5257">
            <w:r w:rsidRPr="00CC5257">
              <w:t> </w:t>
            </w:r>
          </w:p>
        </w:tc>
      </w:tr>
      <w:tr w:rsidR="00CC5257" w:rsidRPr="00CC5257" w14:paraId="1617CA7A" w14:textId="77777777" w:rsidTr="00CC5257">
        <w:trPr>
          <w:trHeight w:val="320"/>
        </w:trPr>
        <w:tc>
          <w:tcPr>
            <w:tcW w:w="11140" w:type="dxa"/>
            <w:hideMark/>
          </w:tcPr>
          <w:p w14:paraId="28BA2F55" w14:textId="77777777" w:rsidR="00CC5257" w:rsidRPr="00CC5257" w:rsidRDefault="00CC5257">
            <w:r w:rsidRPr="00CC5257">
              <w:t>Řešení musí mít centralizované řídicí panely (Dashboardy), které monitorují všechny objekty virtuální infrastruktury</w:t>
            </w:r>
          </w:p>
        </w:tc>
        <w:tc>
          <w:tcPr>
            <w:tcW w:w="3780" w:type="dxa"/>
            <w:noWrap/>
            <w:hideMark/>
          </w:tcPr>
          <w:p w14:paraId="09B697D0" w14:textId="77777777" w:rsidR="00CC5257" w:rsidRPr="00CC5257" w:rsidRDefault="00CC5257">
            <w:r w:rsidRPr="00CC5257">
              <w:t> </w:t>
            </w:r>
          </w:p>
        </w:tc>
        <w:tc>
          <w:tcPr>
            <w:tcW w:w="3780" w:type="dxa"/>
            <w:noWrap/>
            <w:hideMark/>
          </w:tcPr>
          <w:p w14:paraId="3CEAC86D" w14:textId="77777777" w:rsidR="00CC5257" w:rsidRPr="00CC5257" w:rsidRDefault="00CC5257">
            <w:r w:rsidRPr="00CC5257">
              <w:t> </w:t>
            </w:r>
          </w:p>
        </w:tc>
      </w:tr>
      <w:tr w:rsidR="00CC5257" w:rsidRPr="00CC5257" w14:paraId="6CC7B64C" w14:textId="77777777" w:rsidTr="00CC5257">
        <w:trPr>
          <w:trHeight w:val="320"/>
        </w:trPr>
        <w:tc>
          <w:tcPr>
            <w:tcW w:w="11140" w:type="dxa"/>
            <w:hideMark/>
          </w:tcPr>
          <w:p w14:paraId="29BF6BBC" w14:textId="77777777" w:rsidR="00CC5257" w:rsidRPr="00CC5257" w:rsidRDefault="00CC5257">
            <w:r w:rsidRPr="00CC5257">
              <w:t>Řešení musí podporovat monitorování hostitelů virtualizace hardwaru (esxi, hyperv)</w:t>
            </w:r>
          </w:p>
        </w:tc>
        <w:tc>
          <w:tcPr>
            <w:tcW w:w="3780" w:type="dxa"/>
            <w:noWrap/>
            <w:hideMark/>
          </w:tcPr>
          <w:p w14:paraId="2F94D4BA" w14:textId="77777777" w:rsidR="00CC5257" w:rsidRPr="00CC5257" w:rsidRDefault="00CC5257">
            <w:r w:rsidRPr="00CC5257">
              <w:t> </w:t>
            </w:r>
          </w:p>
        </w:tc>
        <w:tc>
          <w:tcPr>
            <w:tcW w:w="3780" w:type="dxa"/>
            <w:noWrap/>
            <w:hideMark/>
          </w:tcPr>
          <w:p w14:paraId="7BB1BDB5" w14:textId="77777777" w:rsidR="00CC5257" w:rsidRPr="00CC5257" w:rsidRDefault="00CC5257">
            <w:r w:rsidRPr="00CC5257">
              <w:t> </w:t>
            </w:r>
          </w:p>
        </w:tc>
      </w:tr>
      <w:tr w:rsidR="00CC5257" w:rsidRPr="00CC5257" w14:paraId="64D78122" w14:textId="77777777" w:rsidTr="00CC5257">
        <w:trPr>
          <w:trHeight w:val="320"/>
        </w:trPr>
        <w:tc>
          <w:tcPr>
            <w:tcW w:w="11140" w:type="dxa"/>
            <w:hideMark/>
          </w:tcPr>
          <w:p w14:paraId="44A97107" w14:textId="77777777" w:rsidR="00CC5257" w:rsidRPr="00CC5257" w:rsidRDefault="00CC5257">
            <w:r w:rsidRPr="00CC5257">
              <w:t>Řešení musí být možné integrovat se zálohovacím softwarem od stejného výrobce</w:t>
            </w:r>
          </w:p>
        </w:tc>
        <w:tc>
          <w:tcPr>
            <w:tcW w:w="3780" w:type="dxa"/>
            <w:noWrap/>
            <w:hideMark/>
          </w:tcPr>
          <w:p w14:paraId="3361F748" w14:textId="77777777" w:rsidR="00CC5257" w:rsidRPr="00CC5257" w:rsidRDefault="00CC5257">
            <w:r w:rsidRPr="00CC5257">
              <w:t> </w:t>
            </w:r>
          </w:p>
        </w:tc>
        <w:tc>
          <w:tcPr>
            <w:tcW w:w="3780" w:type="dxa"/>
            <w:noWrap/>
            <w:hideMark/>
          </w:tcPr>
          <w:p w14:paraId="5058418C" w14:textId="77777777" w:rsidR="00CC5257" w:rsidRPr="00CC5257" w:rsidRDefault="00CC5257">
            <w:r w:rsidRPr="00CC5257">
              <w:t> </w:t>
            </w:r>
          </w:p>
        </w:tc>
      </w:tr>
      <w:tr w:rsidR="00CC5257" w:rsidRPr="00CC5257" w14:paraId="504474D9" w14:textId="77777777" w:rsidTr="00CC5257">
        <w:trPr>
          <w:trHeight w:val="640"/>
        </w:trPr>
        <w:tc>
          <w:tcPr>
            <w:tcW w:w="11140" w:type="dxa"/>
            <w:hideMark/>
          </w:tcPr>
          <w:p w14:paraId="3A81D70F" w14:textId="77777777" w:rsidR="00CC5257" w:rsidRPr="00CC5257" w:rsidRDefault="00CC5257">
            <w:r w:rsidRPr="00CC5257">
              <w:t>Řešení musí umožňovat monitorování zatížení zálohovacího serveru, množství chráněných dat, stav zálohovacích úloh, stav replikačních úloh a stav kontrolních úloh obnovitelnosti VM</w:t>
            </w:r>
          </w:p>
        </w:tc>
        <w:tc>
          <w:tcPr>
            <w:tcW w:w="3780" w:type="dxa"/>
            <w:noWrap/>
            <w:hideMark/>
          </w:tcPr>
          <w:p w14:paraId="22242EE5" w14:textId="77777777" w:rsidR="00CC5257" w:rsidRPr="00CC5257" w:rsidRDefault="00CC5257">
            <w:r w:rsidRPr="00CC5257">
              <w:t> </w:t>
            </w:r>
          </w:p>
        </w:tc>
        <w:tc>
          <w:tcPr>
            <w:tcW w:w="3780" w:type="dxa"/>
            <w:noWrap/>
            <w:hideMark/>
          </w:tcPr>
          <w:p w14:paraId="6127D5DD" w14:textId="77777777" w:rsidR="00CC5257" w:rsidRPr="00CC5257" w:rsidRDefault="00CC5257">
            <w:r w:rsidRPr="00CC5257">
              <w:t> </w:t>
            </w:r>
          </w:p>
        </w:tc>
      </w:tr>
      <w:tr w:rsidR="00CC5257" w:rsidRPr="00CC5257" w14:paraId="70771838" w14:textId="77777777" w:rsidTr="00CC5257">
        <w:trPr>
          <w:trHeight w:val="960"/>
        </w:trPr>
        <w:tc>
          <w:tcPr>
            <w:tcW w:w="11140" w:type="dxa"/>
            <w:hideMark/>
          </w:tcPr>
          <w:p w14:paraId="6D438272" w14:textId="77777777" w:rsidR="00CC5257" w:rsidRPr="00CC5257" w:rsidRDefault="00CC5257">
            <w:r w:rsidRPr="00CC5257">
              <w:t>Řešení musí nabídnout inteligentní diagnostiku zálohovacího řešení sledováním protokolů o známých problémech a nesprávných konfiguracích a nabízením řešení bez otevírání požadavků na podporu výrobce,  nebo odesílání diagnostických dat dodavateli záložního řešení.</w:t>
            </w:r>
          </w:p>
        </w:tc>
        <w:tc>
          <w:tcPr>
            <w:tcW w:w="3780" w:type="dxa"/>
            <w:noWrap/>
            <w:hideMark/>
          </w:tcPr>
          <w:p w14:paraId="51F0328B" w14:textId="77777777" w:rsidR="00CC5257" w:rsidRPr="00CC5257" w:rsidRDefault="00CC5257">
            <w:r w:rsidRPr="00CC5257">
              <w:t> </w:t>
            </w:r>
          </w:p>
        </w:tc>
        <w:tc>
          <w:tcPr>
            <w:tcW w:w="3780" w:type="dxa"/>
            <w:noWrap/>
            <w:hideMark/>
          </w:tcPr>
          <w:p w14:paraId="06CFE454" w14:textId="77777777" w:rsidR="00CC5257" w:rsidRPr="00CC5257" w:rsidRDefault="00CC5257">
            <w:r w:rsidRPr="00CC5257">
              <w:t> </w:t>
            </w:r>
          </w:p>
        </w:tc>
      </w:tr>
      <w:tr w:rsidR="00CC5257" w:rsidRPr="00CC5257" w14:paraId="5D4A9F8B" w14:textId="77777777" w:rsidTr="00CC5257">
        <w:trPr>
          <w:trHeight w:val="660"/>
        </w:trPr>
        <w:tc>
          <w:tcPr>
            <w:tcW w:w="11140" w:type="dxa"/>
            <w:hideMark/>
          </w:tcPr>
          <w:p w14:paraId="23E914E8" w14:textId="77777777" w:rsidR="00CC5257" w:rsidRPr="00CC5257" w:rsidRDefault="00CC5257">
            <w:r w:rsidRPr="00CC5257">
              <w:t>Řešení musí umožňovat podrobné monitorování objektů infrastruktury VMware na základě oprávnění přidělených na platformě vSphere</w:t>
            </w:r>
          </w:p>
        </w:tc>
        <w:tc>
          <w:tcPr>
            <w:tcW w:w="3780" w:type="dxa"/>
            <w:noWrap/>
            <w:hideMark/>
          </w:tcPr>
          <w:p w14:paraId="3FD3C5CC" w14:textId="77777777" w:rsidR="00CC5257" w:rsidRPr="00CC5257" w:rsidRDefault="00CC5257">
            <w:r w:rsidRPr="00CC5257">
              <w:t> </w:t>
            </w:r>
          </w:p>
        </w:tc>
        <w:tc>
          <w:tcPr>
            <w:tcW w:w="3780" w:type="dxa"/>
            <w:noWrap/>
            <w:hideMark/>
          </w:tcPr>
          <w:p w14:paraId="3A5801D2" w14:textId="77777777" w:rsidR="00CC5257" w:rsidRPr="00CC5257" w:rsidRDefault="00CC5257">
            <w:r w:rsidRPr="00CC5257">
              <w:t> </w:t>
            </w:r>
          </w:p>
        </w:tc>
      </w:tr>
      <w:tr w:rsidR="00CC5257" w:rsidRPr="00CC5257" w14:paraId="6E2C6186" w14:textId="77777777" w:rsidTr="00CC5257">
        <w:trPr>
          <w:trHeight w:val="380"/>
        </w:trPr>
        <w:tc>
          <w:tcPr>
            <w:tcW w:w="18700" w:type="dxa"/>
            <w:gridSpan w:val="3"/>
            <w:noWrap/>
            <w:hideMark/>
          </w:tcPr>
          <w:p w14:paraId="12D77190" w14:textId="77777777" w:rsidR="00CC5257" w:rsidRPr="00CC5257" w:rsidRDefault="00CC5257">
            <w:pPr>
              <w:rPr>
                <w:b/>
                <w:bCs/>
              </w:rPr>
            </w:pPr>
            <w:r w:rsidRPr="00CC5257">
              <w:rPr>
                <w:b/>
                <w:bCs/>
              </w:rPr>
              <w:t> </w:t>
            </w:r>
          </w:p>
        </w:tc>
      </w:tr>
      <w:tr w:rsidR="00CC5257" w:rsidRPr="00CC5257" w14:paraId="3DB1D258" w14:textId="77777777" w:rsidTr="00CC5257">
        <w:trPr>
          <w:trHeight w:val="640"/>
        </w:trPr>
        <w:tc>
          <w:tcPr>
            <w:tcW w:w="11140" w:type="dxa"/>
            <w:hideMark/>
          </w:tcPr>
          <w:p w14:paraId="37A64512" w14:textId="77777777" w:rsidR="00CC5257" w:rsidRPr="00CC5257" w:rsidRDefault="00CC5257">
            <w:r w:rsidRPr="00CC5257">
              <w:t>Řešení musí podporovat reporting virtualizovaných prostředí VMware vSphere a Microsoft Hyper-V bez nástrojů třetích stran</w:t>
            </w:r>
          </w:p>
        </w:tc>
        <w:tc>
          <w:tcPr>
            <w:tcW w:w="3780" w:type="dxa"/>
            <w:noWrap/>
            <w:hideMark/>
          </w:tcPr>
          <w:p w14:paraId="00B492E4" w14:textId="77777777" w:rsidR="00CC5257" w:rsidRPr="00CC5257" w:rsidRDefault="00CC5257">
            <w:r w:rsidRPr="00CC5257">
              <w:t> </w:t>
            </w:r>
          </w:p>
        </w:tc>
        <w:tc>
          <w:tcPr>
            <w:tcW w:w="3780" w:type="dxa"/>
            <w:noWrap/>
            <w:hideMark/>
          </w:tcPr>
          <w:p w14:paraId="2A73F604" w14:textId="77777777" w:rsidR="00CC5257" w:rsidRPr="00CC5257" w:rsidRDefault="00CC5257">
            <w:r w:rsidRPr="00CC5257">
              <w:t> </w:t>
            </w:r>
          </w:p>
        </w:tc>
      </w:tr>
      <w:tr w:rsidR="00CC5257" w:rsidRPr="00CC5257" w14:paraId="40800346" w14:textId="77777777" w:rsidTr="00CC5257">
        <w:trPr>
          <w:trHeight w:val="960"/>
        </w:trPr>
        <w:tc>
          <w:tcPr>
            <w:tcW w:w="11140" w:type="dxa"/>
            <w:hideMark/>
          </w:tcPr>
          <w:p w14:paraId="69DF459B" w14:textId="77777777" w:rsidR="00CC5257" w:rsidRPr="00CC5257" w:rsidRDefault="00CC5257">
            <w:r w:rsidRPr="00CC5257">
              <w:t>Řešení musí podporovat reporting následujících systémů: Hyper-V a Vmware 6.x pro placené i bezplatné edice ESXi. Podporovaní hostitelé mohou být spravováni pomocí vCenter serveru, Hyper-V clusteru anebo pracovat v samostatném režimu.</w:t>
            </w:r>
          </w:p>
        </w:tc>
        <w:tc>
          <w:tcPr>
            <w:tcW w:w="3780" w:type="dxa"/>
            <w:noWrap/>
            <w:hideMark/>
          </w:tcPr>
          <w:p w14:paraId="357E4658" w14:textId="77777777" w:rsidR="00CC5257" w:rsidRPr="00CC5257" w:rsidRDefault="00CC5257">
            <w:r w:rsidRPr="00CC5257">
              <w:t> </w:t>
            </w:r>
          </w:p>
        </w:tc>
        <w:tc>
          <w:tcPr>
            <w:tcW w:w="3780" w:type="dxa"/>
            <w:noWrap/>
            <w:hideMark/>
          </w:tcPr>
          <w:p w14:paraId="485D5B2F" w14:textId="77777777" w:rsidR="00CC5257" w:rsidRPr="00CC5257" w:rsidRDefault="00CC5257">
            <w:r w:rsidRPr="00CC5257">
              <w:t> </w:t>
            </w:r>
          </w:p>
        </w:tc>
      </w:tr>
      <w:tr w:rsidR="00CC5257" w:rsidRPr="00CC5257" w14:paraId="74FA0D61" w14:textId="77777777" w:rsidTr="00CC5257">
        <w:trPr>
          <w:trHeight w:val="960"/>
        </w:trPr>
        <w:tc>
          <w:tcPr>
            <w:tcW w:w="11140" w:type="dxa"/>
            <w:hideMark/>
          </w:tcPr>
          <w:p w14:paraId="0A0A6F2C" w14:textId="77777777" w:rsidR="00CC5257" w:rsidRPr="00CC5257" w:rsidRDefault="00CC5257">
            <w:r w:rsidRPr="00CC5257">
              <w:lastRenderedPageBreak/>
              <w:t>Řešení musí podporovat reporting následujících systémů: Microsoft Hyper-V 2008R2 SP1, 2012, 2012R2, 2016 a 2019 pro placené i bezplatné edice. Podporovaní hostitelé mohou být spravováni SCVMM nebo pracovat v samostatném režimu</w:t>
            </w:r>
          </w:p>
        </w:tc>
        <w:tc>
          <w:tcPr>
            <w:tcW w:w="3780" w:type="dxa"/>
            <w:noWrap/>
            <w:hideMark/>
          </w:tcPr>
          <w:p w14:paraId="4D579D30" w14:textId="77777777" w:rsidR="00CC5257" w:rsidRPr="00CC5257" w:rsidRDefault="00CC5257">
            <w:r w:rsidRPr="00CC5257">
              <w:t> </w:t>
            </w:r>
          </w:p>
        </w:tc>
        <w:tc>
          <w:tcPr>
            <w:tcW w:w="3780" w:type="dxa"/>
            <w:noWrap/>
            <w:hideMark/>
          </w:tcPr>
          <w:p w14:paraId="353608BD" w14:textId="77777777" w:rsidR="00CC5257" w:rsidRPr="00CC5257" w:rsidRDefault="00CC5257">
            <w:r w:rsidRPr="00CC5257">
              <w:t> </w:t>
            </w:r>
          </w:p>
        </w:tc>
      </w:tr>
      <w:tr w:rsidR="00CC5257" w:rsidRPr="00CC5257" w14:paraId="0755090A" w14:textId="77777777" w:rsidTr="00CC5257">
        <w:trPr>
          <w:trHeight w:val="320"/>
        </w:trPr>
        <w:tc>
          <w:tcPr>
            <w:tcW w:w="11140" w:type="dxa"/>
            <w:hideMark/>
          </w:tcPr>
          <w:p w14:paraId="37E03075" w14:textId="77777777" w:rsidR="00CC5257" w:rsidRPr="00CC5257" w:rsidRDefault="00CC5257">
            <w:r w:rsidRPr="00CC5257">
              <w:t>Řešení musí být certifikováno jako „VMware ready“</w:t>
            </w:r>
          </w:p>
        </w:tc>
        <w:tc>
          <w:tcPr>
            <w:tcW w:w="3780" w:type="dxa"/>
            <w:noWrap/>
            <w:hideMark/>
          </w:tcPr>
          <w:p w14:paraId="2EAFD9D6" w14:textId="77777777" w:rsidR="00CC5257" w:rsidRPr="00CC5257" w:rsidRDefault="00CC5257">
            <w:r w:rsidRPr="00CC5257">
              <w:t> </w:t>
            </w:r>
          </w:p>
        </w:tc>
        <w:tc>
          <w:tcPr>
            <w:tcW w:w="3780" w:type="dxa"/>
            <w:noWrap/>
            <w:hideMark/>
          </w:tcPr>
          <w:p w14:paraId="2B44BEB6" w14:textId="77777777" w:rsidR="00CC5257" w:rsidRPr="00CC5257" w:rsidRDefault="00CC5257">
            <w:r w:rsidRPr="00CC5257">
              <w:t> </w:t>
            </w:r>
          </w:p>
        </w:tc>
      </w:tr>
      <w:tr w:rsidR="00CC5257" w:rsidRPr="00CC5257" w14:paraId="11B9224A" w14:textId="77777777" w:rsidTr="00CC5257">
        <w:trPr>
          <w:trHeight w:val="640"/>
        </w:trPr>
        <w:tc>
          <w:tcPr>
            <w:tcW w:w="11140" w:type="dxa"/>
            <w:hideMark/>
          </w:tcPr>
          <w:p w14:paraId="64486B98" w14:textId="77777777" w:rsidR="00CC5257" w:rsidRPr="00CC5257" w:rsidRDefault="00CC5257">
            <w:r w:rsidRPr="00CC5257">
              <w:t>Řešení musí bezagentové. Nesmí vyžadovat instalaci žádných agentů na monitorovaných hostitelích ESXi a Hyper-V a na virtuálních počítačích</w:t>
            </w:r>
          </w:p>
        </w:tc>
        <w:tc>
          <w:tcPr>
            <w:tcW w:w="3780" w:type="dxa"/>
            <w:noWrap/>
            <w:hideMark/>
          </w:tcPr>
          <w:p w14:paraId="49549171" w14:textId="77777777" w:rsidR="00CC5257" w:rsidRPr="00CC5257" w:rsidRDefault="00CC5257">
            <w:r w:rsidRPr="00CC5257">
              <w:t> </w:t>
            </w:r>
          </w:p>
        </w:tc>
        <w:tc>
          <w:tcPr>
            <w:tcW w:w="3780" w:type="dxa"/>
            <w:noWrap/>
            <w:hideMark/>
          </w:tcPr>
          <w:p w14:paraId="4C5C731E" w14:textId="77777777" w:rsidR="00CC5257" w:rsidRPr="00CC5257" w:rsidRDefault="00CC5257">
            <w:r w:rsidRPr="00CC5257">
              <w:t> </w:t>
            </w:r>
          </w:p>
        </w:tc>
      </w:tr>
      <w:tr w:rsidR="00CC5257" w:rsidRPr="00CC5257" w14:paraId="03B8DDB3" w14:textId="77777777" w:rsidTr="00CC5257">
        <w:trPr>
          <w:trHeight w:val="320"/>
        </w:trPr>
        <w:tc>
          <w:tcPr>
            <w:tcW w:w="11140" w:type="dxa"/>
            <w:hideMark/>
          </w:tcPr>
          <w:p w14:paraId="066522F0" w14:textId="77777777" w:rsidR="00CC5257" w:rsidRPr="00CC5257" w:rsidRDefault="00CC5257">
            <w:r w:rsidRPr="00CC5257">
              <w:t>Řešení musí umožňovat export sestav do formátů Microsoft Word, Microsoft Excel, Microsoft Visio a Adobe PDF</w:t>
            </w:r>
          </w:p>
        </w:tc>
        <w:tc>
          <w:tcPr>
            <w:tcW w:w="3780" w:type="dxa"/>
            <w:noWrap/>
            <w:hideMark/>
          </w:tcPr>
          <w:p w14:paraId="70FA118C" w14:textId="77777777" w:rsidR="00CC5257" w:rsidRPr="00CC5257" w:rsidRDefault="00CC5257">
            <w:r w:rsidRPr="00CC5257">
              <w:t> </w:t>
            </w:r>
          </w:p>
        </w:tc>
        <w:tc>
          <w:tcPr>
            <w:tcW w:w="3780" w:type="dxa"/>
            <w:noWrap/>
            <w:hideMark/>
          </w:tcPr>
          <w:p w14:paraId="44802930" w14:textId="77777777" w:rsidR="00CC5257" w:rsidRPr="00CC5257" w:rsidRDefault="00CC5257">
            <w:r w:rsidRPr="00CC5257">
              <w:t> </w:t>
            </w:r>
          </w:p>
        </w:tc>
      </w:tr>
      <w:tr w:rsidR="00CC5257" w:rsidRPr="00CC5257" w14:paraId="7B8C6626" w14:textId="77777777" w:rsidTr="00CC5257">
        <w:trPr>
          <w:trHeight w:val="320"/>
        </w:trPr>
        <w:tc>
          <w:tcPr>
            <w:tcW w:w="11140" w:type="dxa"/>
            <w:hideMark/>
          </w:tcPr>
          <w:p w14:paraId="661DC589" w14:textId="77777777" w:rsidR="00CC5257" w:rsidRPr="00CC5257" w:rsidRDefault="00CC5257">
            <w:r w:rsidRPr="00CC5257">
              <w:t>Řešení musí umožňovat plánování intervalů sběru dat a umožnit ad-hoc operaci sběru dat</w:t>
            </w:r>
          </w:p>
        </w:tc>
        <w:tc>
          <w:tcPr>
            <w:tcW w:w="3780" w:type="dxa"/>
            <w:noWrap/>
            <w:hideMark/>
          </w:tcPr>
          <w:p w14:paraId="1F300ABD" w14:textId="77777777" w:rsidR="00CC5257" w:rsidRPr="00CC5257" w:rsidRDefault="00CC5257">
            <w:r w:rsidRPr="00CC5257">
              <w:t> </w:t>
            </w:r>
          </w:p>
        </w:tc>
        <w:tc>
          <w:tcPr>
            <w:tcW w:w="3780" w:type="dxa"/>
            <w:noWrap/>
            <w:hideMark/>
          </w:tcPr>
          <w:p w14:paraId="1118B2B4" w14:textId="77777777" w:rsidR="00CC5257" w:rsidRPr="00CC5257" w:rsidRDefault="00CC5257">
            <w:r w:rsidRPr="00CC5257">
              <w:t> </w:t>
            </w:r>
          </w:p>
        </w:tc>
      </w:tr>
      <w:tr w:rsidR="00CC5257" w:rsidRPr="00CC5257" w14:paraId="3452FF26" w14:textId="77777777" w:rsidTr="00CC5257">
        <w:trPr>
          <w:trHeight w:val="320"/>
        </w:trPr>
        <w:tc>
          <w:tcPr>
            <w:tcW w:w="11140" w:type="dxa"/>
            <w:hideMark/>
          </w:tcPr>
          <w:p w14:paraId="5437B9F0" w14:textId="77777777" w:rsidR="00CC5257" w:rsidRPr="00CC5257" w:rsidRDefault="00CC5257">
            <w:r w:rsidRPr="00CC5257">
              <w:t>Řešení musí umožňovat naplánovat zasílání  generováných sestav e-mailem</w:t>
            </w:r>
          </w:p>
        </w:tc>
        <w:tc>
          <w:tcPr>
            <w:tcW w:w="3780" w:type="dxa"/>
            <w:noWrap/>
            <w:hideMark/>
          </w:tcPr>
          <w:p w14:paraId="78E50905" w14:textId="77777777" w:rsidR="00CC5257" w:rsidRPr="00CC5257" w:rsidRDefault="00CC5257">
            <w:r w:rsidRPr="00CC5257">
              <w:t> </w:t>
            </w:r>
          </w:p>
        </w:tc>
        <w:tc>
          <w:tcPr>
            <w:tcW w:w="3780" w:type="dxa"/>
            <w:noWrap/>
            <w:hideMark/>
          </w:tcPr>
          <w:p w14:paraId="0598070C" w14:textId="77777777" w:rsidR="00CC5257" w:rsidRPr="00CC5257" w:rsidRDefault="00CC5257">
            <w:r w:rsidRPr="00CC5257">
              <w:t> </w:t>
            </w:r>
          </w:p>
        </w:tc>
      </w:tr>
      <w:tr w:rsidR="00CC5257" w:rsidRPr="00CC5257" w14:paraId="0D3BE3B8" w14:textId="77777777" w:rsidTr="00CC5257">
        <w:trPr>
          <w:trHeight w:val="320"/>
        </w:trPr>
        <w:tc>
          <w:tcPr>
            <w:tcW w:w="11140" w:type="dxa"/>
            <w:hideMark/>
          </w:tcPr>
          <w:p w14:paraId="6F131996" w14:textId="77777777" w:rsidR="00CC5257" w:rsidRPr="00CC5257" w:rsidRDefault="00CC5257">
            <w:r w:rsidRPr="00CC5257">
              <w:t>Řešení musí mít sestavu sledování změn konfigurace pro virtuální prostředí</w:t>
            </w:r>
          </w:p>
        </w:tc>
        <w:tc>
          <w:tcPr>
            <w:tcW w:w="3780" w:type="dxa"/>
            <w:noWrap/>
            <w:hideMark/>
          </w:tcPr>
          <w:p w14:paraId="4AC985F4" w14:textId="77777777" w:rsidR="00CC5257" w:rsidRPr="00CC5257" w:rsidRDefault="00CC5257">
            <w:r w:rsidRPr="00CC5257">
              <w:t> </w:t>
            </w:r>
          </w:p>
        </w:tc>
        <w:tc>
          <w:tcPr>
            <w:tcW w:w="3780" w:type="dxa"/>
            <w:noWrap/>
            <w:hideMark/>
          </w:tcPr>
          <w:p w14:paraId="3024C239" w14:textId="77777777" w:rsidR="00CC5257" w:rsidRPr="00CC5257" w:rsidRDefault="00CC5257">
            <w:r w:rsidRPr="00CC5257">
              <w:t> </w:t>
            </w:r>
          </w:p>
        </w:tc>
      </w:tr>
      <w:tr w:rsidR="00CC5257" w:rsidRPr="00CC5257" w14:paraId="05995F89" w14:textId="77777777" w:rsidTr="00CC5257">
        <w:trPr>
          <w:trHeight w:val="320"/>
        </w:trPr>
        <w:tc>
          <w:tcPr>
            <w:tcW w:w="11140" w:type="dxa"/>
            <w:hideMark/>
          </w:tcPr>
          <w:p w14:paraId="4D9BC99B" w14:textId="77777777" w:rsidR="00CC5257" w:rsidRPr="00CC5257" w:rsidRDefault="00CC5257">
            <w:r w:rsidRPr="00CC5257">
              <w:t>Řešení musí umožňovat generování reportů z definovaného časového bodu</w:t>
            </w:r>
          </w:p>
        </w:tc>
        <w:tc>
          <w:tcPr>
            <w:tcW w:w="3780" w:type="dxa"/>
            <w:noWrap/>
            <w:hideMark/>
          </w:tcPr>
          <w:p w14:paraId="6C922F40" w14:textId="77777777" w:rsidR="00CC5257" w:rsidRPr="00CC5257" w:rsidRDefault="00CC5257">
            <w:r w:rsidRPr="00CC5257">
              <w:t> </w:t>
            </w:r>
          </w:p>
        </w:tc>
        <w:tc>
          <w:tcPr>
            <w:tcW w:w="3780" w:type="dxa"/>
            <w:noWrap/>
            <w:hideMark/>
          </w:tcPr>
          <w:p w14:paraId="3F2B9253" w14:textId="77777777" w:rsidR="00CC5257" w:rsidRPr="00CC5257" w:rsidRDefault="00CC5257">
            <w:r w:rsidRPr="00CC5257">
              <w:t> </w:t>
            </w:r>
          </w:p>
        </w:tc>
      </w:tr>
      <w:tr w:rsidR="00CC5257" w:rsidRPr="00CC5257" w14:paraId="2ECEA1E4" w14:textId="77777777" w:rsidTr="00CC5257">
        <w:trPr>
          <w:trHeight w:val="320"/>
        </w:trPr>
        <w:tc>
          <w:tcPr>
            <w:tcW w:w="11140" w:type="dxa"/>
            <w:noWrap/>
            <w:hideMark/>
          </w:tcPr>
          <w:p w14:paraId="67F2B507" w14:textId="77777777" w:rsidR="00CC5257" w:rsidRPr="00CC5257" w:rsidRDefault="00CC5257">
            <w:r w:rsidRPr="00CC5257">
              <w:t>Řešení musí mít předdefinované reporty a musí umožňovat úpravu stávajících reportů</w:t>
            </w:r>
          </w:p>
        </w:tc>
        <w:tc>
          <w:tcPr>
            <w:tcW w:w="3780" w:type="dxa"/>
            <w:noWrap/>
            <w:hideMark/>
          </w:tcPr>
          <w:p w14:paraId="6517B877" w14:textId="77777777" w:rsidR="00CC5257" w:rsidRPr="00CC5257" w:rsidRDefault="00CC5257">
            <w:r w:rsidRPr="00CC5257">
              <w:t> </w:t>
            </w:r>
          </w:p>
        </w:tc>
        <w:tc>
          <w:tcPr>
            <w:tcW w:w="3780" w:type="dxa"/>
            <w:noWrap/>
            <w:hideMark/>
          </w:tcPr>
          <w:p w14:paraId="5A0C8EC9" w14:textId="77777777" w:rsidR="00CC5257" w:rsidRPr="00CC5257" w:rsidRDefault="00CC5257">
            <w:r w:rsidRPr="00CC5257">
              <w:t> </w:t>
            </w:r>
          </w:p>
        </w:tc>
      </w:tr>
      <w:tr w:rsidR="00CC5257" w:rsidRPr="00CC5257" w14:paraId="6F872408" w14:textId="77777777" w:rsidTr="00CC5257">
        <w:trPr>
          <w:trHeight w:val="640"/>
        </w:trPr>
        <w:tc>
          <w:tcPr>
            <w:tcW w:w="11140" w:type="dxa"/>
            <w:hideMark/>
          </w:tcPr>
          <w:p w14:paraId="48257EBF" w14:textId="77777777" w:rsidR="00CC5257" w:rsidRPr="00CC5257" w:rsidRDefault="00CC5257">
            <w:r w:rsidRPr="00CC5257">
              <w:t>Řešení musí umožnit analýzu naddimenzovaných objektů infrastruktury (například VM)  a nabídnout návrh na optimalizaci využití zdrojů</w:t>
            </w:r>
          </w:p>
        </w:tc>
        <w:tc>
          <w:tcPr>
            <w:tcW w:w="3780" w:type="dxa"/>
            <w:noWrap/>
            <w:hideMark/>
          </w:tcPr>
          <w:p w14:paraId="617C33D6" w14:textId="77777777" w:rsidR="00CC5257" w:rsidRPr="00CC5257" w:rsidRDefault="00CC5257">
            <w:r w:rsidRPr="00CC5257">
              <w:t> </w:t>
            </w:r>
          </w:p>
        </w:tc>
        <w:tc>
          <w:tcPr>
            <w:tcW w:w="3780" w:type="dxa"/>
            <w:noWrap/>
            <w:hideMark/>
          </w:tcPr>
          <w:p w14:paraId="74DD7966" w14:textId="77777777" w:rsidR="00CC5257" w:rsidRPr="00CC5257" w:rsidRDefault="00CC5257">
            <w:r w:rsidRPr="00CC5257">
              <w:t> </w:t>
            </w:r>
          </w:p>
        </w:tc>
      </w:tr>
      <w:tr w:rsidR="00CC5257" w:rsidRPr="00CC5257" w14:paraId="12B6F787" w14:textId="77777777" w:rsidTr="00CC5257">
        <w:trPr>
          <w:trHeight w:val="320"/>
        </w:trPr>
        <w:tc>
          <w:tcPr>
            <w:tcW w:w="11140" w:type="dxa"/>
            <w:hideMark/>
          </w:tcPr>
          <w:p w14:paraId="2E7E28FD" w14:textId="77777777" w:rsidR="00CC5257" w:rsidRPr="00CC5257" w:rsidRDefault="00CC5257">
            <w:r w:rsidRPr="00CC5257">
              <w:t>Řešení musí umožňovat generování reportů na základě shromážděných dat ze zálohovacího řešení stejného dodavatele</w:t>
            </w:r>
          </w:p>
        </w:tc>
        <w:tc>
          <w:tcPr>
            <w:tcW w:w="3780" w:type="dxa"/>
            <w:noWrap/>
            <w:hideMark/>
          </w:tcPr>
          <w:p w14:paraId="38F742E9" w14:textId="77777777" w:rsidR="00CC5257" w:rsidRPr="00CC5257" w:rsidRDefault="00CC5257">
            <w:r w:rsidRPr="00CC5257">
              <w:t> </w:t>
            </w:r>
          </w:p>
        </w:tc>
        <w:tc>
          <w:tcPr>
            <w:tcW w:w="3780" w:type="dxa"/>
            <w:noWrap/>
            <w:hideMark/>
          </w:tcPr>
          <w:p w14:paraId="00CEA5B0" w14:textId="77777777" w:rsidR="00CC5257" w:rsidRPr="00CC5257" w:rsidRDefault="00CC5257">
            <w:r w:rsidRPr="00CC5257">
              <w:t> </w:t>
            </w:r>
          </w:p>
        </w:tc>
      </w:tr>
      <w:tr w:rsidR="00CC5257" w:rsidRPr="00CC5257" w14:paraId="67ED5A06" w14:textId="77777777" w:rsidTr="00CC5257">
        <w:trPr>
          <w:trHeight w:val="640"/>
        </w:trPr>
        <w:tc>
          <w:tcPr>
            <w:tcW w:w="11140" w:type="dxa"/>
            <w:hideMark/>
          </w:tcPr>
          <w:p w14:paraId="1042BE6E" w14:textId="77777777" w:rsidR="00CC5257" w:rsidRPr="00CC5257" w:rsidRDefault="00CC5257">
            <w:r w:rsidRPr="00CC5257">
              <w:t>Řešení musí nabídnout report o chráněných počítačích, definovaných zásadách a úlohách zálohování, replikačních úlohách a využití prostředků zálohovacího serveru</w:t>
            </w:r>
          </w:p>
        </w:tc>
        <w:tc>
          <w:tcPr>
            <w:tcW w:w="3780" w:type="dxa"/>
            <w:noWrap/>
            <w:hideMark/>
          </w:tcPr>
          <w:p w14:paraId="6B902C68" w14:textId="77777777" w:rsidR="00CC5257" w:rsidRPr="00CC5257" w:rsidRDefault="00CC5257">
            <w:r w:rsidRPr="00CC5257">
              <w:t> </w:t>
            </w:r>
          </w:p>
        </w:tc>
        <w:tc>
          <w:tcPr>
            <w:tcW w:w="3780" w:type="dxa"/>
            <w:noWrap/>
            <w:hideMark/>
          </w:tcPr>
          <w:p w14:paraId="15047AF2" w14:textId="77777777" w:rsidR="00CC5257" w:rsidRPr="00CC5257" w:rsidRDefault="00CC5257">
            <w:r w:rsidRPr="00CC5257">
              <w:t> </w:t>
            </w:r>
          </w:p>
        </w:tc>
      </w:tr>
      <w:tr w:rsidR="00CC5257" w:rsidRPr="00CC5257" w14:paraId="6F8F3967" w14:textId="77777777" w:rsidTr="00CC5257">
        <w:trPr>
          <w:trHeight w:val="320"/>
        </w:trPr>
        <w:tc>
          <w:tcPr>
            <w:tcW w:w="11140" w:type="dxa"/>
            <w:noWrap/>
            <w:hideMark/>
          </w:tcPr>
          <w:p w14:paraId="17A3764B" w14:textId="77777777" w:rsidR="00CC5257" w:rsidRPr="00CC5257" w:rsidRDefault="00CC5257">
            <w:r w:rsidRPr="00CC5257">
              <w:t>Řešení musí mít reporty o plánování kapacity založené na scénářích „co-když“</w:t>
            </w:r>
          </w:p>
        </w:tc>
        <w:tc>
          <w:tcPr>
            <w:tcW w:w="3780" w:type="dxa"/>
            <w:noWrap/>
            <w:hideMark/>
          </w:tcPr>
          <w:p w14:paraId="74FDD41D" w14:textId="77777777" w:rsidR="00CC5257" w:rsidRPr="00CC5257" w:rsidRDefault="00CC5257">
            <w:r w:rsidRPr="00CC5257">
              <w:t> </w:t>
            </w:r>
          </w:p>
        </w:tc>
        <w:tc>
          <w:tcPr>
            <w:tcW w:w="3780" w:type="dxa"/>
            <w:noWrap/>
            <w:hideMark/>
          </w:tcPr>
          <w:p w14:paraId="48BF5791" w14:textId="77777777" w:rsidR="00CC5257" w:rsidRPr="00CC5257" w:rsidRDefault="00CC5257">
            <w:r w:rsidRPr="00CC5257">
              <w:t> </w:t>
            </w:r>
          </w:p>
        </w:tc>
      </w:tr>
      <w:tr w:rsidR="00CC5257" w:rsidRPr="00CC5257" w14:paraId="2A5415F4" w14:textId="77777777" w:rsidTr="00CC5257">
        <w:trPr>
          <w:trHeight w:val="320"/>
        </w:trPr>
        <w:tc>
          <w:tcPr>
            <w:tcW w:w="11140" w:type="dxa"/>
            <w:noWrap/>
            <w:hideMark/>
          </w:tcPr>
          <w:p w14:paraId="649A1B8D" w14:textId="77777777" w:rsidR="00CC5257" w:rsidRPr="00CC5257" w:rsidRDefault="00CC5257">
            <w:r w:rsidRPr="00CC5257">
              <w:t>Řešení musí podporovat granulární viditelnost prostředí na základě oprávnění přidělených v vSphere</w:t>
            </w:r>
          </w:p>
        </w:tc>
        <w:tc>
          <w:tcPr>
            <w:tcW w:w="3780" w:type="dxa"/>
            <w:noWrap/>
            <w:hideMark/>
          </w:tcPr>
          <w:p w14:paraId="071FE93C" w14:textId="77777777" w:rsidR="00CC5257" w:rsidRPr="00CC5257" w:rsidRDefault="00CC5257">
            <w:r w:rsidRPr="00CC5257">
              <w:t> </w:t>
            </w:r>
          </w:p>
        </w:tc>
        <w:tc>
          <w:tcPr>
            <w:tcW w:w="3780" w:type="dxa"/>
            <w:noWrap/>
            <w:hideMark/>
          </w:tcPr>
          <w:p w14:paraId="6E4363AF" w14:textId="77777777" w:rsidR="00CC5257" w:rsidRPr="00CC5257" w:rsidRDefault="00CC5257">
            <w:r w:rsidRPr="00CC5257">
              <w:t> </w:t>
            </w:r>
          </w:p>
        </w:tc>
      </w:tr>
      <w:tr w:rsidR="00CC5257" w:rsidRPr="00CC5257" w14:paraId="716F5443" w14:textId="77777777" w:rsidTr="00CC5257">
        <w:trPr>
          <w:trHeight w:val="320"/>
        </w:trPr>
        <w:tc>
          <w:tcPr>
            <w:tcW w:w="11140" w:type="dxa"/>
            <w:noWrap/>
            <w:hideMark/>
          </w:tcPr>
          <w:p w14:paraId="76DB0256" w14:textId="77777777" w:rsidR="00CC5257" w:rsidRPr="00CC5257" w:rsidRDefault="00CC5257">
            <w:r w:rsidRPr="00CC5257">
              <w:t>Řešení musí obsahovat reporting o "orphaned snapshots"</w:t>
            </w:r>
          </w:p>
        </w:tc>
        <w:tc>
          <w:tcPr>
            <w:tcW w:w="3780" w:type="dxa"/>
            <w:noWrap/>
            <w:hideMark/>
          </w:tcPr>
          <w:p w14:paraId="4AF58F22" w14:textId="77777777" w:rsidR="00CC5257" w:rsidRPr="00CC5257" w:rsidRDefault="00CC5257">
            <w:r w:rsidRPr="00CC5257">
              <w:t> </w:t>
            </w:r>
          </w:p>
        </w:tc>
        <w:tc>
          <w:tcPr>
            <w:tcW w:w="3780" w:type="dxa"/>
            <w:noWrap/>
            <w:hideMark/>
          </w:tcPr>
          <w:p w14:paraId="4980E8C9" w14:textId="77777777" w:rsidR="00CC5257" w:rsidRPr="00CC5257" w:rsidRDefault="00CC5257">
            <w:r w:rsidRPr="00CC5257">
              <w:t> </w:t>
            </w:r>
          </w:p>
        </w:tc>
      </w:tr>
      <w:tr w:rsidR="00CC5257" w:rsidRPr="00CC5257" w14:paraId="4BC114C4" w14:textId="77777777" w:rsidTr="00CC5257">
        <w:trPr>
          <w:trHeight w:val="660"/>
        </w:trPr>
        <w:tc>
          <w:tcPr>
            <w:tcW w:w="11140" w:type="dxa"/>
            <w:hideMark/>
          </w:tcPr>
          <w:p w14:paraId="57008819" w14:textId="77777777" w:rsidR="00CC5257" w:rsidRPr="00CC5257" w:rsidRDefault="00CC5257">
            <w:r w:rsidRPr="00CC5257">
              <w:t xml:space="preserve">Řešení musí umožňovat vytváření personalizovaných sestav reportů v rámci jednoho dokumentu na základě podrobných údajů extrahovaných z předdefinovaných reportů </w:t>
            </w:r>
          </w:p>
        </w:tc>
        <w:tc>
          <w:tcPr>
            <w:tcW w:w="3780" w:type="dxa"/>
            <w:noWrap/>
            <w:hideMark/>
          </w:tcPr>
          <w:p w14:paraId="4A72075D" w14:textId="77777777" w:rsidR="00CC5257" w:rsidRPr="00CC5257" w:rsidRDefault="00CC5257">
            <w:r w:rsidRPr="00CC5257">
              <w:t> </w:t>
            </w:r>
          </w:p>
        </w:tc>
        <w:tc>
          <w:tcPr>
            <w:tcW w:w="3780" w:type="dxa"/>
            <w:noWrap/>
            <w:hideMark/>
          </w:tcPr>
          <w:p w14:paraId="1391644A" w14:textId="77777777" w:rsidR="00CC5257" w:rsidRPr="00CC5257" w:rsidRDefault="00CC5257">
            <w:r w:rsidRPr="00CC5257">
              <w:t> </w:t>
            </w:r>
          </w:p>
        </w:tc>
      </w:tr>
      <w:tr w:rsidR="00CC5257" w:rsidRPr="00CC5257" w14:paraId="334E5D1B" w14:textId="77777777" w:rsidTr="00CC5257">
        <w:trPr>
          <w:trHeight w:val="380"/>
        </w:trPr>
        <w:tc>
          <w:tcPr>
            <w:tcW w:w="18700" w:type="dxa"/>
            <w:gridSpan w:val="3"/>
            <w:noWrap/>
            <w:hideMark/>
          </w:tcPr>
          <w:p w14:paraId="494691A6" w14:textId="77777777" w:rsidR="00CC5257" w:rsidRPr="00CC5257" w:rsidRDefault="00CC5257">
            <w:pPr>
              <w:rPr>
                <w:b/>
                <w:bCs/>
              </w:rPr>
            </w:pPr>
            <w:r w:rsidRPr="00CC5257">
              <w:rPr>
                <w:b/>
                <w:bCs/>
              </w:rPr>
              <w:t> </w:t>
            </w:r>
          </w:p>
        </w:tc>
      </w:tr>
      <w:tr w:rsidR="00CC5257" w:rsidRPr="00CC5257" w14:paraId="05C5AB9D" w14:textId="77777777" w:rsidTr="00CC5257">
        <w:trPr>
          <w:trHeight w:val="340"/>
        </w:trPr>
        <w:tc>
          <w:tcPr>
            <w:tcW w:w="11140" w:type="dxa"/>
            <w:hideMark/>
          </w:tcPr>
          <w:p w14:paraId="60569971" w14:textId="77777777" w:rsidR="00CC5257" w:rsidRPr="00CC5257" w:rsidRDefault="00CC5257">
            <w:r w:rsidRPr="00CC5257">
              <w:t>Řešení musí zálohovat instanci operačního systému Windows a Linux pomocí agenta nasazeného v OS</w:t>
            </w:r>
          </w:p>
        </w:tc>
        <w:tc>
          <w:tcPr>
            <w:tcW w:w="3780" w:type="dxa"/>
            <w:noWrap/>
            <w:hideMark/>
          </w:tcPr>
          <w:p w14:paraId="75496C93" w14:textId="77777777" w:rsidR="00CC5257" w:rsidRPr="00CC5257" w:rsidRDefault="00CC5257">
            <w:r w:rsidRPr="00CC5257">
              <w:t> </w:t>
            </w:r>
          </w:p>
        </w:tc>
        <w:tc>
          <w:tcPr>
            <w:tcW w:w="3780" w:type="dxa"/>
            <w:noWrap/>
            <w:hideMark/>
          </w:tcPr>
          <w:p w14:paraId="1CD72C28" w14:textId="77777777" w:rsidR="00CC5257" w:rsidRPr="00CC5257" w:rsidRDefault="00CC5257">
            <w:r w:rsidRPr="00CC5257">
              <w:t> </w:t>
            </w:r>
          </w:p>
        </w:tc>
      </w:tr>
      <w:tr w:rsidR="00CC5257" w:rsidRPr="00CC5257" w14:paraId="7CDF4085" w14:textId="77777777" w:rsidTr="00CC5257">
        <w:trPr>
          <w:trHeight w:val="340"/>
        </w:trPr>
        <w:tc>
          <w:tcPr>
            <w:tcW w:w="11140" w:type="dxa"/>
            <w:hideMark/>
          </w:tcPr>
          <w:p w14:paraId="0B55588A" w14:textId="77777777" w:rsidR="00CC5257" w:rsidRPr="00CC5257" w:rsidRDefault="00CC5257">
            <w:r w:rsidRPr="00CC5257">
              <w:t>Řešení musí podporovat Windows 7 SP1 nebo novější nebo Windows Server 2008 R2 SP1 nebo novější</w:t>
            </w:r>
          </w:p>
        </w:tc>
        <w:tc>
          <w:tcPr>
            <w:tcW w:w="3780" w:type="dxa"/>
            <w:noWrap/>
            <w:hideMark/>
          </w:tcPr>
          <w:p w14:paraId="643269F1" w14:textId="77777777" w:rsidR="00CC5257" w:rsidRPr="00CC5257" w:rsidRDefault="00CC5257">
            <w:r w:rsidRPr="00CC5257">
              <w:t> </w:t>
            </w:r>
          </w:p>
        </w:tc>
        <w:tc>
          <w:tcPr>
            <w:tcW w:w="3780" w:type="dxa"/>
            <w:noWrap/>
            <w:hideMark/>
          </w:tcPr>
          <w:p w14:paraId="7D172B26" w14:textId="77777777" w:rsidR="00CC5257" w:rsidRPr="00CC5257" w:rsidRDefault="00CC5257">
            <w:r w:rsidRPr="00CC5257">
              <w:t> </w:t>
            </w:r>
          </w:p>
        </w:tc>
      </w:tr>
      <w:tr w:rsidR="00CC5257" w:rsidRPr="00CC5257" w14:paraId="7CD6E464" w14:textId="77777777" w:rsidTr="00CC5257">
        <w:trPr>
          <w:trHeight w:val="3060"/>
        </w:trPr>
        <w:tc>
          <w:tcPr>
            <w:tcW w:w="11140" w:type="dxa"/>
            <w:hideMark/>
          </w:tcPr>
          <w:p w14:paraId="1BBB27ED" w14:textId="77777777" w:rsidR="00CC5257" w:rsidRPr="00CC5257" w:rsidRDefault="00CC5257">
            <w:r w:rsidRPr="00CC5257">
              <w:lastRenderedPageBreak/>
              <w:t>Řešení musí podporovat linuxové jádro 2.6.32 nebo novější (32bitové i 64bitové) a podporovat následující distribuce</w:t>
            </w:r>
            <w:r w:rsidRPr="00CC5257">
              <w:br/>
              <w:t>Debian 8.0 – 10.3</w:t>
            </w:r>
            <w:r w:rsidRPr="00CC5257">
              <w:br/>
              <w:t>Ubuntu 10.04, 16.04, 18.04, 19.10</w:t>
            </w:r>
            <w:r w:rsidRPr="00CC5257">
              <w:br/>
              <w:t>RHEL 6.0 – 8.1</w:t>
            </w:r>
            <w:r w:rsidRPr="00CC5257">
              <w:br/>
              <w:t>CentOS 6.0 – 8.1</w:t>
            </w:r>
            <w:r w:rsidRPr="00CC5257">
              <w:br/>
              <w:t>Fedora 30 – 31</w:t>
            </w:r>
            <w:r w:rsidRPr="00CC5257">
              <w:br/>
              <w:t>openSUSE Leap 15.1</w:t>
            </w:r>
            <w:r w:rsidRPr="00CC5257">
              <w:br/>
              <w:t>openSUSE Tumbleweed</w:t>
            </w:r>
          </w:p>
        </w:tc>
        <w:tc>
          <w:tcPr>
            <w:tcW w:w="3780" w:type="dxa"/>
            <w:noWrap/>
            <w:hideMark/>
          </w:tcPr>
          <w:p w14:paraId="75F78171" w14:textId="77777777" w:rsidR="00CC5257" w:rsidRPr="00CC5257" w:rsidRDefault="00CC5257">
            <w:r w:rsidRPr="00CC5257">
              <w:t> </w:t>
            </w:r>
          </w:p>
        </w:tc>
        <w:tc>
          <w:tcPr>
            <w:tcW w:w="3780" w:type="dxa"/>
            <w:noWrap/>
            <w:hideMark/>
          </w:tcPr>
          <w:p w14:paraId="332DBDCB" w14:textId="77777777" w:rsidR="00CC5257" w:rsidRPr="00CC5257" w:rsidRDefault="00CC5257">
            <w:r w:rsidRPr="00CC5257">
              <w:t> </w:t>
            </w:r>
          </w:p>
        </w:tc>
      </w:tr>
      <w:tr w:rsidR="00CC5257" w:rsidRPr="00CC5257" w14:paraId="0AA5DAC3" w14:textId="77777777" w:rsidTr="00CC5257">
        <w:trPr>
          <w:trHeight w:val="4080"/>
        </w:trPr>
        <w:tc>
          <w:tcPr>
            <w:tcW w:w="11140" w:type="dxa"/>
            <w:hideMark/>
          </w:tcPr>
          <w:p w14:paraId="5B04D3C0" w14:textId="77777777" w:rsidR="00CC5257" w:rsidRPr="00CC5257" w:rsidRDefault="00CC5257">
            <w:r w:rsidRPr="00CC5257">
              <w:t>Řešení musí podporovat zálohování následujících souborových systémů</w:t>
            </w:r>
            <w:r w:rsidRPr="00CC5257">
              <w:br/>
              <w:t>NTFS</w:t>
            </w:r>
            <w:r w:rsidRPr="00CC5257">
              <w:br/>
              <w:t>ReFS</w:t>
            </w:r>
            <w:r w:rsidRPr="00CC5257">
              <w:br/>
              <w:t>FAT32</w:t>
            </w:r>
            <w:r w:rsidRPr="00CC5257">
              <w:br/>
              <w:t>ext2, ext3, ext4</w:t>
            </w:r>
            <w:r w:rsidRPr="00CC5257">
              <w:br/>
              <w:t xml:space="preserve">ReiserFS </w:t>
            </w:r>
            <w:r w:rsidRPr="00CC5257">
              <w:br/>
              <w:t>JFS</w:t>
            </w:r>
            <w:r w:rsidRPr="00CC5257">
              <w:br/>
              <w:t>XFS</w:t>
            </w:r>
            <w:r w:rsidRPr="00CC5257">
              <w:br/>
              <w:t>F2FS</w:t>
            </w:r>
            <w:r w:rsidRPr="00CC5257">
              <w:br/>
              <w:t>HFS, HFS+</w:t>
            </w:r>
            <w:r w:rsidRPr="00CC5257">
              <w:br/>
              <w:t>NILFS2</w:t>
            </w:r>
            <w:r w:rsidRPr="00CC5257">
              <w:br/>
              <w:t>Btrfs (for Linux kernel 3.16 and later)</w:t>
            </w:r>
          </w:p>
        </w:tc>
        <w:tc>
          <w:tcPr>
            <w:tcW w:w="3780" w:type="dxa"/>
            <w:noWrap/>
            <w:hideMark/>
          </w:tcPr>
          <w:p w14:paraId="633C5DAA" w14:textId="77777777" w:rsidR="00CC5257" w:rsidRPr="00CC5257" w:rsidRDefault="00CC5257">
            <w:r w:rsidRPr="00CC5257">
              <w:t> </w:t>
            </w:r>
          </w:p>
        </w:tc>
        <w:tc>
          <w:tcPr>
            <w:tcW w:w="3780" w:type="dxa"/>
            <w:noWrap/>
            <w:hideMark/>
          </w:tcPr>
          <w:p w14:paraId="1DE238B3" w14:textId="77777777" w:rsidR="00CC5257" w:rsidRPr="00CC5257" w:rsidRDefault="00CC5257">
            <w:r w:rsidRPr="00CC5257">
              <w:t> </w:t>
            </w:r>
          </w:p>
        </w:tc>
      </w:tr>
      <w:tr w:rsidR="00CC5257" w:rsidRPr="00CC5257" w14:paraId="6B7ACC90" w14:textId="77777777" w:rsidTr="00CC5257">
        <w:trPr>
          <w:trHeight w:val="680"/>
        </w:trPr>
        <w:tc>
          <w:tcPr>
            <w:tcW w:w="11140" w:type="dxa"/>
            <w:hideMark/>
          </w:tcPr>
          <w:p w14:paraId="17C61301" w14:textId="77777777" w:rsidR="00CC5257" w:rsidRPr="00CC5257" w:rsidRDefault="00CC5257">
            <w:r w:rsidRPr="00CC5257">
              <w:t>Řešení musí mít možnost nasazení a řízení pomocí samostatného režimu (nezávislý agent) i spravovaného režimu (prostřednictvím centralizované konzoly pro správu)</w:t>
            </w:r>
          </w:p>
        </w:tc>
        <w:tc>
          <w:tcPr>
            <w:tcW w:w="3780" w:type="dxa"/>
            <w:noWrap/>
            <w:hideMark/>
          </w:tcPr>
          <w:p w14:paraId="24D3CEA1" w14:textId="77777777" w:rsidR="00CC5257" w:rsidRPr="00CC5257" w:rsidRDefault="00CC5257">
            <w:r w:rsidRPr="00CC5257">
              <w:t> </w:t>
            </w:r>
          </w:p>
        </w:tc>
        <w:tc>
          <w:tcPr>
            <w:tcW w:w="3780" w:type="dxa"/>
            <w:noWrap/>
            <w:hideMark/>
          </w:tcPr>
          <w:p w14:paraId="6CAAB1FB" w14:textId="77777777" w:rsidR="00CC5257" w:rsidRPr="00CC5257" w:rsidRDefault="00CC5257">
            <w:r w:rsidRPr="00CC5257">
              <w:t> </w:t>
            </w:r>
          </w:p>
        </w:tc>
      </w:tr>
      <w:tr w:rsidR="00CC5257" w:rsidRPr="00CC5257" w14:paraId="3D5F63C1" w14:textId="77777777" w:rsidTr="00CC5257">
        <w:trPr>
          <w:trHeight w:val="340"/>
        </w:trPr>
        <w:tc>
          <w:tcPr>
            <w:tcW w:w="11140" w:type="dxa"/>
            <w:hideMark/>
          </w:tcPr>
          <w:p w14:paraId="61069D2E" w14:textId="77777777" w:rsidR="00CC5257" w:rsidRPr="00CC5257" w:rsidRDefault="00CC5257">
            <w:r w:rsidRPr="00CC5257">
              <w:t>Řešení musí podporovat zálohování systémů Microsoft Failover Cluster</w:t>
            </w:r>
          </w:p>
        </w:tc>
        <w:tc>
          <w:tcPr>
            <w:tcW w:w="3780" w:type="dxa"/>
            <w:noWrap/>
            <w:hideMark/>
          </w:tcPr>
          <w:p w14:paraId="55C8EB11" w14:textId="77777777" w:rsidR="00CC5257" w:rsidRPr="00CC5257" w:rsidRDefault="00CC5257">
            <w:r w:rsidRPr="00CC5257">
              <w:t> </w:t>
            </w:r>
          </w:p>
        </w:tc>
        <w:tc>
          <w:tcPr>
            <w:tcW w:w="3780" w:type="dxa"/>
            <w:noWrap/>
            <w:hideMark/>
          </w:tcPr>
          <w:p w14:paraId="17EEC099" w14:textId="77777777" w:rsidR="00CC5257" w:rsidRPr="00CC5257" w:rsidRDefault="00CC5257">
            <w:r w:rsidRPr="00CC5257">
              <w:t> </w:t>
            </w:r>
          </w:p>
        </w:tc>
      </w:tr>
      <w:tr w:rsidR="00CC5257" w:rsidRPr="00CC5257" w14:paraId="1B3DDE3B" w14:textId="77777777" w:rsidTr="00CC5257">
        <w:trPr>
          <w:trHeight w:val="680"/>
        </w:trPr>
        <w:tc>
          <w:tcPr>
            <w:tcW w:w="11140" w:type="dxa"/>
            <w:hideMark/>
          </w:tcPr>
          <w:p w14:paraId="0F82C978" w14:textId="77777777" w:rsidR="00CC5257" w:rsidRPr="00CC5257" w:rsidRDefault="00CC5257">
            <w:r w:rsidRPr="00CC5257">
              <w:t>Řešení musí podporovat zálohování a obnovu z blokových zařízení celého počítače (obnova v režimu 'bare metal'), vybraného svazku a / nebo souboru / adresáře</w:t>
            </w:r>
          </w:p>
        </w:tc>
        <w:tc>
          <w:tcPr>
            <w:tcW w:w="3780" w:type="dxa"/>
            <w:noWrap/>
            <w:hideMark/>
          </w:tcPr>
          <w:p w14:paraId="2777B8B8" w14:textId="77777777" w:rsidR="00CC5257" w:rsidRPr="00CC5257" w:rsidRDefault="00CC5257">
            <w:r w:rsidRPr="00CC5257">
              <w:t> </w:t>
            </w:r>
          </w:p>
        </w:tc>
        <w:tc>
          <w:tcPr>
            <w:tcW w:w="3780" w:type="dxa"/>
            <w:noWrap/>
            <w:hideMark/>
          </w:tcPr>
          <w:p w14:paraId="36F62032" w14:textId="77777777" w:rsidR="00CC5257" w:rsidRPr="00CC5257" w:rsidRDefault="00CC5257">
            <w:r w:rsidRPr="00CC5257">
              <w:t> </w:t>
            </w:r>
          </w:p>
        </w:tc>
      </w:tr>
      <w:tr w:rsidR="00CC5257" w:rsidRPr="00CC5257" w14:paraId="7D32C794" w14:textId="77777777" w:rsidTr="00CC5257">
        <w:trPr>
          <w:trHeight w:val="340"/>
        </w:trPr>
        <w:tc>
          <w:tcPr>
            <w:tcW w:w="11140" w:type="dxa"/>
            <w:hideMark/>
          </w:tcPr>
          <w:p w14:paraId="2F833C86" w14:textId="77777777" w:rsidR="00CC5257" w:rsidRPr="00CC5257" w:rsidRDefault="00CC5257">
            <w:r w:rsidRPr="00CC5257">
              <w:t>Řešení musí podporovat zálohování vyměnitelných jednotek USB</w:t>
            </w:r>
          </w:p>
        </w:tc>
        <w:tc>
          <w:tcPr>
            <w:tcW w:w="3780" w:type="dxa"/>
            <w:noWrap/>
            <w:hideMark/>
          </w:tcPr>
          <w:p w14:paraId="58B5B845" w14:textId="77777777" w:rsidR="00CC5257" w:rsidRPr="00CC5257" w:rsidRDefault="00CC5257">
            <w:r w:rsidRPr="00CC5257">
              <w:t> </w:t>
            </w:r>
          </w:p>
        </w:tc>
        <w:tc>
          <w:tcPr>
            <w:tcW w:w="3780" w:type="dxa"/>
            <w:noWrap/>
            <w:hideMark/>
          </w:tcPr>
          <w:p w14:paraId="4E6B15DE" w14:textId="77777777" w:rsidR="00CC5257" w:rsidRPr="00CC5257" w:rsidRDefault="00CC5257">
            <w:r w:rsidRPr="00CC5257">
              <w:t> </w:t>
            </w:r>
          </w:p>
        </w:tc>
      </w:tr>
      <w:tr w:rsidR="00CC5257" w:rsidRPr="00CC5257" w14:paraId="50559E88" w14:textId="77777777" w:rsidTr="00CC5257">
        <w:trPr>
          <w:trHeight w:val="340"/>
        </w:trPr>
        <w:tc>
          <w:tcPr>
            <w:tcW w:w="11140" w:type="dxa"/>
            <w:hideMark/>
          </w:tcPr>
          <w:p w14:paraId="201F621E" w14:textId="77777777" w:rsidR="00CC5257" w:rsidRPr="00CC5257" w:rsidRDefault="00CC5257">
            <w:r w:rsidRPr="00CC5257">
              <w:t>Zálohování celého stroje a svazku musí probíhat na úrovni bloků</w:t>
            </w:r>
          </w:p>
        </w:tc>
        <w:tc>
          <w:tcPr>
            <w:tcW w:w="3780" w:type="dxa"/>
            <w:noWrap/>
            <w:hideMark/>
          </w:tcPr>
          <w:p w14:paraId="6F03DB5B" w14:textId="77777777" w:rsidR="00CC5257" w:rsidRPr="00CC5257" w:rsidRDefault="00CC5257">
            <w:r w:rsidRPr="00CC5257">
              <w:t> </w:t>
            </w:r>
          </w:p>
        </w:tc>
        <w:tc>
          <w:tcPr>
            <w:tcW w:w="3780" w:type="dxa"/>
            <w:noWrap/>
            <w:hideMark/>
          </w:tcPr>
          <w:p w14:paraId="020336B0" w14:textId="77777777" w:rsidR="00CC5257" w:rsidRPr="00CC5257" w:rsidRDefault="00CC5257">
            <w:r w:rsidRPr="00CC5257">
              <w:t> </w:t>
            </w:r>
          </w:p>
        </w:tc>
      </w:tr>
      <w:tr w:rsidR="00CC5257" w:rsidRPr="00CC5257" w14:paraId="3B08C7AF" w14:textId="77777777" w:rsidTr="00CC5257">
        <w:trPr>
          <w:trHeight w:val="2380"/>
        </w:trPr>
        <w:tc>
          <w:tcPr>
            <w:tcW w:w="11140" w:type="dxa"/>
            <w:hideMark/>
          </w:tcPr>
          <w:p w14:paraId="7FAFA1C5" w14:textId="77777777" w:rsidR="00CC5257" w:rsidRPr="00CC5257" w:rsidRDefault="00CC5257">
            <w:r w:rsidRPr="00CC5257">
              <w:t>Řešení musí být schopné ukládat zálohy na:</w:t>
            </w:r>
            <w:r w:rsidRPr="00CC5257">
              <w:br/>
            </w:r>
            <w:r w:rsidRPr="00CC5257">
              <w:br/>
              <w:t>Místní (interní) úložiště chráněného počítače</w:t>
            </w:r>
            <w:r w:rsidRPr="00CC5257">
              <w:br/>
              <w:t>Přímé připojené úložiště (DAS), jako jsou externí jednotky USB, eSATA nebo Firewire.</w:t>
            </w:r>
            <w:r w:rsidRPr="00CC5257">
              <w:br/>
              <w:t>Network Attached Storage (NAS), který se dokáže reprezentovat jako SMB (CIFS) nebo NFS.</w:t>
            </w:r>
            <w:r w:rsidRPr="00CC5257">
              <w:br/>
              <w:t>Centralizované úložiště</w:t>
            </w:r>
            <w:r w:rsidRPr="00CC5257">
              <w:br/>
              <w:t>Přímo do cloudu</w:t>
            </w:r>
          </w:p>
        </w:tc>
        <w:tc>
          <w:tcPr>
            <w:tcW w:w="3780" w:type="dxa"/>
            <w:noWrap/>
            <w:hideMark/>
          </w:tcPr>
          <w:p w14:paraId="0FDDF5A9" w14:textId="77777777" w:rsidR="00CC5257" w:rsidRPr="00CC5257" w:rsidRDefault="00CC5257">
            <w:r w:rsidRPr="00CC5257">
              <w:t> </w:t>
            </w:r>
          </w:p>
        </w:tc>
        <w:tc>
          <w:tcPr>
            <w:tcW w:w="3780" w:type="dxa"/>
            <w:noWrap/>
            <w:hideMark/>
          </w:tcPr>
          <w:p w14:paraId="512607DF" w14:textId="77777777" w:rsidR="00CC5257" w:rsidRPr="00CC5257" w:rsidRDefault="00CC5257">
            <w:r w:rsidRPr="00CC5257">
              <w:t> </w:t>
            </w:r>
          </w:p>
        </w:tc>
      </w:tr>
      <w:tr w:rsidR="00CC5257" w:rsidRPr="00CC5257" w14:paraId="63EB0274" w14:textId="77777777" w:rsidTr="00CC5257">
        <w:trPr>
          <w:trHeight w:val="680"/>
        </w:trPr>
        <w:tc>
          <w:tcPr>
            <w:tcW w:w="11140" w:type="dxa"/>
            <w:hideMark/>
          </w:tcPr>
          <w:p w14:paraId="5AE15DF6" w14:textId="77777777" w:rsidR="00CC5257" w:rsidRPr="00CC5257" w:rsidRDefault="00CC5257">
            <w:r w:rsidRPr="00CC5257">
              <w:t>Řešení musí podporovat deduplikaci a kompresi na straně zdroje. Data odeslaná do záložního úložiště (cíl) musí být již zpracována</w:t>
            </w:r>
          </w:p>
        </w:tc>
        <w:tc>
          <w:tcPr>
            <w:tcW w:w="3780" w:type="dxa"/>
            <w:noWrap/>
            <w:hideMark/>
          </w:tcPr>
          <w:p w14:paraId="12DE9AF5" w14:textId="77777777" w:rsidR="00CC5257" w:rsidRPr="00CC5257" w:rsidRDefault="00CC5257">
            <w:r w:rsidRPr="00CC5257">
              <w:t> </w:t>
            </w:r>
          </w:p>
        </w:tc>
        <w:tc>
          <w:tcPr>
            <w:tcW w:w="3780" w:type="dxa"/>
            <w:noWrap/>
            <w:hideMark/>
          </w:tcPr>
          <w:p w14:paraId="00EB74C3" w14:textId="77777777" w:rsidR="00CC5257" w:rsidRPr="00CC5257" w:rsidRDefault="00CC5257">
            <w:r w:rsidRPr="00CC5257">
              <w:t> </w:t>
            </w:r>
          </w:p>
        </w:tc>
      </w:tr>
      <w:tr w:rsidR="00CC5257" w:rsidRPr="00CC5257" w14:paraId="2F46DDD6" w14:textId="77777777" w:rsidTr="00CC5257">
        <w:trPr>
          <w:trHeight w:val="340"/>
        </w:trPr>
        <w:tc>
          <w:tcPr>
            <w:tcW w:w="11140" w:type="dxa"/>
            <w:hideMark/>
          </w:tcPr>
          <w:p w14:paraId="49C9FD06" w14:textId="77777777" w:rsidR="00CC5257" w:rsidRPr="00CC5257" w:rsidRDefault="00CC5257">
            <w:r w:rsidRPr="00CC5257">
              <w:t>Řešení musí podporovat omezení síťového provozu</w:t>
            </w:r>
          </w:p>
        </w:tc>
        <w:tc>
          <w:tcPr>
            <w:tcW w:w="3780" w:type="dxa"/>
            <w:noWrap/>
            <w:hideMark/>
          </w:tcPr>
          <w:p w14:paraId="64FCAF29" w14:textId="77777777" w:rsidR="00CC5257" w:rsidRPr="00CC5257" w:rsidRDefault="00CC5257">
            <w:r w:rsidRPr="00CC5257">
              <w:t> </w:t>
            </w:r>
          </w:p>
        </w:tc>
        <w:tc>
          <w:tcPr>
            <w:tcW w:w="3780" w:type="dxa"/>
            <w:noWrap/>
            <w:hideMark/>
          </w:tcPr>
          <w:p w14:paraId="4CD8ABE2" w14:textId="77777777" w:rsidR="00CC5257" w:rsidRPr="00CC5257" w:rsidRDefault="00CC5257">
            <w:r w:rsidRPr="00CC5257">
              <w:t> </w:t>
            </w:r>
          </w:p>
        </w:tc>
      </w:tr>
      <w:tr w:rsidR="00CC5257" w:rsidRPr="00CC5257" w14:paraId="0A122667" w14:textId="77777777" w:rsidTr="00CC5257">
        <w:trPr>
          <w:trHeight w:val="340"/>
        </w:trPr>
        <w:tc>
          <w:tcPr>
            <w:tcW w:w="11140" w:type="dxa"/>
            <w:hideMark/>
          </w:tcPr>
          <w:p w14:paraId="4CB92153" w14:textId="77777777" w:rsidR="00CC5257" w:rsidRPr="00CC5257" w:rsidRDefault="00CC5257">
            <w:r w:rsidRPr="00CC5257">
              <w:lastRenderedPageBreak/>
              <w:t>Řešení musí podporovat omezování záloh pro konkrétní bezdrátové sítě</w:t>
            </w:r>
          </w:p>
        </w:tc>
        <w:tc>
          <w:tcPr>
            <w:tcW w:w="3780" w:type="dxa"/>
            <w:noWrap/>
            <w:hideMark/>
          </w:tcPr>
          <w:p w14:paraId="75404B09" w14:textId="77777777" w:rsidR="00CC5257" w:rsidRPr="00CC5257" w:rsidRDefault="00CC5257">
            <w:r w:rsidRPr="00CC5257">
              <w:t> </w:t>
            </w:r>
          </w:p>
        </w:tc>
        <w:tc>
          <w:tcPr>
            <w:tcW w:w="3780" w:type="dxa"/>
            <w:noWrap/>
            <w:hideMark/>
          </w:tcPr>
          <w:p w14:paraId="3E8B88F6" w14:textId="77777777" w:rsidR="00CC5257" w:rsidRPr="00CC5257" w:rsidRDefault="00CC5257">
            <w:r w:rsidRPr="00CC5257">
              <w:t> </w:t>
            </w:r>
          </w:p>
        </w:tc>
      </w:tr>
      <w:tr w:rsidR="00CC5257" w:rsidRPr="00CC5257" w14:paraId="1921BF44" w14:textId="77777777" w:rsidTr="00CC5257">
        <w:trPr>
          <w:trHeight w:val="340"/>
        </w:trPr>
        <w:tc>
          <w:tcPr>
            <w:tcW w:w="11140" w:type="dxa"/>
            <w:hideMark/>
          </w:tcPr>
          <w:p w14:paraId="7557F982" w14:textId="77777777" w:rsidR="00CC5257" w:rsidRPr="00CC5257" w:rsidRDefault="00CC5257">
            <w:r w:rsidRPr="00CC5257">
              <w:t>Řešení musí podporovat omezování záloh pro připojení VPN</w:t>
            </w:r>
          </w:p>
        </w:tc>
        <w:tc>
          <w:tcPr>
            <w:tcW w:w="3780" w:type="dxa"/>
            <w:noWrap/>
            <w:hideMark/>
          </w:tcPr>
          <w:p w14:paraId="4B0BE3FE" w14:textId="77777777" w:rsidR="00CC5257" w:rsidRPr="00CC5257" w:rsidRDefault="00CC5257">
            <w:r w:rsidRPr="00CC5257">
              <w:t> </w:t>
            </w:r>
          </w:p>
        </w:tc>
        <w:tc>
          <w:tcPr>
            <w:tcW w:w="3780" w:type="dxa"/>
            <w:noWrap/>
            <w:hideMark/>
          </w:tcPr>
          <w:p w14:paraId="2236532E" w14:textId="77777777" w:rsidR="00CC5257" w:rsidRPr="00CC5257" w:rsidRDefault="00CC5257">
            <w:r w:rsidRPr="00CC5257">
              <w:t> </w:t>
            </w:r>
          </w:p>
        </w:tc>
      </w:tr>
      <w:tr w:rsidR="00CC5257" w:rsidRPr="00CC5257" w14:paraId="3D6E8C54" w14:textId="77777777" w:rsidTr="00CC5257">
        <w:trPr>
          <w:trHeight w:val="680"/>
        </w:trPr>
        <w:tc>
          <w:tcPr>
            <w:tcW w:w="11140" w:type="dxa"/>
            <w:hideMark/>
          </w:tcPr>
          <w:p w14:paraId="3EB345FB" w14:textId="77777777" w:rsidR="00CC5257" w:rsidRPr="00CC5257" w:rsidRDefault="00CC5257">
            <w:r w:rsidRPr="00CC5257">
              <w:t>Řešení musí podporovat sledování změn bloku při provádění zálohování na úrovni bloku. U systémů Windows musí být technologie sledování změn bloků certifikována společností Microsoft</w:t>
            </w:r>
          </w:p>
        </w:tc>
        <w:tc>
          <w:tcPr>
            <w:tcW w:w="3780" w:type="dxa"/>
            <w:noWrap/>
            <w:hideMark/>
          </w:tcPr>
          <w:p w14:paraId="7E908373" w14:textId="77777777" w:rsidR="00CC5257" w:rsidRPr="00CC5257" w:rsidRDefault="00CC5257">
            <w:r w:rsidRPr="00CC5257">
              <w:t> </w:t>
            </w:r>
          </w:p>
        </w:tc>
        <w:tc>
          <w:tcPr>
            <w:tcW w:w="3780" w:type="dxa"/>
            <w:noWrap/>
            <w:hideMark/>
          </w:tcPr>
          <w:p w14:paraId="090FC7BE" w14:textId="77777777" w:rsidR="00CC5257" w:rsidRPr="00CC5257" w:rsidRDefault="00CC5257">
            <w:r w:rsidRPr="00CC5257">
              <w:t> </w:t>
            </w:r>
          </w:p>
        </w:tc>
      </w:tr>
      <w:tr w:rsidR="00CC5257" w:rsidRPr="00CC5257" w14:paraId="1C423EC8" w14:textId="77777777" w:rsidTr="00CC5257">
        <w:trPr>
          <w:trHeight w:val="340"/>
        </w:trPr>
        <w:tc>
          <w:tcPr>
            <w:tcW w:w="11140" w:type="dxa"/>
            <w:hideMark/>
          </w:tcPr>
          <w:p w14:paraId="550A5738" w14:textId="77777777" w:rsidR="00CC5257" w:rsidRPr="00CC5257" w:rsidRDefault="00CC5257">
            <w:r w:rsidRPr="00CC5257">
              <w:t>Řešení musí podporovat skripty, které lze spustit před nebo po úloze a před a po snapshotu svazku</w:t>
            </w:r>
          </w:p>
        </w:tc>
        <w:tc>
          <w:tcPr>
            <w:tcW w:w="3780" w:type="dxa"/>
            <w:noWrap/>
            <w:hideMark/>
          </w:tcPr>
          <w:p w14:paraId="08C0DDFB" w14:textId="77777777" w:rsidR="00CC5257" w:rsidRPr="00CC5257" w:rsidRDefault="00CC5257">
            <w:r w:rsidRPr="00CC5257">
              <w:t> </w:t>
            </w:r>
          </w:p>
        </w:tc>
        <w:tc>
          <w:tcPr>
            <w:tcW w:w="3780" w:type="dxa"/>
            <w:noWrap/>
            <w:hideMark/>
          </w:tcPr>
          <w:p w14:paraId="6A10A978" w14:textId="77777777" w:rsidR="00CC5257" w:rsidRPr="00CC5257" w:rsidRDefault="00CC5257">
            <w:r w:rsidRPr="00CC5257">
              <w:t> </w:t>
            </w:r>
          </w:p>
        </w:tc>
      </w:tr>
      <w:tr w:rsidR="00CC5257" w:rsidRPr="00CC5257" w14:paraId="45B977B8" w14:textId="77777777" w:rsidTr="00CC5257">
        <w:trPr>
          <w:trHeight w:val="340"/>
        </w:trPr>
        <w:tc>
          <w:tcPr>
            <w:tcW w:w="11140" w:type="dxa"/>
            <w:hideMark/>
          </w:tcPr>
          <w:p w14:paraId="346F3E7F" w14:textId="77777777" w:rsidR="00CC5257" w:rsidRPr="00CC5257" w:rsidRDefault="00CC5257">
            <w:r w:rsidRPr="00CC5257">
              <w:t>Řešení musí podporovat technologii BitLocker</w:t>
            </w:r>
          </w:p>
        </w:tc>
        <w:tc>
          <w:tcPr>
            <w:tcW w:w="3780" w:type="dxa"/>
            <w:noWrap/>
            <w:hideMark/>
          </w:tcPr>
          <w:p w14:paraId="2ABD5EB0" w14:textId="77777777" w:rsidR="00CC5257" w:rsidRPr="00CC5257" w:rsidRDefault="00CC5257">
            <w:r w:rsidRPr="00CC5257">
              <w:t> </w:t>
            </w:r>
          </w:p>
        </w:tc>
        <w:tc>
          <w:tcPr>
            <w:tcW w:w="3780" w:type="dxa"/>
            <w:noWrap/>
            <w:hideMark/>
          </w:tcPr>
          <w:p w14:paraId="3DE64387" w14:textId="77777777" w:rsidR="00CC5257" w:rsidRPr="00CC5257" w:rsidRDefault="00CC5257">
            <w:r w:rsidRPr="00CC5257">
              <w:t> </w:t>
            </w:r>
          </w:p>
        </w:tc>
      </w:tr>
      <w:tr w:rsidR="00CC5257" w:rsidRPr="00CC5257" w14:paraId="5BA51C74" w14:textId="77777777" w:rsidTr="00CC5257">
        <w:trPr>
          <w:trHeight w:val="340"/>
        </w:trPr>
        <w:tc>
          <w:tcPr>
            <w:tcW w:w="11140" w:type="dxa"/>
            <w:hideMark/>
          </w:tcPr>
          <w:p w14:paraId="7732BA56" w14:textId="77777777" w:rsidR="00CC5257" w:rsidRPr="00CC5257" w:rsidRDefault="00CC5257">
            <w:r w:rsidRPr="00CC5257">
              <w:t>Řešení musí podporovat zavádění z  Recovery Media</w:t>
            </w:r>
          </w:p>
        </w:tc>
        <w:tc>
          <w:tcPr>
            <w:tcW w:w="3780" w:type="dxa"/>
            <w:noWrap/>
            <w:hideMark/>
          </w:tcPr>
          <w:p w14:paraId="7023760B" w14:textId="77777777" w:rsidR="00CC5257" w:rsidRPr="00CC5257" w:rsidRDefault="00CC5257">
            <w:r w:rsidRPr="00CC5257">
              <w:t> </w:t>
            </w:r>
          </w:p>
        </w:tc>
        <w:tc>
          <w:tcPr>
            <w:tcW w:w="3780" w:type="dxa"/>
            <w:noWrap/>
            <w:hideMark/>
          </w:tcPr>
          <w:p w14:paraId="1B746721" w14:textId="77777777" w:rsidR="00CC5257" w:rsidRPr="00CC5257" w:rsidRDefault="00CC5257">
            <w:r w:rsidRPr="00CC5257">
              <w:t> </w:t>
            </w:r>
          </w:p>
        </w:tc>
      </w:tr>
      <w:tr w:rsidR="00CC5257" w:rsidRPr="00CC5257" w14:paraId="729D3BE3" w14:textId="77777777" w:rsidTr="00CC5257">
        <w:trPr>
          <w:trHeight w:val="340"/>
        </w:trPr>
        <w:tc>
          <w:tcPr>
            <w:tcW w:w="11140" w:type="dxa"/>
            <w:hideMark/>
          </w:tcPr>
          <w:p w14:paraId="68416235" w14:textId="77777777" w:rsidR="00CC5257" w:rsidRPr="00CC5257" w:rsidRDefault="00CC5257">
            <w:r w:rsidRPr="00CC5257">
              <w:t>Řešení musí podporovat načítání dalších ovladačů během obnovy pomocí média pro obnovu</w:t>
            </w:r>
          </w:p>
        </w:tc>
        <w:tc>
          <w:tcPr>
            <w:tcW w:w="3780" w:type="dxa"/>
            <w:noWrap/>
            <w:hideMark/>
          </w:tcPr>
          <w:p w14:paraId="2F6183D1" w14:textId="77777777" w:rsidR="00CC5257" w:rsidRPr="00CC5257" w:rsidRDefault="00CC5257">
            <w:r w:rsidRPr="00CC5257">
              <w:t> </w:t>
            </w:r>
          </w:p>
        </w:tc>
        <w:tc>
          <w:tcPr>
            <w:tcW w:w="3780" w:type="dxa"/>
            <w:noWrap/>
            <w:hideMark/>
          </w:tcPr>
          <w:p w14:paraId="4B0AA65E" w14:textId="77777777" w:rsidR="00CC5257" w:rsidRPr="00CC5257" w:rsidRDefault="00CC5257">
            <w:r w:rsidRPr="00CC5257">
              <w:t> </w:t>
            </w:r>
          </w:p>
        </w:tc>
      </w:tr>
      <w:tr w:rsidR="00CC5257" w:rsidRPr="00CC5257" w14:paraId="0FB9FAB4" w14:textId="77777777" w:rsidTr="00CC5257">
        <w:trPr>
          <w:trHeight w:val="2380"/>
        </w:trPr>
        <w:tc>
          <w:tcPr>
            <w:tcW w:w="11140" w:type="dxa"/>
            <w:hideMark/>
          </w:tcPr>
          <w:p w14:paraId="150F6835" w14:textId="77777777" w:rsidR="00CC5257" w:rsidRPr="00CC5257" w:rsidRDefault="00CC5257">
            <w:r w:rsidRPr="00CC5257">
              <w:t>Řešení musí podporovat obnovu objektů aplikace se zálohováním jedním průchodem pro:</w:t>
            </w:r>
            <w:r w:rsidRPr="00CC5257">
              <w:br/>
            </w:r>
            <w:r w:rsidRPr="00CC5257">
              <w:br/>
              <w:t>Microsoft Exchange 2010 and later</w:t>
            </w:r>
            <w:r w:rsidRPr="00CC5257">
              <w:br/>
              <w:t>Microsoft Active Directory 2003 and later</w:t>
            </w:r>
            <w:r w:rsidRPr="00CC5257">
              <w:br/>
              <w:t>Microsoft Sharepoint 2010 and later</w:t>
            </w:r>
            <w:r w:rsidRPr="00CC5257">
              <w:br/>
              <w:t>Microsoft SQL 2005 and later</w:t>
            </w:r>
            <w:r w:rsidRPr="00CC5257">
              <w:br/>
              <w:t>Oracle  11g and later</w:t>
            </w:r>
          </w:p>
        </w:tc>
        <w:tc>
          <w:tcPr>
            <w:tcW w:w="3780" w:type="dxa"/>
            <w:noWrap/>
            <w:hideMark/>
          </w:tcPr>
          <w:p w14:paraId="0B1D6CBC" w14:textId="77777777" w:rsidR="00CC5257" w:rsidRPr="00CC5257" w:rsidRDefault="00CC5257">
            <w:r w:rsidRPr="00CC5257">
              <w:t> </w:t>
            </w:r>
          </w:p>
        </w:tc>
        <w:tc>
          <w:tcPr>
            <w:tcW w:w="3780" w:type="dxa"/>
            <w:noWrap/>
            <w:hideMark/>
          </w:tcPr>
          <w:p w14:paraId="02E1139C" w14:textId="77777777" w:rsidR="00CC5257" w:rsidRPr="00CC5257" w:rsidRDefault="00CC5257">
            <w:r w:rsidRPr="00CC5257">
              <w:t> </w:t>
            </w:r>
          </w:p>
        </w:tc>
      </w:tr>
      <w:tr w:rsidR="00CC5257" w:rsidRPr="00CC5257" w14:paraId="69A852AE" w14:textId="77777777" w:rsidTr="00CC5257">
        <w:trPr>
          <w:trHeight w:val="340"/>
        </w:trPr>
        <w:tc>
          <w:tcPr>
            <w:tcW w:w="11140" w:type="dxa"/>
            <w:hideMark/>
          </w:tcPr>
          <w:p w14:paraId="6CD37341" w14:textId="77777777" w:rsidR="00CC5257" w:rsidRPr="00CC5257" w:rsidRDefault="00CC5257">
            <w:r w:rsidRPr="00CC5257">
              <w:t>Řešení musí podporovat  obnovení v režimu Point in Time  podporovaných databází</w:t>
            </w:r>
          </w:p>
        </w:tc>
        <w:tc>
          <w:tcPr>
            <w:tcW w:w="3780" w:type="dxa"/>
            <w:noWrap/>
            <w:hideMark/>
          </w:tcPr>
          <w:p w14:paraId="06F9675F" w14:textId="77777777" w:rsidR="00CC5257" w:rsidRPr="00CC5257" w:rsidRDefault="00CC5257">
            <w:r w:rsidRPr="00CC5257">
              <w:t> </w:t>
            </w:r>
          </w:p>
        </w:tc>
        <w:tc>
          <w:tcPr>
            <w:tcW w:w="3780" w:type="dxa"/>
            <w:noWrap/>
            <w:hideMark/>
          </w:tcPr>
          <w:p w14:paraId="28FF6A93" w14:textId="77777777" w:rsidR="00CC5257" w:rsidRPr="00CC5257" w:rsidRDefault="00CC5257">
            <w:r w:rsidRPr="00CC5257">
              <w:t> </w:t>
            </w:r>
          </w:p>
        </w:tc>
      </w:tr>
      <w:tr w:rsidR="00CC5257" w:rsidRPr="00CC5257" w14:paraId="40A159C4" w14:textId="77777777" w:rsidTr="00CC5257">
        <w:trPr>
          <w:trHeight w:val="680"/>
        </w:trPr>
        <w:tc>
          <w:tcPr>
            <w:tcW w:w="11140" w:type="dxa"/>
            <w:hideMark/>
          </w:tcPr>
          <w:p w14:paraId="7978CFC6" w14:textId="77777777" w:rsidR="00CC5257" w:rsidRPr="00CC5257" w:rsidRDefault="00CC5257">
            <w:r w:rsidRPr="00CC5257">
              <w:t>Řešení musí umožňovat okamžité publikování databází MS SQL a Oracle spuštěním databáze přímo ze záložního souboru</w:t>
            </w:r>
          </w:p>
        </w:tc>
        <w:tc>
          <w:tcPr>
            <w:tcW w:w="3780" w:type="dxa"/>
            <w:noWrap/>
            <w:hideMark/>
          </w:tcPr>
          <w:p w14:paraId="2AC7D4B8" w14:textId="77777777" w:rsidR="00CC5257" w:rsidRPr="00CC5257" w:rsidRDefault="00CC5257">
            <w:r w:rsidRPr="00CC5257">
              <w:t> </w:t>
            </w:r>
          </w:p>
        </w:tc>
        <w:tc>
          <w:tcPr>
            <w:tcW w:w="3780" w:type="dxa"/>
            <w:noWrap/>
            <w:hideMark/>
          </w:tcPr>
          <w:p w14:paraId="4F385F00" w14:textId="77777777" w:rsidR="00CC5257" w:rsidRPr="00CC5257" w:rsidRDefault="00CC5257">
            <w:r w:rsidRPr="00CC5257">
              <w:t> </w:t>
            </w:r>
          </w:p>
        </w:tc>
      </w:tr>
      <w:tr w:rsidR="00CC5257" w:rsidRPr="00CC5257" w14:paraId="6F091D18" w14:textId="77777777" w:rsidTr="00CC5257">
        <w:trPr>
          <w:trHeight w:val="340"/>
        </w:trPr>
        <w:tc>
          <w:tcPr>
            <w:tcW w:w="11140" w:type="dxa"/>
            <w:hideMark/>
          </w:tcPr>
          <w:p w14:paraId="08FD9B15" w14:textId="77777777" w:rsidR="00CC5257" w:rsidRPr="00CC5257" w:rsidRDefault="00CC5257">
            <w:r w:rsidRPr="00CC5257">
              <w:t>Řešení musí podporovat obnovu  do Microsoft Azure, Azure Stack a Amazon EC2</w:t>
            </w:r>
          </w:p>
        </w:tc>
        <w:tc>
          <w:tcPr>
            <w:tcW w:w="3780" w:type="dxa"/>
            <w:noWrap/>
            <w:hideMark/>
          </w:tcPr>
          <w:p w14:paraId="0433372B" w14:textId="77777777" w:rsidR="00CC5257" w:rsidRPr="00CC5257" w:rsidRDefault="00CC5257">
            <w:r w:rsidRPr="00CC5257">
              <w:t> </w:t>
            </w:r>
          </w:p>
        </w:tc>
        <w:tc>
          <w:tcPr>
            <w:tcW w:w="3780" w:type="dxa"/>
            <w:noWrap/>
            <w:hideMark/>
          </w:tcPr>
          <w:p w14:paraId="3BD82B7D" w14:textId="77777777" w:rsidR="00CC5257" w:rsidRPr="00CC5257" w:rsidRDefault="00CC5257">
            <w:r w:rsidRPr="00CC5257">
              <w:t> </w:t>
            </w:r>
          </w:p>
        </w:tc>
      </w:tr>
      <w:tr w:rsidR="00CC5257" w:rsidRPr="00CC5257" w14:paraId="11002BD2" w14:textId="77777777" w:rsidTr="00CC5257">
        <w:trPr>
          <w:trHeight w:val="340"/>
        </w:trPr>
        <w:tc>
          <w:tcPr>
            <w:tcW w:w="11140" w:type="dxa"/>
            <w:hideMark/>
          </w:tcPr>
          <w:p w14:paraId="4BAE14E2" w14:textId="77777777" w:rsidR="00CC5257" w:rsidRPr="00CC5257" w:rsidRDefault="00CC5257">
            <w:r w:rsidRPr="00CC5257">
              <w:t>Řešení musí podporovat šifrování záloh</w:t>
            </w:r>
          </w:p>
        </w:tc>
        <w:tc>
          <w:tcPr>
            <w:tcW w:w="3780" w:type="dxa"/>
            <w:noWrap/>
            <w:hideMark/>
          </w:tcPr>
          <w:p w14:paraId="706402FB" w14:textId="77777777" w:rsidR="00CC5257" w:rsidRPr="00CC5257" w:rsidRDefault="00CC5257">
            <w:r w:rsidRPr="00CC5257">
              <w:t> </w:t>
            </w:r>
          </w:p>
        </w:tc>
        <w:tc>
          <w:tcPr>
            <w:tcW w:w="3780" w:type="dxa"/>
            <w:noWrap/>
            <w:hideMark/>
          </w:tcPr>
          <w:p w14:paraId="47D35211" w14:textId="77777777" w:rsidR="00CC5257" w:rsidRPr="00CC5257" w:rsidRDefault="00CC5257">
            <w:r w:rsidRPr="00CC5257">
              <w:t> </w:t>
            </w:r>
          </w:p>
        </w:tc>
      </w:tr>
      <w:tr w:rsidR="00CC5257" w:rsidRPr="00CC5257" w14:paraId="041E014E" w14:textId="77777777" w:rsidTr="00CC5257">
        <w:trPr>
          <w:trHeight w:val="340"/>
        </w:trPr>
        <w:tc>
          <w:tcPr>
            <w:tcW w:w="11140" w:type="dxa"/>
            <w:hideMark/>
          </w:tcPr>
          <w:p w14:paraId="4E9DE25E" w14:textId="77777777" w:rsidR="00CC5257" w:rsidRPr="00CC5257" w:rsidRDefault="00CC5257">
            <w:r w:rsidRPr="00CC5257">
              <w:t>Řešení musí nabídnout správu prostředků, aby nedošlo ke snížení výkonu systému</w:t>
            </w:r>
          </w:p>
        </w:tc>
        <w:tc>
          <w:tcPr>
            <w:tcW w:w="3780" w:type="dxa"/>
            <w:noWrap/>
            <w:hideMark/>
          </w:tcPr>
          <w:p w14:paraId="1A020A24" w14:textId="77777777" w:rsidR="00CC5257" w:rsidRPr="00CC5257" w:rsidRDefault="00CC5257">
            <w:r w:rsidRPr="00CC5257">
              <w:t> </w:t>
            </w:r>
          </w:p>
        </w:tc>
        <w:tc>
          <w:tcPr>
            <w:tcW w:w="3780" w:type="dxa"/>
            <w:noWrap/>
            <w:hideMark/>
          </w:tcPr>
          <w:p w14:paraId="5B4BC052" w14:textId="77777777" w:rsidR="00CC5257" w:rsidRPr="00CC5257" w:rsidRDefault="00CC5257">
            <w:r w:rsidRPr="00CC5257">
              <w:t> </w:t>
            </w:r>
          </w:p>
        </w:tc>
      </w:tr>
      <w:tr w:rsidR="00CC5257" w:rsidRPr="00CC5257" w14:paraId="20BE1244" w14:textId="77777777" w:rsidTr="00CC5257">
        <w:trPr>
          <w:trHeight w:val="360"/>
        </w:trPr>
        <w:tc>
          <w:tcPr>
            <w:tcW w:w="11140" w:type="dxa"/>
            <w:hideMark/>
          </w:tcPr>
          <w:p w14:paraId="0E24B5F3" w14:textId="77777777" w:rsidR="00CC5257" w:rsidRPr="00CC5257" w:rsidRDefault="00CC5257">
            <w:r w:rsidRPr="00CC5257">
              <w:t>Řešení musí podporovat vytváření více úloh</w:t>
            </w:r>
          </w:p>
        </w:tc>
        <w:tc>
          <w:tcPr>
            <w:tcW w:w="3780" w:type="dxa"/>
            <w:noWrap/>
            <w:hideMark/>
          </w:tcPr>
          <w:p w14:paraId="3164EFFD" w14:textId="77777777" w:rsidR="00CC5257" w:rsidRPr="00CC5257" w:rsidRDefault="00CC5257">
            <w:r w:rsidRPr="00CC5257">
              <w:t> </w:t>
            </w:r>
          </w:p>
        </w:tc>
        <w:tc>
          <w:tcPr>
            <w:tcW w:w="3780" w:type="dxa"/>
            <w:noWrap/>
            <w:hideMark/>
          </w:tcPr>
          <w:p w14:paraId="0857860B" w14:textId="77777777" w:rsidR="00CC5257" w:rsidRPr="00CC5257" w:rsidRDefault="00CC5257">
            <w:r w:rsidRPr="00CC5257">
              <w:t> </w:t>
            </w:r>
          </w:p>
        </w:tc>
      </w:tr>
      <w:tr w:rsidR="00CC5257" w:rsidRPr="00CC5257" w14:paraId="4E6F5022" w14:textId="77777777" w:rsidTr="00CC5257">
        <w:trPr>
          <w:trHeight w:val="380"/>
        </w:trPr>
        <w:tc>
          <w:tcPr>
            <w:tcW w:w="18700" w:type="dxa"/>
            <w:gridSpan w:val="3"/>
            <w:noWrap/>
            <w:hideMark/>
          </w:tcPr>
          <w:p w14:paraId="36CF6C02" w14:textId="77777777" w:rsidR="00CC5257" w:rsidRPr="00CC5257" w:rsidRDefault="00CC5257">
            <w:pPr>
              <w:rPr>
                <w:b/>
                <w:bCs/>
              </w:rPr>
            </w:pPr>
            <w:r w:rsidRPr="00CC5257">
              <w:rPr>
                <w:b/>
                <w:bCs/>
              </w:rPr>
              <w:t> </w:t>
            </w:r>
          </w:p>
        </w:tc>
      </w:tr>
      <w:tr w:rsidR="00CC5257" w:rsidRPr="00CC5257" w14:paraId="4DFD294E" w14:textId="77777777" w:rsidTr="00CC5257">
        <w:trPr>
          <w:trHeight w:val="680"/>
        </w:trPr>
        <w:tc>
          <w:tcPr>
            <w:tcW w:w="11140" w:type="dxa"/>
            <w:hideMark/>
          </w:tcPr>
          <w:p w14:paraId="1F62062A" w14:textId="77777777" w:rsidR="00CC5257" w:rsidRPr="00CC5257" w:rsidRDefault="00CC5257">
            <w:r w:rsidRPr="00CC5257">
              <w:t>Řešení musí zálohovat data Microsoft Exchange Online jako součást služby Office365 a místních instancí Microsoft Exchange</w:t>
            </w:r>
          </w:p>
        </w:tc>
        <w:tc>
          <w:tcPr>
            <w:tcW w:w="3780" w:type="dxa"/>
            <w:noWrap/>
            <w:hideMark/>
          </w:tcPr>
          <w:p w14:paraId="0E933C9F" w14:textId="77777777" w:rsidR="00CC5257" w:rsidRPr="00CC5257" w:rsidRDefault="00CC5257">
            <w:r w:rsidRPr="00CC5257">
              <w:t> </w:t>
            </w:r>
          </w:p>
        </w:tc>
        <w:tc>
          <w:tcPr>
            <w:tcW w:w="3780" w:type="dxa"/>
            <w:noWrap/>
            <w:hideMark/>
          </w:tcPr>
          <w:p w14:paraId="41895E8D" w14:textId="77777777" w:rsidR="00CC5257" w:rsidRPr="00CC5257" w:rsidRDefault="00CC5257">
            <w:r w:rsidRPr="00CC5257">
              <w:t> </w:t>
            </w:r>
          </w:p>
        </w:tc>
      </w:tr>
      <w:tr w:rsidR="00CC5257" w:rsidRPr="00CC5257" w14:paraId="2766475A" w14:textId="77777777" w:rsidTr="00CC5257">
        <w:trPr>
          <w:trHeight w:val="680"/>
        </w:trPr>
        <w:tc>
          <w:tcPr>
            <w:tcW w:w="11140" w:type="dxa"/>
            <w:hideMark/>
          </w:tcPr>
          <w:p w14:paraId="04266643" w14:textId="77777777" w:rsidR="00CC5257" w:rsidRPr="00CC5257" w:rsidRDefault="00CC5257">
            <w:r w:rsidRPr="00CC5257">
              <w:t>Řešení musí zálohovat data Microsoft Sharepoint Online jako součást služby Office365 a místní instance Microsoft Sharepoint</w:t>
            </w:r>
          </w:p>
        </w:tc>
        <w:tc>
          <w:tcPr>
            <w:tcW w:w="3780" w:type="dxa"/>
            <w:noWrap/>
            <w:hideMark/>
          </w:tcPr>
          <w:p w14:paraId="502DD269" w14:textId="77777777" w:rsidR="00CC5257" w:rsidRPr="00CC5257" w:rsidRDefault="00CC5257">
            <w:r w:rsidRPr="00CC5257">
              <w:t> </w:t>
            </w:r>
          </w:p>
        </w:tc>
        <w:tc>
          <w:tcPr>
            <w:tcW w:w="3780" w:type="dxa"/>
            <w:noWrap/>
            <w:hideMark/>
          </w:tcPr>
          <w:p w14:paraId="08EDD738" w14:textId="77777777" w:rsidR="00CC5257" w:rsidRPr="00CC5257" w:rsidRDefault="00CC5257">
            <w:r w:rsidRPr="00CC5257">
              <w:t> </w:t>
            </w:r>
          </w:p>
        </w:tc>
      </w:tr>
      <w:tr w:rsidR="00CC5257" w:rsidRPr="00CC5257" w14:paraId="749CCD3F" w14:textId="77777777" w:rsidTr="00CC5257">
        <w:trPr>
          <w:trHeight w:val="340"/>
        </w:trPr>
        <w:tc>
          <w:tcPr>
            <w:tcW w:w="11140" w:type="dxa"/>
            <w:hideMark/>
          </w:tcPr>
          <w:p w14:paraId="19CC1087" w14:textId="77777777" w:rsidR="00CC5257" w:rsidRPr="00CC5257" w:rsidRDefault="00CC5257">
            <w:r w:rsidRPr="00CC5257">
              <w:t>Řešení musí zálohovat data Microsoft OneDrive for Business jako součást služby Office365</w:t>
            </w:r>
          </w:p>
        </w:tc>
        <w:tc>
          <w:tcPr>
            <w:tcW w:w="3780" w:type="dxa"/>
            <w:noWrap/>
            <w:hideMark/>
          </w:tcPr>
          <w:p w14:paraId="44A2D3CC" w14:textId="77777777" w:rsidR="00CC5257" w:rsidRPr="00CC5257" w:rsidRDefault="00CC5257">
            <w:r w:rsidRPr="00CC5257">
              <w:t> </w:t>
            </w:r>
          </w:p>
        </w:tc>
        <w:tc>
          <w:tcPr>
            <w:tcW w:w="3780" w:type="dxa"/>
            <w:noWrap/>
            <w:hideMark/>
          </w:tcPr>
          <w:p w14:paraId="35A42143" w14:textId="77777777" w:rsidR="00CC5257" w:rsidRPr="00CC5257" w:rsidRDefault="00CC5257">
            <w:r w:rsidRPr="00CC5257">
              <w:t> </w:t>
            </w:r>
          </w:p>
        </w:tc>
      </w:tr>
      <w:tr w:rsidR="00CC5257" w:rsidRPr="00CC5257" w14:paraId="1CA1DF1A" w14:textId="77777777" w:rsidTr="00CC5257">
        <w:trPr>
          <w:trHeight w:val="680"/>
        </w:trPr>
        <w:tc>
          <w:tcPr>
            <w:tcW w:w="11140" w:type="dxa"/>
            <w:hideMark/>
          </w:tcPr>
          <w:p w14:paraId="3E7AD5C9" w14:textId="77777777" w:rsidR="00CC5257" w:rsidRPr="00CC5257" w:rsidRDefault="00CC5257">
            <w:r w:rsidRPr="00CC5257">
              <w:t>Řešení musí umožňovat přidání více předplatných sady Office365 a více místních serverů Exchange a Sharepoint.</w:t>
            </w:r>
          </w:p>
        </w:tc>
        <w:tc>
          <w:tcPr>
            <w:tcW w:w="3780" w:type="dxa"/>
            <w:noWrap/>
            <w:hideMark/>
          </w:tcPr>
          <w:p w14:paraId="09684914" w14:textId="77777777" w:rsidR="00CC5257" w:rsidRPr="00CC5257" w:rsidRDefault="00CC5257">
            <w:r w:rsidRPr="00CC5257">
              <w:t> </w:t>
            </w:r>
          </w:p>
        </w:tc>
        <w:tc>
          <w:tcPr>
            <w:tcW w:w="3780" w:type="dxa"/>
            <w:noWrap/>
            <w:hideMark/>
          </w:tcPr>
          <w:p w14:paraId="00C83B91" w14:textId="77777777" w:rsidR="00CC5257" w:rsidRPr="00CC5257" w:rsidRDefault="00CC5257">
            <w:r w:rsidRPr="00CC5257">
              <w:t> </w:t>
            </w:r>
          </w:p>
        </w:tc>
      </w:tr>
      <w:tr w:rsidR="00CC5257" w:rsidRPr="00CC5257" w14:paraId="4C62EA4F" w14:textId="77777777" w:rsidTr="00CC5257">
        <w:trPr>
          <w:trHeight w:val="680"/>
        </w:trPr>
        <w:tc>
          <w:tcPr>
            <w:tcW w:w="11140" w:type="dxa"/>
            <w:hideMark/>
          </w:tcPr>
          <w:p w14:paraId="08F8AF7B" w14:textId="77777777" w:rsidR="00CC5257" w:rsidRPr="00CC5257" w:rsidRDefault="00CC5257">
            <w:r w:rsidRPr="00CC5257">
              <w:t>Řešení nesmí nainstalovat žádné agenty v místních instancích Exchange a Sharepoint. Využívá interní aplikační API.</w:t>
            </w:r>
          </w:p>
        </w:tc>
        <w:tc>
          <w:tcPr>
            <w:tcW w:w="3780" w:type="dxa"/>
            <w:noWrap/>
            <w:hideMark/>
          </w:tcPr>
          <w:p w14:paraId="4770C827" w14:textId="77777777" w:rsidR="00CC5257" w:rsidRPr="00CC5257" w:rsidRDefault="00CC5257">
            <w:r w:rsidRPr="00CC5257">
              <w:t> </w:t>
            </w:r>
          </w:p>
        </w:tc>
        <w:tc>
          <w:tcPr>
            <w:tcW w:w="3780" w:type="dxa"/>
            <w:noWrap/>
            <w:hideMark/>
          </w:tcPr>
          <w:p w14:paraId="4CBB66C8" w14:textId="77777777" w:rsidR="00CC5257" w:rsidRPr="00CC5257" w:rsidRDefault="00CC5257">
            <w:r w:rsidRPr="00CC5257">
              <w:t> </w:t>
            </w:r>
          </w:p>
        </w:tc>
      </w:tr>
      <w:tr w:rsidR="00CC5257" w:rsidRPr="00CC5257" w14:paraId="610EE4B8" w14:textId="77777777" w:rsidTr="00CC5257">
        <w:trPr>
          <w:trHeight w:val="340"/>
        </w:trPr>
        <w:tc>
          <w:tcPr>
            <w:tcW w:w="11140" w:type="dxa"/>
            <w:hideMark/>
          </w:tcPr>
          <w:p w14:paraId="09C3C8DF" w14:textId="77777777" w:rsidR="00CC5257" w:rsidRPr="00CC5257" w:rsidRDefault="00CC5257">
            <w:r w:rsidRPr="00CC5257">
              <w:t>Řešení nesmí vyžadovat vytváření dalších komponent / agentů na straně Office365.</w:t>
            </w:r>
          </w:p>
        </w:tc>
        <w:tc>
          <w:tcPr>
            <w:tcW w:w="3780" w:type="dxa"/>
            <w:noWrap/>
            <w:hideMark/>
          </w:tcPr>
          <w:p w14:paraId="36FDC344" w14:textId="77777777" w:rsidR="00CC5257" w:rsidRPr="00CC5257" w:rsidRDefault="00CC5257">
            <w:r w:rsidRPr="00CC5257">
              <w:t> </w:t>
            </w:r>
          </w:p>
        </w:tc>
        <w:tc>
          <w:tcPr>
            <w:tcW w:w="3780" w:type="dxa"/>
            <w:noWrap/>
            <w:hideMark/>
          </w:tcPr>
          <w:p w14:paraId="4038E0A5" w14:textId="77777777" w:rsidR="00CC5257" w:rsidRPr="00CC5257" w:rsidRDefault="00CC5257">
            <w:r w:rsidRPr="00CC5257">
              <w:t> </w:t>
            </w:r>
          </w:p>
        </w:tc>
      </w:tr>
      <w:tr w:rsidR="00CC5257" w:rsidRPr="00CC5257" w14:paraId="4A55B3D0" w14:textId="77777777" w:rsidTr="00CC5257">
        <w:trPr>
          <w:trHeight w:val="340"/>
        </w:trPr>
        <w:tc>
          <w:tcPr>
            <w:tcW w:w="11140" w:type="dxa"/>
            <w:hideMark/>
          </w:tcPr>
          <w:p w14:paraId="13694B53" w14:textId="77777777" w:rsidR="00CC5257" w:rsidRPr="00CC5257" w:rsidRDefault="00CC5257">
            <w:r w:rsidRPr="00CC5257">
              <w:t>Řešení musí podporovat vícefaktorové ověřování (MFA)</w:t>
            </w:r>
          </w:p>
        </w:tc>
        <w:tc>
          <w:tcPr>
            <w:tcW w:w="3780" w:type="dxa"/>
            <w:noWrap/>
            <w:hideMark/>
          </w:tcPr>
          <w:p w14:paraId="497B78E2" w14:textId="77777777" w:rsidR="00CC5257" w:rsidRPr="00CC5257" w:rsidRDefault="00CC5257">
            <w:r w:rsidRPr="00CC5257">
              <w:t> </w:t>
            </w:r>
          </w:p>
        </w:tc>
        <w:tc>
          <w:tcPr>
            <w:tcW w:w="3780" w:type="dxa"/>
            <w:noWrap/>
            <w:hideMark/>
          </w:tcPr>
          <w:p w14:paraId="20D945C1" w14:textId="77777777" w:rsidR="00CC5257" w:rsidRPr="00CC5257" w:rsidRDefault="00CC5257">
            <w:r w:rsidRPr="00CC5257">
              <w:t> </w:t>
            </w:r>
          </w:p>
        </w:tc>
      </w:tr>
      <w:tr w:rsidR="00CC5257" w:rsidRPr="00CC5257" w14:paraId="6DBA67D7" w14:textId="77777777" w:rsidTr="00CC5257">
        <w:trPr>
          <w:trHeight w:val="340"/>
        </w:trPr>
        <w:tc>
          <w:tcPr>
            <w:tcW w:w="11140" w:type="dxa"/>
            <w:hideMark/>
          </w:tcPr>
          <w:p w14:paraId="54DFFCF7" w14:textId="77777777" w:rsidR="00CC5257" w:rsidRPr="00CC5257" w:rsidRDefault="00CC5257">
            <w:r w:rsidRPr="00CC5257">
              <w:t>Řešení musí být licencováno na uživatele.</w:t>
            </w:r>
          </w:p>
        </w:tc>
        <w:tc>
          <w:tcPr>
            <w:tcW w:w="3780" w:type="dxa"/>
            <w:noWrap/>
            <w:hideMark/>
          </w:tcPr>
          <w:p w14:paraId="2FF877BB" w14:textId="77777777" w:rsidR="00CC5257" w:rsidRPr="00CC5257" w:rsidRDefault="00CC5257">
            <w:r w:rsidRPr="00CC5257">
              <w:t> </w:t>
            </w:r>
          </w:p>
        </w:tc>
        <w:tc>
          <w:tcPr>
            <w:tcW w:w="3780" w:type="dxa"/>
            <w:noWrap/>
            <w:hideMark/>
          </w:tcPr>
          <w:p w14:paraId="6A161F44" w14:textId="77777777" w:rsidR="00CC5257" w:rsidRPr="00CC5257" w:rsidRDefault="00CC5257">
            <w:r w:rsidRPr="00CC5257">
              <w:t> </w:t>
            </w:r>
          </w:p>
        </w:tc>
      </w:tr>
      <w:tr w:rsidR="00CC5257" w:rsidRPr="00CC5257" w14:paraId="2E4E3E96" w14:textId="77777777" w:rsidTr="00CC5257">
        <w:trPr>
          <w:trHeight w:val="340"/>
        </w:trPr>
        <w:tc>
          <w:tcPr>
            <w:tcW w:w="11140" w:type="dxa"/>
            <w:hideMark/>
          </w:tcPr>
          <w:p w14:paraId="232E91C7" w14:textId="77777777" w:rsidR="00CC5257" w:rsidRPr="00CC5257" w:rsidRDefault="00CC5257">
            <w:r w:rsidRPr="00CC5257">
              <w:t>Řešení musí být licencováno v předplatném modelu.</w:t>
            </w:r>
          </w:p>
        </w:tc>
        <w:tc>
          <w:tcPr>
            <w:tcW w:w="3780" w:type="dxa"/>
            <w:noWrap/>
            <w:hideMark/>
          </w:tcPr>
          <w:p w14:paraId="4C9B3DB5" w14:textId="77777777" w:rsidR="00CC5257" w:rsidRPr="00CC5257" w:rsidRDefault="00CC5257">
            <w:r w:rsidRPr="00CC5257">
              <w:t> </w:t>
            </w:r>
          </w:p>
        </w:tc>
        <w:tc>
          <w:tcPr>
            <w:tcW w:w="3780" w:type="dxa"/>
            <w:noWrap/>
            <w:hideMark/>
          </w:tcPr>
          <w:p w14:paraId="7A9B2E5A" w14:textId="77777777" w:rsidR="00CC5257" w:rsidRPr="00CC5257" w:rsidRDefault="00CC5257">
            <w:r w:rsidRPr="00CC5257">
              <w:t> </w:t>
            </w:r>
          </w:p>
        </w:tc>
      </w:tr>
      <w:tr w:rsidR="00CC5257" w:rsidRPr="00CC5257" w14:paraId="51B5F43D" w14:textId="77777777" w:rsidTr="00CC5257">
        <w:trPr>
          <w:trHeight w:val="680"/>
        </w:trPr>
        <w:tc>
          <w:tcPr>
            <w:tcW w:w="11140" w:type="dxa"/>
            <w:hideMark/>
          </w:tcPr>
          <w:p w14:paraId="0AC3DF21" w14:textId="77777777" w:rsidR="00CC5257" w:rsidRPr="00CC5257" w:rsidRDefault="00CC5257">
            <w:r w:rsidRPr="00CC5257">
              <w:lastRenderedPageBreak/>
              <w:t>Řešení musí mít škálovatelnou architekturu (server pro správu, úložiště). Komponenty zálohovacího systému nemusí být dodatečně licencovány.</w:t>
            </w:r>
          </w:p>
        </w:tc>
        <w:tc>
          <w:tcPr>
            <w:tcW w:w="3780" w:type="dxa"/>
            <w:noWrap/>
            <w:hideMark/>
          </w:tcPr>
          <w:p w14:paraId="1753B847" w14:textId="77777777" w:rsidR="00CC5257" w:rsidRPr="00CC5257" w:rsidRDefault="00CC5257">
            <w:r w:rsidRPr="00CC5257">
              <w:t> </w:t>
            </w:r>
          </w:p>
        </w:tc>
        <w:tc>
          <w:tcPr>
            <w:tcW w:w="3780" w:type="dxa"/>
            <w:noWrap/>
            <w:hideMark/>
          </w:tcPr>
          <w:p w14:paraId="01D1339E" w14:textId="77777777" w:rsidR="00CC5257" w:rsidRPr="00CC5257" w:rsidRDefault="00CC5257">
            <w:r w:rsidRPr="00CC5257">
              <w:t> </w:t>
            </w:r>
          </w:p>
        </w:tc>
      </w:tr>
      <w:tr w:rsidR="00CC5257" w:rsidRPr="00CC5257" w14:paraId="763D88E3" w14:textId="77777777" w:rsidTr="00CC5257">
        <w:trPr>
          <w:trHeight w:val="340"/>
        </w:trPr>
        <w:tc>
          <w:tcPr>
            <w:tcW w:w="11140" w:type="dxa"/>
            <w:hideMark/>
          </w:tcPr>
          <w:p w14:paraId="4C6798B6" w14:textId="77777777" w:rsidR="00CC5257" w:rsidRPr="00CC5257" w:rsidRDefault="00CC5257">
            <w:r w:rsidRPr="00CC5257">
              <w:t>Řešení musí ukládat data v nativním formátu Microsoft Exchange.</w:t>
            </w:r>
          </w:p>
        </w:tc>
        <w:tc>
          <w:tcPr>
            <w:tcW w:w="3780" w:type="dxa"/>
            <w:noWrap/>
            <w:hideMark/>
          </w:tcPr>
          <w:p w14:paraId="3D5A52B6" w14:textId="77777777" w:rsidR="00CC5257" w:rsidRPr="00CC5257" w:rsidRDefault="00CC5257">
            <w:r w:rsidRPr="00CC5257">
              <w:t> </w:t>
            </w:r>
          </w:p>
        </w:tc>
        <w:tc>
          <w:tcPr>
            <w:tcW w:w="3780" w:type="dxa"/>
            <w:noWrap/>
            <w:hideMark/>
          </w:tcPr>
          <w:p w14:paraId="4D23ECBA" w14:textId="77777777" w:rsidR="00CC5257" w:rsidRPr="00CC5257" w:rsidRDefault="00CC5257">
            <w:r w:rsidRPr="00CC5257">
              <w:t> </w:t>
            </w:r>
          </w:p>
        </w:tc>
      </w:tr>
      <w:tr w:rsidR="00CC5257" w:rsidRPr="00CC5257" w14:paraId="3445F824" w14:textId="77777777" w:rsidTr="00CC5257">
        <w:trPr>
          <w:trHeight w:val="680"/>
        </w:trPr>
        <w:tc>
          <w:tcPr>
            <w:tcW w:w="11140" w:type="dxa"/>
            <w:hideMark/>
          </w:tcPr>
          <w:p w14:paraId="31B96D31" w14:textId="77777777" w:rsidR="00CC5257" w:rsidRPr="00CC5257" w:rsidRDefault="00CC5257">
            <w:r w:rsidRPr="00CC5257">
              <w:t>Řešení musí umožňovat ukládání dat na místní zdroje nebo na objektové úložiště (Microsoft Azure Blob, AWS S3 a další kompatibilní s protokolem S3)</w:t>
            </w:r>
          </w:p>
        </w:tc>
        <w:tc>
          <w:tcPr>
            <w:tcW w:w="3780" w:type="dxa"/>
            <w:noWrap/>
            <w:hideMark/>
          </w:tcPr>
          <w:p w14:paraId="319ECD0A" w14:textId="77777777" w:rsidR="00CC5257" w:rsidRPr="00CC5257" w:rsidRDefault="00CC5257">
            <w:r w:rsidRPr="00CC5257">
              <w:t> </w:t>
            </w:r>
          </w:p>
        </w:tc>
        <w:tc>
          <w:tcPr>
            <w:tcW w:w="3780" w:type="dxa"/>
            <w:noWrap/>
            <w:hideMark/>
          </w:tcPr>
          <w:p w14:paraId="342CC31D" w14:textId="77777777" w:rsidR="00CC5257" w:rsidRPr="00CC5257" w:rsidRDefault="00CC5257">
            <w:r w:rsidRPr="00CC5257">
              <w:t> </w:t>
            </w:r>
          </w:p>
        </w:tc>
      </w:tr>
      <w:tr w:rsidR="00CC5257" w:rsidRPr="00CC5257" w14:paraId="62C8F713" w14:textId="77777777" w:rsidTr="00CC5257">
        <w:trPr>
          <w:trHeight w:val="680"/>
        </w:trPr>
        <w:tc>
          <w:tcPr>
            <w:tcW w:w="11140" w:type="dxa"/>
            <w:hideMark/>
          </w:tcPr>
          <w:p w14:paraId="7B4D574A" w14:textId="77777777" w:rsidR="00CC5257" w:rsidRPr="00CC5257" w:rsidRDefault="00CC5257">
            <w:r w:rsidRPr="00CC5257">
              <w:t>Řešení musí umožňovat podrobné obnovy všech položek Microsoft Exchange (poštovní schránka, pošta, kontakt, položka kalendáře, položka složky „Trvale smazané položky“).</w:t>
            </w:r>
          </w:p>
        </w:tc>
        <w:tc>
          <w:tcPr>
            <w:tcW w:w="3780" w:type="dxa"/>
            <w:noWrap/>
            <w:hideMark/>
          </w:tcPr>
          <w:p w14:paraId="611AA665" w14:textId="77777777" w:rsidR="00CC5257" w:rsidRPr="00CC5257" w:rsidRDefault="00CC5257">
            <w:r w:rsidRPr="00CC5257">
              <w:t> </w:t>
            </w:r>
          </w:p>
        </w:tc>
        <w:tc>
          <w:tcPr>
            <w:tcW w:w="3780" w:type="dxa"/>
            <w:noWrap/>
            <w:hideMark/>
          </w:tcPr>
          <w:p w14:paraId="566E5BEA" w14:textId="77777777" w:rsidR="00CC5257" w:rsidRPr="00CC5257" w:rsidRDefault="00CC5257">
            <w:r w:rsidRPr="00CC5257">
              <w:t> </w:t>
            </w:r>
          </w:p>
        </w:tc>
      </w:tr>
      <w:tr w:rsidR="00CC5257" w:rsidRPr="00CC5257" w14:paraId="2D4F7748" w14:textId="77777777" w:rsidTr="00CC5257">
        <w:trPr>
          <w:trHeight w:val="340"/>
        </w:trPr>
        <w:tc>
          <w:tcPr>
            <w:tcW w:w="11140" w:type="dxa"/>
            <w:hideMark/>
          </w:tcPr>
          <w:p w14:paraId="52BB704A" w14:textId="77777777" w:rsidR="00CC5257" w:rsidRPr="00CC5257" w:rsidRDefault="00CC5257">
            <w:r w:rsidRPr="00CC5257">
              <w:t>Řešení musí umožňovat granulární obnovu všech prvků Microsoft Sharepoint. Možnost obnovit položky, weby.</w:t>
            </w:r>
          </w:p>
        </w:tc>
        <w:tc>
          <w:tcPr>
            <w:tcW w:w="3780" w:type="dxa"/>
            <w:noWrap/>
            <w:hideMark/>
          </w:tcPr>
          <w:p w14:paraId="7BCF9F4B" w14:textId="77777777" w:rsidR="00CC5257" w:rsidRPr="00CC5257" w:rsidRDefault="00CC5257">
            <w:r w:rsidRPr="00CC5257">
              <w:t> </w:t>
            </w:r>
          </w:p>
        </w:tc>
        <w:tc>
          <w:tcPr>
            <w:tcW w:w="3780" w:type="dxa"/>
            <w:noWrap/>
            <w:hideMark/>
          </w:tcPr>
          <w:p w14:paraId="671F0D56" w14:textId="77777777" w:rsidR="00CC5257" w:rsidRPr="00CC5257" w:rsidRDefault="00CC5257">
            <w:r w:rsidRPr="00CC5257">
              <w:t> </w:t>
            </w:r>
          </w:p>
        </w:tc>
      </w:tr>
      <w:tr w:rsidR="00CC5257" w:rsidRPr="00CC5257" w14:paraId="45E39EBF" w14:textId="77777777" w:rsidTr="00CC5257">
        <w:trPr>
          <w:trHeight w:val="680"/>
        </w:trPr>
        <w:tc>
          <w:tcPr>
            <w:tcW w:w="11140" w:type="dxa"/>
            <w:hideMark/>
          </w:tcPr>
          <w:p w14:paraId="5C9FD33B" w14:textId="77777777" w:rsidR="00CC5257" w:rsidRPr="00CC5257" w:rsidRDefault="00CC5257">
            <w:r w:rsidRPr="00CC5257">
              <w:t>Řešení musí umožňovat granulární obnovu všech součástí Microsoft OneDrive. Možnost obnovit soubory, složky nebo celé účty OneDrive</w:t>
            </w:r>
          </w:p>
        </w:tc>
        <w:tc>
          <w:tcPr>
            <w:tcW w:w="3780" w:type="dxa"/>
            <w:noWrap/>
            <w:hideMark/>
          </w:tcPr>
          <w:p w14:paraId="7A77629C" w14:textId="77777777" w:rsidR="00CC5257" w:rsidRPr="00CC5257" w:rsidRDefault="00CC5257">
            <w:r w:rsidRPr="00CC5257">
              <w:t> </w:t>
            </w:r>
          </w:p>
        </w:tc>
        <w:tc>
          <w:tcPr>
            <w:tcW w:w="3780" w:type="dxa"/>
            <w:noWrap/>
            <w:hideMark/>
          </w:tcPr>
          <w:p w14:paraId="510EF541" w14:textId="77777777" w:rsidR="00CC5257" w:rsidRPr="00CC5257" w:rsidRDefault="00CC5257">
            <w:r w:rsidRPr="00CC5257">
              <w:t> </w:t>
            </w:r>
          </w:p>
        </w:tc>
      </w:tr>
      <w:tr w:rsidR="00CC5257" w:rsidRPr="00CC5257" w14:paraId="16C11C66" w14:textId="77777777" w:rsidTr="00CC5257">
        <w:trPr>
          <w:trHeight w:val="680"/>
        </w:trPr>
        <w:tc>
          <w:tcPr>
            <w:tcW w:w="11140" w:type="dxa"/>
            <w:hideMark/>
          </w:tcPr>
          <w:p w14:paraId="484DE0F3" w14:textId="77777777" w:rsidR="00CC5257" w:rsidRPr="00CC5257" w:rsidRDefault="00CC5257">
            <w:r w:rsidRPr="00CC5257">
              <w:t>Řešení musí umožnit obnovení položek do složky Doručená pošta v Office 365, místní složky Doručená pošta Exchange, soubor a ve formátu PST.</w:t>
            </w:r>
          </w:p>
        </w:tc>
        <w:tc>
          <w:tcPr>
            <w:tcW w:w="3780" w:type="dxa"/>
            <w:noWrap/>
            <w:hideMark/>
          </w:tcPr>
          <w:p w14:paraId="6EBBA2C4" w14:textId="77777777" w:rsidR="00CC5257" w:rsidRPr="00CC5257" w:rsidRDefault="00CC5257">
            <w:r w:rsidRPr="00CC5257">
              <w:t> </w:t>
            </w:r>
          </w:p>
        </w:tc>
        <w:tc>
          <w:tcPr>
            <w:tcW w:w="3780" w:type="dxa"/>
            <w:noWrap/>
            <w:hideMark/>
          </w:tcPr>
          <w:p w14:paraId="2F6026E6" w14:textId="77777777" w:rsidR="00CC5257" w:rsidRPr="00CC5257" w:rsidRDefault="00CC5257">
            <w:r w:rsidRPr="00CC5257">
              <w:t> </w:t>
            </w:r>
          </w:p>
        </w:tc>
      </w:tr>
      <w:tr w:rsidR="00CC5257" w:rsidRPr="00CC5257" w14:paraId="759EEC64" w14:textId="77777777" w:rsidTr="00CC5257">
        <w:trPr>
          <w:trHeight w:val="680"/>
        </w:trPr>
        <w:tc>
          <w:tcPr>
            <w:tcW w:w="11140" w:type="dxa"/>
            <w:hideMark/>
          </w:tcPr>
          <w:p w14:paraId="096B3C8A" w14:textId="77777777" w:rsidR="00CC5257" w:rsidRPr="00CC5257" w:rsidRDefault="00CC5257">
            <w:r w:rsidRPr="00CC5257">
              <w:t>Řešení musí umožňovat hybridní scénáře zálohování / obnovy (např. Zálohování provedené z lokální instance Exchange, obnovení na Exchange Online v Office365).</w:t>
            </w:r>
          </w:p>
        </w:tc>
        <w:tc>
          <w:tcPr>
            <w:tcW w:w="3780" w:type="dxa"/>
            <w:noWrap/>
            <w:hideMark/>
          </w:tcPr>
          <w:p w14:paraId="71FE388C" w14:textId="77777777" w:rsidR="00CC5257" w:rsidRPr="00CC5257" w:rsidRDefault="00CC5257">
            <w:r w:rsidRPr="00CC5257">
              <w:t> </w:t>
            </w:r>
          </w:p>
        </w:tc>
        <w:tc>
          <w:tcPr>
            <w:tcW w:w="3780" w:type="dxa"/>
            <w:noWrap/>
            <w:hideMark/>
          </w:tcPr>
          <w:p w14:paraId="40CC3876" w14:textId="77777777" w:rsidR="00CC5257" w:rsidRPr="00CC5257" w:rsidRDefault="00CC5257">
            <w:r w:rsidRPr="00CC5257">
              <w:t> </w:t>
            </w:r>
          </w:p>
        </w:tc>
      </w:tr>
      <w:tr w:rsidR="00CC5257" w:rsidRPr="00CC5257" w14:paraId="632586AE" w14:textId="77777777" w:rsidTr="00CC5257">
        <w:trPr>
          <w:trHeight w:val="340"/>
        </w:trPr>
        <w:tc>
          <w:tcPr>
            <w:tcW w:w="11140" w:type="dxa"/>
            <w:hideMark/>
          </w:tcPr>
          <w:p w14:paraId="6CDFBD40" w14:textId="77777777" w:rsidR="00CC5257" w:rsidRPr="00CC5257" w:rsidRDefault="00CC5257">
            <w:r w:rsidRPr="00CC5257">
              <w:t>Řešení musí umožňovat podrobné vyhledávání zabezpečených dat (eDiscovery)</w:t>
            </w:r>
          </w:p>
        </w:tc>
        <w:tc>
          <w:tcPr>
            <w:tcW w:w="3780" w:type="dxa"/>
            <w:noWrap/>
            <w:hideMark/>
          </w:tcPr>
          <w:p w14:paraId="5E6C2314" w14:textId="77777777" w:rsidR="00CC5257" w:rsidRPr="00CC5257" w:rsidRDefault="00CC5257">
            <w:r w:rsidRPr="00CC5257">
              <w:t> </w:t>
            </w:r>
          </w:p>
        </w:tc>
        <w:tc>
          <w:tcPr>
            <w:tcW w:w="3780" w:type="dxa"/>
            <w:noWrap/>
            <w:hideMark/>
          </w:tcPr>
          <w:p w14:paraId="758AA695" w14:textId="77777777" w:rsidR="00CC5257" w:rsidRPr="00CC5257" w:rsidRDefault="00CC5257">
            <w:r w:rsidRPr="00CC5257">
              <w:t> </w:t>
            </w:r>
          </w:p>
        </w:tc>
      </w:tr>
      <w:tr w:rsidR="00CC5257" w:rsidRPr="00CC5257" w14:paraId="1C403A57" w14:textId="77777777" w:rsidTr="00CC5257">
        <w:trPr>
          <w:trHeight w:val="340"/>
        </w:trPr>
        <w:tc>
          <w:tcPr>
            <w:tcW w:w="11140" w:type="dxa"/>
            <w:hideMark/>
          </w:tcPr>
          <w:p w14:paraId="31ACB86C" w14:textId="77777777" w:rsidR="00CC5257" w:rsidRPr="00CC5257" w:rsidRDefault="00CC5257">
            <w:r w:rsidRPr="00CC5257">
              <w:t>Řešení musí být schopno integrace s dalšími řešeními přes PowerShell a RESTful API.</w:t>
            </w:r>
          </w:p>
        </w:tc>
        <w:tc>
          <w:tcPr>
            <w:tcW w:w="3780" w:type="dxa"/>
            <w:noWrap/>
            <w:hideMark/>
          </w:tcPr>
          <w:p w14:paraId="4A2BE0B3" w14:textId="77777777" w:rsidR="00CC5257" w:rsidRPr="00CC5257" w:rsidRDefault="00CC5257">
            <w:r w:rsidRPr="00CC5257">
              <w:t> </w:t>
            </w:r>
          </w:p>
        </w:tc>
        <w:tc>
          <w:tcPr>
            <w:tcW w:w="3780" w:type="dxa"/>
            <w:noWrap/>
            <w:hideMark/>
          </w:tcPr>
          <w:p w14:paraId="10580839" w14:textId="77777777" w:rsidR="00CC5257" w:rsidRPr="00CC5257" w:rsidRDefault="00CC5257">
            <w:r w:rsidRPr="00CC5257">
              <w:t> </w:t>
            </w:r>
          </w:p>
        </w:tc>
      </w:tr>
      <w:tr w:rsidR="00CC5257" w:rsidRPr="00CC5257" w14:paraId="3C72B254" w14:textId="77777777" w:rsidTr="00CC5257">
        <w:trPr>
          <w:trHeight w:val="360"/>
        </w:trPr>
        <w:tc>
          <w:tcPr>
            <w:tcW w:w="11140" w:type="dxa"/>
            <w:hideMark/>
          </w:tcPr>
          <w:p w14:paraId="670AE7F5" w14:textId="77777777" w:rsidR="00CC5257" w:rsidRPr="00CC5257" w:rsidRDefault="00CC5257">
            <w:r w:rsidRPr="00CC5257">
              <w:t>Řešení musí být integrováno s centrálním záložním systémem</w:t>
            </w:r>
          </w:p>
        </w:tc>
        <w:tc>
          <w:tcPr>
            <w:tcW w:w="3780" w:type="dxa"/>
            <w:noWrap/>
            <w:hideMark/>
          </w:tcPr>
          <w:p w14:paraId="28717F5E" w14:textId="77777777" w:rsidR="00CC5257" w:rsidRPr="00CC5257" w:rsidRDefault="00CC5257">
            <w:r w:rsidRPr="00CC5257">
              <w:t> </w:t>
            </w:r>
          </w:p>
        </w:tc>
        <w:tc>
          <w:tcPr>
            <w:tcW w:w="3780" w:type="dxa"/>
            <w:noWrap/>
            <w:hideMark/>
          </w:tcPr>
          <w:p w14:paraId="252FF910" w14:textId="77777777" w:rsidR="00CC5257" w:rsidRPr="00CC5257" w:rsidRDefault="00CC5257">
            <w:r w:rsidRPr="00CC5257">
              <w:t> </w:t>
            </w:r>
          </w:p>
        </w:tc>
      </w:tr>
    </w:tbl>
    <w:p w14:paraId="65912F4B" w14:textId="77777777" w:rsidR="007554C4" w:rsidRDefault="007554C4" w:rsidP="007554C4"/>
    <w:p w14:paraId="19A94000" w14:textId="1464F38E" w:rsidR="00A53932" w:rsidRDefault="00A53932" w:rsidP="003846BC">
      <w:pPr>
        <w:rPr>
          <w:rFonts w:cs="Arial"/>
          <w:szCs w:val="20"/>
        </w:rPr>
      </w:pPr>
    </w:p>
    <w:p w14:paraId="7FE04D60" w14:textId="5039B636" w:rsidR="00A53932" w:rsidRDefault="00A53932" w:rsidP="003846BC">
      <w:pPr>
        <w:rPr>
          <w:rFonts w:cs="Arial"/>
          <w:szCs w:val="20"/>
        </w:rPr>
      </w:pPr>
    </w:p>
    <w:p w14:paraId="511016A6" w14:textId="77026A38" w:rsidR="00A53932" w:rsidRDefault="00A53932" w:rsidP="003846BC">
      <w:pPr>
        <w:rPr>
          <w:rFonts w:cs="Arial"/>
          <w:szCs w:val="20"/>
        </w:rPr>
      </w:pPr>
    </w:p>
    <w:p w14:paraId="3D4AE9FE" w14:textId="77777777" w:rsidR="00947354" w:rsidRDefault="00947354">
      <w:pPr>
        <w:spacing w:line="276" w:lineRule="auto"/>
        <w:jc w:val="left"/>
        <w:rPr>
          <w:rFonts w:cs="Arial"/>
          <w:b/>
          <w:szCs w:val="20"/>
        </w:rPr>
      </w:pPr>
      <w:r>
        <w:rPr>
          <w:rFonts w:cs="Arial"/>
          <w:b/>
          <w:szCs w:val="20"/>
        </w:rPr>
        <w:br w:type="page"/>
      </w:r>
    </w:p>
    <w:p w14:paraId="064442A2" w14:textId="577F8406" w:rsidR="008945E7" w:rsidRPr="007E1CE9" w:rsidRDefault="007975E5" w:rsidP="003846BC">
      <w:pPr>
        <w:rPr>
          <w:rFonts w:cs="Arial"/>
          <w:b/>
          <w:szCs w:val="20"/>
        </w:rPr>
      </w:pPr>
      <w:r w:rsidRPr="008945E7">
        <w:rPr>
          <w:rFonts w:cs="Arial"/>
          <w:b/>
          <w:noProof/>
          <w:szCs w:val="20"/>
          <w:lang w:eastAsia="cs-CZ"/>
        </w:rPr>
        <w:lastRenderedPageBreak/>
        <w:drawing>
          <wp:anchor distT="0" distB="0" distL="114300" distR="114300" simplePos="0" relativeHeight="251658240" behindDoc="0" locked="0" layoutInCell="1" allowOverlap="1" wp14:anchorId="75DDB3EF" wp14:editId="0AE1C4EA">
            <wp:simplePos x="0" y="0"/>
            <wp:positionH relativeFrom="margin">
              <wp:align>center</wp:align>
            </wp:positionH>
            <wp:positionV relativeFrom="paragraph">
              <wp:posOffset>3601720</wp:posOffset>
            </wp:positionV>
            <wp:extent cx="8679180" cy="1896110"/>
            <wp:effectExtent l="635" t="0" r="0" b="0"/>
            <wp:wrapTopAndBottom/>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rot="5400000">
                      <a:off x="0" y="0"/>
                      <a:ext cx="8679180" cy="1896110"/>
                    </a:xfrm>
                    <a:prstGeom prst="rect">
                      <a:avLst/>
                    </a:prstGeom>
                  </pic:spPr>
                </pic:pic>
              </a:graphicData>
            </a:graphic>
            <wp14:sizeRelH relativeFrom="page">
              <wp14:pctWidth>0</wp14:pctWidth>
            </wp14:sizeRelH>
            <wp14:sizeRelV relativeFrom="page">
              <wp14:pctHeight>0</wp14:pctHeight>
            </wp14:sizeRelV>
          </wp:anchor>
        </w:drawing>
      </w:r>
      <w:r w:rsidR="00A53932">
        <w:rPr>
          <w:rFonts w:cs="Arial"/>
          <w:b/>
          <w:szCs w:val="20"/>
        </w:rPr>
        <w:t>Příloha č. 2 – cenová tabulka</w:t>
      </w:r>
    </w:p>
    <w:sectPr w:rsidR="008945E7" w:rsidRPr="007E1CE9" w:rsidSect="005D5A28">
      <w:footerReference w:type="default" r:id="rId12"/>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B207A" w16cex:dateUtc="2020-12-21T12:24:00Z"/>
  <w16cex:commentExtensible w16cex:durableId="238B208C" w16cex:dateUtc="2020-12-21T12:24:00Z"/>
  <w16cex:commentExtensible w16cex:durableId="238B35FF" w16cex:dateUtc="2020-12-21T13:55:00Z"/>
  <w16cex:commentExtensible w16cex:durableId="238B36F3" w16cex:dateUtc="2020-12-21T14:00:00Z"/>
  <w16cex:commentExtensible w16cex:durableId="238B3746" w16cex:dateUtc="2020-12-21T14:01:00Z"/>
  <w16cex:commentExtensible w16cex:durableId="238B375A" w16cex:dateUtc="2020-12-21T14:01:00Z"/>
  <w16cex:commentExtensible w16cex:durableId="238B379F" w16cex:dateUtc="2020-12-21T14:02:00Z"/>
  <w16cex:commentExtensible w16cex:durableId="238B37DE" w16cex:dateUtc="2020-12-21T14:03:00Z"/>
  <w16cex:commentExtensible w16cex:durableId="238B38E9" w16cex:dateUtc="2020-12-21T14: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4FA9AB5" w16cid:durableId="238B1F5D"/>
  <w16cid:commentId w16cid:paraId="2D0AFA86" w16cid:durableId="238B207A"/>
  <w16cid:commentId w16cid:paraId="264A8D81" w16cid:durableId="238B1F5E"/>
  <w16cid:commentId w16cid:paraId="76FC2D6A" w16cid:durableId="238B208C"/>
  <w16cid:commentId w16cid:paraId="0753812C" w16cid:durableId="238B351B"/>
  <w16cid:commentId w16cid:paraId="17D5E419" w16cid:durableId="238C579D"/>
  <w16cid:commentId w16cid:paraId="382CB8C6" w16cid:durableId="238B1F60"/>
  <w16cid:commentId w16cid:paraId="16344161" w16cid:durableId="238B35FF"/>
  <w16cid:commentId w16cid:paraId="23533A5D" w16cid:durableId="238B1F61"/>
  <w16cid:commentId w16cid:paraId="683D66F2" w16cid:durableId="238B36F3"/>
  <w16cid:commentId w16cid:paraId="596450CD" w16cid:durableId="238B1F62"/>
  <w16cid:commentId w16cid:paraId="5246E71E" w16cid:durableId="238B3746"/>
  <w16cid:commentId w16cid:paraId="162A5419" w16cid:durableId="238B1F63"/>
  <w16cid:commentId w16cid:paraId="25A68985" w16cid:durableId="238B375A"/>
  <w16cid:commentId w16cid:paraId="6079C8CB" w16cid:durableId="238B1F64"/>
  <w16cid:commentId w16cid:paraId="774982C2" w16cid:durableId="238B379F"/>
  <w16cid:commentId w16cid:paraId="653B6A10" w16cid:durableId="238B1F65"/>
  <w16cid:commentId w16cid:paraId="5E4BC00D" w16cid:durableId="238B37DE"/>
  <w16cid:commentId w16cid:paraId="628664B5" w16cid:durableId="238B1F66"/>
  <w16cid:commentId w16cid:paraId="3F318284" w16cid:durableId="238B38E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BDBB17" w14:textId="77777777" w:rsidR="00A81A9B" w:rsidRDefault="00A81A9B" w:rsidP="00B265C8">
      <w:pPr>
        <w:spacing w:after="0"/>
      </w:pPr>
      <w:r>
        <w:separator/>
      </w:r>
    </w:p>
  </w:endnote>
  <w:endnote w:type="continuationSeparator" w:id="0">
    <w:p w14:paraId="6AC57315" w14:textId="77777777" w:rsidR="00A81A9B" w:rsidRDefault="00A81A9B" w:rsidP="00B265C8">
      <w:pPr>
        <w:spacing w:after="0"/>
      </w:pPr>
      <w:r>
        <w:continuationSeparator/>
      </w:r>
    </w:p>
  </w:endnote>
  <w:endnote w:type="continuationNotice" w:id="1">
    <w:p w14:paraId="39EFE1BC" w14:textId="77777777" w:rsidR="00A81A9B" w:rsidRDefault="00A81A9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OCR A Extended">
    <w:panose1 w:val="02010509020102010303"/>
    <w:charset w:val="00"/>
    <w:family w:val="moder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7420799"/>
      <w:docPartObj>
        <w:docPartGallery w:val="Page Numbers (Bottom of Page)"/>
        <w:docPartUnique/>
      </w:docPartObj>
    </w:sdtPr>
    <w:sdtEndPr/>
    <w:sdtContent>
      <w:p w14:paraId="083EF204" w14:textId="7C3B6284" w:rsidR="00DA0EA6" w:rsidRDefault="00DA0EA6">
        <w:pPr>
          <w:pStyle w:val="Zpat"/>
          <w:jc w:val="center"/>
        </w:pPr>
        <w:r>
          <w:fldChar w:fldCharType="begin"/>
        </w:r>
        <w:r>
          <w:instrText>PAGE   \* MERGEFORMAT</w:instrText>
        </w:r>
        <w:r>
          <w:fldChar w:fldCharType="separate"/>
        </w:r>
        <w:r w:rsidR="00BB0827">
          <w:rPr>
            <w:noProof/>
          </w:rPr>
          <w:t>1</w:t>
        </w:r>
        <w:r>
          <w:fldChar w:fldCharType="end"/>
        </w:r>
      </w:p>
    </w:sdtContent>
  </w:sdt>
  <w:p w14:paraId="71D728D7" w14:textId="77777777" w:rsidR="00DA0EA6" w:rsidRDefault="00DA0EA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F9DF70" w14:textId="77777777" w:rsidR="00A81A9B" w:rsidRDefault="00A81A9B" w:rsidP="00B265C8">
      <w:pPr>
        <w:spacing w:after="0"/>
      </w:pPr>
      <w:r>
        <w:separator/>
      </w:r>
    </w:p>
  </w:footnote>
  <w:footnote w:type="continuationSeparator" w:id="0">
    <w:p w14:paraId="25B677EA" w14:textId="77777777" w:rsidR="00A81A9B" w:rsidRDefault="00A81A9B" w:rsidP="00B265C8">
      <w:pPr>
        <w:spacing w:after="0"/>
      </w:pPr>
      <w:r>
        <w:continuationSeparator/>
      </w:r>
    </w:p>
  </w:footnote>
  <w:footnote w:type="continuationNotice" w:id="1">
    <w:p w14:paraId="2F92F3FE" w14:textId="77777777" w:rsidR="00A81A9B" w:rsidRDefault="00A81A9B">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26A50D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4986536"/>
    <w:multiLevelType w:val="hybridMultilevel"/>
    <w:tmpl w:val="9398C0EE"/>
    <w:lvl w:ilvl="0" w:tplc="613CBBA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0B421A1B"/>
    <w:multiLevelType w:val="multilevel"/>
    <w:tmpl w:val="F2809A3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7DF04B2"/>
    <w:multiLevelType w:val="hybridMultilevel"/>
    <w:tmpl w:val="271A7250"/>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1DB849F0"/>
    <w:multiLevelType w:val="multilevel"/>
    <w:tmpl w:val="5E86C6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79B2AF7"/>
    <w:multiLevelType w:val="hybridMultilevel"/>
    <w:tmpl w:val="FCE43ABA"/>
    <w:lvl w:ilvl="0" w:tplc="0405000F">
      <w:start w:val="1"/>
      <w:numFmt w:val="decimal"/>
      <w:lvlText w:val="%1."/>
      <w:lvlJc w:val="left"/>
      <w:pPr>
        <w:ind w:left="107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0" w15:restartNumberingAfterBreak="0">
    <w:nsid w:val="27BD35A7"/>
    <w:multiLevelType w:val="multilevel"/>
    <w:tmpl w:val="AA2250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7E2383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9782C74"/>
    <w:multiLevelType w:val="hybridMultilevel"/>
    <w:tmpl w:val="0DBE6CCC"/>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F796FBA"/>
    <w:multiLevelType w:val="hybridMultilevel"/>
    <w:tmpl w:val="FD96251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98D0A4E"/>
    <w:multiLevelType w:val="multilevel"/>
    <w:tmpl w:val="5802CDD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3B6640D"/>
    <w:multiLevelType w:val="hybridMultilevel"/>
    <w:tmpl w:val="13E45370"/>
    <w:lvl w:ilvl="0" w:tplc="4EBC15A4">
      <w:numFmt w:val="bullet"/>
      <w:pStyle w:val="odstavec1a"/>
      <w:lvlText w:val="-"/>
      <w:lvlJc w:val="left"/>
      <w:pPr>
        <w:ind w:left="720" w:hanging="360"/>
      </w:pPr>
      <w:rPr>
        <w:rFonts w:ascii="Arial" w:eastAsia="OCR A Extended" w:hAnsi="Arial" w:cs="Arial" w:hint="default"/>
      </w:rPr>
    </w:lvl>
    <w:lvl w:ilvl="1" w:tplc="7FD0EEC8">
      <w:start w:val="1"/>
      <w:numFmt w:val="bullet"/>
      <w:lvlText w:val=""/>
      <w:lvlJc w:val="left"/>
      <w:pPr>
        <w:ind w:left="1440" w:hanging="360"/>
      </w:pPr>
      <w:rPr>
        <w:rFonts w:ascii="Symbol" w:hAnsi="Symbol" w:hint="default"/>
      </w:rPr>
    </w:lvl>
    <w:lvl w:ilvl="2" w:tplc="F4062A8E">
      <w:start w:val="1"/>
      <w:numFmt w:val="decimal"/>
      <w:lvlText w:val="%3."/>
      <w:lvlJc w:val="left"/>
      <w:pPr>
        <w:tabs>
          <w:tab w:val="num" w:pos="2160"/>
        </w:tabs>
        <w:ind w:left="2160" w:hanging="360"/>
      </w:pPr>
      <w:rPr>
        <w:rFonts w:hint="default"/>
      </w:rPr>
    </w:lvl>
    <w:lvl w:ilvl="3" w:tplc="F1723AAC" w:tentative="1">
      <w:start w:val="1"/>
      <w:numFmt w:val="bullet"/>
      <w:lvlText w:val=""/>
      <w:lvlJc w:val="left"/>
      <w:pPr>
        <w:ind w:left="2880" w:hanging="360"/>
      </w:pPr>
      <w:rPr>
        <w:rFonts w:ascii="Symbol" w:hAnsi="Symbol" w:hint="default"/>
      </w:rPr>
    </w:lvl>
    <w:lvl w:ilvl="4" w:tplc="380EEC42" w:tentative="1">
      <w:start w:val="1"/>
      <w:numFmt w:val="bullet"/>
      <w:lvlText w:val="o"/>
      <w:lvlJc w:val="left"/>
      <w:pPr>
        <w:ind w:left="3600" w:hanging="360"/>
      </w:pPr>
      <w:rPr>
        <w:rFonts w:ascii="Courier New" w:hAnsi="Courier New" w:cs="Courier New" w:hint="default"/>
      </w:rPr>
    </w:lvl>
    <w:lvl w:ilvl="5" w:tplc="20F2429A" w:tentative="1">
      <w:start w:val="1"/>
      <w:numFmt w:val="bullet"/>
      <w:lvlText w:val=""/>
      <w:lvlJc w:val="left"/>
      <w:pPr>
        <w:ind w:left="4320" w:hanging="360"/>
      </w:pPr>
      <w:rPr>
        <w:rFonts w:ascii="Wingdings" w:hAnsi="Wingdings" w:hint="default"/>
      </w:rPr>
    </w:lvl>
    <w:lvl w:ilvl="6" w:tplc="7C96E66C" w:tentative="1">
      <w:start w:val="1"/>
      <w:numFmt w:val="bullet"/>
      <w:lvlText w:val=""/>
      <w:lvlJc w:val="left"/>
      <w:pPr>
        <w:ind w:left="5040" w:hanging="360"/>
      </w:pPr>
      <w:rPr>
        <w:rFonts w:ascii="Symbol" w:hAnsi="Symbol" w:hint="default"/>
      </w:rPr>
    </w:lvl>
    <w:lvl w:ilvl="7" w:tplc="417ED1B2" w:tentative="1">
      <w:start w:val="1"/>
      <w:numFmt w:val="bullet"/>
      <w:lvlText w:val="o"/>
      <w:lvlJc w:val="left"/>
      <w:pPr>
        <w:ind w:left="5760" w:hanging="360"/>
      </w:pPr>
      <w:rPr>
        <w:rFonts w:ascii="Courier New" w:hAnsi="Courier New" w:cs="Courier New" w:hint="default"/>
      </w:rPr>
    </w:lvl>
    <w:lvl w:ilvl="8" w:tplc="2E5A7EEA" w:tentative="1">
      <w:start w:val="1"/>
      <w:numFmt w:val="bullet"/>
      <w:lvlText w:val=""/>
      <w:lvlJc w:val="left"/>
      <w:pPr>
        <w:ind w:left="6480" w:hanging="360"/>
      </w:pPr>
      <w:rPr>
        <w:rFonts w:ascii="Wingdings" w:hAnsi="Wingdings" w:hint="default"/>
      </w:rPr>
    </w:lvl>
  </w:abstractNum>
  <w:abstractNum w:abstractNumId="16" w15:restartNumberingAfterBreak="0">
    <w:nsid w:val="507568ED"/>
    <w:multiLevelType w:val="hybridMultilevel"/>
    <w:tmpl w:val="13983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8660F2"/>
    <w:multiLevelType w:val="multilevel"/>
    <w:tmpl w:val="2DD6E20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18E0AA4"/>
    <w:multiLevelType w:val="hybridMultilevel"/>
    <w:tmpl w:val="85F471E6"/>
    <w:lvl w:ilvl="0" w:tplc="E5D25E6A">
      <w:start w:val="1"/>
      <w:numFmt w:val="upperRoman"/>
      <w:lvlText w:val="Článek %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8447B9D"/>
    <w:multiLevelType w:val="hybridMultilevel"/>
    <w:tmpl w:val="3352493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C4C21CE"/>
    <w:multiLevelType w:val="multilevel"/>
    <w:tmpl w:val="CA2ECF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D5E2E1B"/>
    <w:multiLevelType w:val="hybridMultilevel"/>
    <w:tmpl w:val="B30C627E"/>
    <w:lvl w:ilvl="0" w:tplc="FF40FAC8">
      <w:start w:val="1"/>
      <w:numFmt w:val="decimal"/>
      <w:lvlText w:val="%1."/>
      <w:lvlJc w:val="left"/>
      <w:pPr>
        <w:ind w:left="454" w:hanging="94"/>
      </w:pPr>
      <w:rPr>
        <w:rFonts w:ascii="Arial" w:hAnsi="Arial" w:cs="Arial"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30165AA"/>
    <w:multiLevelType w:val="hybridMultilevel"/>
    <w:tmpl w:val="01684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BB147A"/>
    <w:multiLevelType w:val="multilevel"/>
    <w:tmpl w:val="1E0AD5B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6644BC6"/>
    <w:multiLevelType w:val="multilevel"/>
    <w:tmpl w:val="692634A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8D32E12"/>
    <w:multiLevelType w:val="multilevel"/>
    <w:tmpl w:val="8F90121A"/>
    <w:lvl w:ilvl="0">
      <w:start w:val="1"/>
      <w:numFmt w:val="decimal"/>
      <w:lvlText w:val="%1."/>
      <w:lvlJc w:val="left"/>
      <w:pPr>
        <w:tabs>
          <w:tab w:val="num" w:pos="0"/>
        </w:tabs>
        <w:ind w:left="283" w:hanging="283"/>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26" w15:restartNumberingAfterBreak="0">
    <w:nsid w:val="6B752AD2"/>
    <w:multiLevelType w:val="hybridMultilevel"/>
    <w:tmpl w:val="F628DDD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3DF7FA6"/>
    <w:multiLevelType w:val="hybridMultilevel"/>
    <w:tmpl w:val="D326D95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8E5320B"/>
    <w:multiLevelType w:val="multilevel"/>
    <w:tmpl w:val="5D8C4FCA"/>
    <w:lvl w:ilvl="0">
      <w:start w:val="1"/>
      <w:numFmt w:val="decimal"/>
      <w:lvlText w:val="%1."/>
      <w:lvlJc w:val="left"/>
      <w:pPr>
        <w:tabs>
          <w:tab w:val="num" w:pos="720"/>
        </w:tabs>
        <w:ind w:left="720" w:hanging="360"/>
      </w:pPr>
      <w:rPr>
        <w:rFonts w:cs="Times New Roman" w:hint="default"/>
        <w:i w:val="0"/>
      </w:rPr>
    </w:lvl>
    <w:lvl w:ilvl="1">
      <w:start w:val="2"/>
      <w:numFmt w:val="decimal"/>
      <w:isLgl/>
      <w:lvlText w:val="%1.%2."/>
      <w:lvlJc w:val="left"/>
      <w:pPr>
        <w:ind w:left="780" w:hanging="360"/>
      </w:pPr>
      <w:rPr>
        <w:rFonts w:hint="default"/>
        <w:i w:val="0"/>
      </w:rPr>
    </w:lvl>
    <w:lvl w:ilvl="2">
      <w:start w:val="1"/>
      <w:numFmt w:val="decimal"/>
      <w:isLgl/>
      <w:lvlText w:val="%1.%2.%3."/>
      <w:lvlJc w:val="left"/>
      <w:pPr>
        <w:ind w:left="1200" w:hanging="720"/>
      </w:pPr>
      <w:rPr>
        <w:rFonts w:hint="default"/>
        <w:i w:val="0"/>
      </w:rPr>
    </w:lvl>
    <w:lvl w:ilvl="3">
      <w:start w:val="1"/>
      <w:numFmt w:val="decimal"/>
      <w:isLgl/>
      <w:lvlText w:val="%1.%2.%3.%4."/>
      <w:lvlJc w:val="left"/>
      <w:pPr>
        <w:ind w:left="1260" w:hanging="720"/>
      </w:pPr>
      <w:rPr>
        <w:rFonts w:hint="default"/>
        <w:i w:val="0"/>
      </w:rPr>
    </w:lvl>
    <w:lvl w:ilvl="4">
      <w:start w:val="1"/>
      <w:numFmt w:val="decimal"/>
      <w:isLgl/>
      <w:lvlText w:val="%1.%2.%3.%4.%5."/>
      <w:lvlJc w:val="left"/>
      <w:pPr>
        <w:ind w:left="1680" w:hanging="1080"/>
      </w:pPr>
      <w:rPr>
        <w:rFonts w:hint="default"/>
        <w:i w:val="0"/>
      </w:rPr>
    </w:lvl>
    <w:lvl w:ilvl="5">
      <w:start w:val="1"/>
      <w:numFmt w:val="decimal"/>
      <w:isLgl/>
      <w:lvlText w:val="%1.%2.%3.%4.%5.%6."/>
      <w:lvlJc w:val="left"/>
      <w:pPr>
        <w:ind w:left="1740" w:hanging="1080"/>
      </w:pPr>
      <w:rPr>
        <w:rFonts w:hint="default"/>
        <w:i w:val="0"/>
      </w:rPr>
    </w:lvl>
    <w:lvl w:ilvl="6">
      <w:start w:val="1"/>
      <w:numFmt w:val="decimal"/>
      <w:isLgl/>
      <w:lvlText w:val="%1.%2.%3.%4.%5.%6.%7."/>
      <w:lvlJc w:val="left"/>
      <w:pPr>
        <w:ind w:left="2160" w:hanging="1440"/>
      </w:pPr>
      <w:rPr>
        <w:rFonts w:hint="default"/>
        <w:i w:val="0"/>
      </w:rPr>
    </w:lvl>
    <w:lvl w:ilvl="7">
      <w:start w:val="1"/>
      <w:numFmt w:val="decimal"/>
      <w:isLgl/>
      <w:lvlText w:val="%1.%2.%3.%4.%5.%6.%7.%8."/>
      <w:lvlJc w:val="left"/>
      <w:pPr>
        <w:ind w:left="2220" w:hanging="1440"/>
      </w:pPr>
      <w:rPr>
        <w:rFonts w:hint="default"/>
        <w:i w:val="0"/>
      </w:rPr>
    </w:lvl>
    <w:lvl w:ilvl="8">
      <w:start w:val="1"/>
      <w:numFmt w:val="decimal"/>
      <w:isLgl/>
      <w:lvlText w:val="%1.%2.%3.%4.%5.%6.%7.%8.%9."/>
      <w:lvlJc w:val="left"/>
      <w:pPr>
        <w:ind w:left="2640" w:hanging="1800"/>
      </w:pPr>
      <w:rPr>
        <w:rFonts w:hint="default"/>
        <w:i w:val="0"/>
      </w:rPr>
    </w:lvl>
  </w:abstractNum>
  <w:abstractNum w:abstractNumId="29" w15:restartNumberingAfterBreak="0">
    <w:nsid w:val="7C3A0E7D"/>
    <w:multiLevelType w:val="hybridMultilevel"/>
    <w:tmpl w:val="68EC833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0" w15:restartNumberingAfterBreak="0">
    <w:nsid w:val="7E542C17"/>
    <w:multiLevelType w:val="multilevel"/>
    <w:tmpl w:val="8D60332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1"/>
  </w:num>
  <w:num w:numId="2">
    <w:abstractNumId w:val="4"/>
  </w:num>
  <w:num w:numId="3">
    <w:abstractNumId w:val="7"/>
  </w:num>
  <w:num w:numId="4">
    <w:abstractNumId w:val="18"/>
  </w:num>
  <w:num w:numId="5">
    <w:abstractNumId w:val="25"/>
  </w:num>
  <w:num w:numId="6">
    <w:abstractNumId w:val="8"/>
  </w:num>
  <w:num w:numId="7">
    <w:abstractNumId w:val="24"/>
  </w:num>
  <w:num w:numId="8">
    <w:abstractNumId w:val="16"/>
  </w:num>
  <w:num w:numId="9">
    <w:abstractNumId w:val="30"/>
  </w:num>
  <w:num w:numId="10">
    <w:abstractNumId w:val="10"/>
  </w:num>
  <w:num w:numId="11">
    <w:abstractNumId w:val="20"/>
  </w:num>
  <w:num w:numId="12">
    <w:abstractNumId w:val="14"/>
  </w:num>
  <w:num w:numId="13">
    <w:abstractNumId w:val="6"/>
  </w:num>
  <w:num w:numId="14">
    <w:abstractNumId w:val="17"/>
  </w:num>
  <w:num w:numId="15">
    <w:abstractNumId w:val="23"/>
  </w:num>
  <w:num w:numId="16">
    <w:abstractNumId w:val="22"/>
  </w:num>
  <w:num w:numId="17">
    <w:abstractNumId w:val="29"/>
  </w:num>
  <w:num w:numId="18">
    <w:abstractNumId w:val="27"/>
  </w:num>
  <w:num w:numId="19">
    <w:abstractNumId w:val="5"/>
  </w:num>
  <w:num w:numId="20">
    <w:abstractNumId w:val="15"/>
  </w:num>
  <w:num w:numId="21">
    <w:abstractNumId w:val="9"/>
  </w:num>
  <w:num w:numId="22">
    <w:abstractNumId w:val="26"/>
  </w:num>
  <w:num w:numId="23">
    <w:abstractNumId w:val="21"/>
  </w:num>
  <w:num w:numId="24">
    <w:abstractNumId w:val="28"/>
  </w:num>
  <w:num w:numId="25">
    <w:abstractNumId w:val="19"/>
  </w:num>
  <w:num w:numId="26">
    <w:abstractNumId w:val="12"/>
  </w:num>
  <w:num w:numId="27">
    <w:abstractNumId w:val="0"/>
  </w:num>
  <w:num w:numId="28">
    <w:abstractNumId w:val="1"/>
  </w:num>
  <w:num w:numId="29">
    <w:abstractNumId w:val="2"/>
  </w:num>
  <w:num w:numId="30">
    <w:abstractNumId w:val="3"/>
  </w:num>
  <w:num w:numId="31">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cs-CZ" w:vendorID="7" w:dllVersion="514" w:checkStyle="1"/>
  <w:doNotTrackFormatting/>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7DE"/>
    <w:rsid w:val="000011FC"/>
    <w:rsid w:val="00002DA2"/>
    <w:rsid w:val="00003A56"/>
    <w:rsid w:val="00004354"/>
    <w:rsid w:val="0000652D"/>
    <w:rsid w:val="000107CF"/>
    <w:rsid w:val="00011454"/>
    <w:rsid w:val="0001433D"/>
    <w:rsid w:val="00014BAA"/>
    <w:rsid w:val="00017477"/>
    <w:rsid w:val="00022CDB"/>
    <w:rsid w:val="000272BA"/>
    <w:rsid w:val="000300E1"/>
    <w:rsid w:val="00035D5F"/>
    <w:rsid w:val="00037B09"/>
    <w:rsid w:val="000401FF"/>
    <w:rsid w:val="000408EA"/>
    <w:rsid w:val="00042CD1"/>
    <w:rsid w:val="000522FD"/>
    <w:rsid w:val="00054260"/>
    <w:rsid w:val="00054A69"/>
    <w:rsid w:val="00056F02"/>
    <w:rsid w:val="00060ED0"/>
    <w:rsid w:val="000618F3"/>
    <w:rsid w:val="00065A25"/>
    <w:rsid w:val="0006796E"/>
    <w:rsid w:val="00073B0B"/>
    <w:rsid w:val="00083EE4"/>
    <w:rsid w:val="00094CCC"/>
    <w:rsid w:val="000A3905"/>
    <w:rsid w:val="000A6E8A"/>
    <w:rsid w:val="000A70B9"/>
    <w:rsid w:val="000B07DE"/>
    <w:rsid w:val="000B3382"/>
    <w:rsid w:val="000D611D"/>
    <w:rsid w:val="000E0B85"/>
    <w:rsid w:val="000E1AC3"/>
    <w:rsid w:val="000E6D96"/>
    <w:rsid w:val="000F6DFF"/>
    <w:rsid w:val="00100573"/>
    <w:rsid w:val="00106729"/>
    <w:rsid w:val="001125E0"/>
    <w:rsid w:val="00113693"/>
    <w:rsid w:val="00120529"/>
    <w:rsid w:val="001211F8"/>
    <w:rsid w:val="00131D2F"/>
    <w:rsid w:val="0013508A"/>
    <w:rsid w:val="00136954"/>
    <w:rsid w:val="0014452C"/>
    <w:rsid w:val="00155F20"/>
    <w:rsid w:val="001669C1"/>
    <w:rsid w:val="0017065C"/>
    <w:rsid w:val="00170B0E"/>
    <w:rsid w:val="00173647"/>
    <w:rsid w:val="00174CEF"/>
    <w:rsid w:val="00175A92"/>
    <w:rsid w:val="00182BEA"/>
    <w:rsid w:val="0018300C"/>
    <w:rsid w:val="00184F5E"/>
    <w:rsid w:val="0019058C"/>
    <w:rsid w:val="00192D76"/>
    <w:rsid w:val="001932F3"/>
    <w:rsid w:val="00194BF7"/>
    <w:rsid w:val="00196E1C"/>
    <w:rsid w:val="001A0D4B"/>
    <w:rsid w:val="001A2AB3"/>
    <w:rsid w:val="001A51D5"/>
    <w:rsid w:val="001B121A"/>
    <w:rsid w:val="001D1EB1"/>
    <w:rsid w:val="001D24C1"/>
    <w:rsid w:val="001D7BAE"/>
    <w:rsid w:val="001E1FAD"/>
    <w:rsid w:val="001E5B55"/>
    <w:rsid w:val="001E7E99"/>
    <w:rsid w:val="002020A2"/>
    <w:rsid w:val="00202BE3"/>
    <w:rsid w:val="00204E24"/>
    <w:rsid w:val="002104A4"/>
    <w:rsid w:val="00215195"/>
    <w:rsid w:val="00216682"/>
    <w:rsid w:val="00220132"/>
    <w:rsid w:val="00227743"/>
    <w:rsid w:val="0023419A"/>
    <w:rsid w:val="00241223"/>
    <w:rsid w:val="00241A2A"/>
    <w:rsid w:val="002525F7"/>
    <w:rsid w:val="0025389F"/>
    <w:rsid w:val="00256A76"/>
    <w:rsid w:val="002666A1"/>
    <w:rsid w:val="002668AF"/>
    <w:rsid w:val="0027285C"/>
    <w:rsid w:val="00274A1B"/>
    <w:rsid w:val="00276C0D"/>
    <w:rsid w:val="0028539A"/>
    <w:rsid w:val="002910D3"/>
    <w:rsid w:val="00291944"/>
    <w:rsid w:val="002921AB"/>
    <w:rsid w:val="002939C8"/>
    <w:rsid w:val="002949EB"/>
    <w:rsid w:val="00296258"/>
    <w:rsid w:val="002A512A"/>
    <w:rsid w:val="002B33EE"/>
    <w:rsid w:val="002B3F9F"/>
    <w:rsid w:val="002B6AE9"/>
    <w:rsid w:val="002B6D56"/>
    <w:rsid w:val="002C2A9D"/>
    <w:rsid w:val="002C5214"/>
    <w:rsid w:val="002D0DE0"/>
    <w:rsid w:val="002D5A15"/>
    <w:rsid w:val="002E553C"/>
    <w:rsid w:val="002E61EE"/>
    <w:rsid w:val="002E7CED"/>
    <w:rsid w:val="002F19FA"/>
    <w:rsid w:val="002F3B47"/>
    <w:rsid w:val="002F75CD"/>
    <w:rsid w:val="00302078"/>
    <w:rsid w:val="00302D04"/>
    <w:rsid w:val="00302D87"/>
    <w:rsid w:val="00307C35"/>
    <w:rsid w:val="00310BDD"/>
    <w:rsid w:val="00313397"/>
    <w:rsid w:val="00314C48"/>
    <w:rsid w:val="00314C4C"/>
    <w:rsid w:val="00314E9B"/>
    <w:rsid w:val="00316A5A"/>
    <w:rsid w:val="00326CFD"/>
    <w:rsid w:val="00330A6B"/>
    <w:rsid w:val="00330C15"/>
    <w:rsid w:val="00331561"/>
    <w:rsid w:val="00332CE9"/>
    <w:rsid w:val="00335DF0"/>
    <w:rsid w:val="00336482"/>
    <w:rsid w:val="003377F0"/>
    <w:rsid w:val="00342970"/>
    <w:rsid w:val="003473F2"/>
    <w:rsid w:val="003500FB"/>
    <w:rsid w:val="00352139"/>
    <w:rsid w:val="003563D7"/>
    <w:rsid w:val="003564AD"/>
    <w:rsid w:val="00364C6D"/>
    <w:rsid w:val="00370B30"/>
    <w:rsid w:val="00370C34"/>
    <w:rsid w:val="0037237E"/>
    <w:rsid w:val="00374230"/>
    <w:rsid w:val="0037790C"/>
    <w:rsid w:val="003835BB"/>
    <w:rsid w:val="003846BC"/>
    <w:rsid w:val="0038473E"/>
    <w:rsid w:val="00386087"/>
    <w:rsid w:val="00386366"/>
    <w:rsid w:val="00391C59"/>
    <w:rsid w:val="00396DEF"/>
    <w:rsid w:val="003A4D1D"/>
    <w:rsid w:val="003B2BC6"/>
    <w:rsid w:val="003B3B4E"/>
    <w:rsid w:val="003B456F"/>
    <w:rsid w:val="003B61F8"/>
    <w:rsid w:val="003B6C65"/>
    <w:rsid w:val="003C1696"/>
    <w:rsid w:val="003D160A"/>
    <w:rsid w:val="003D23AB"/>
    <w:rsid w:val="003D4142"/>
    <w:rsid w:val="003D5FA8"/>
    <w:rsid w:val="003D7DFD"/>
    <w:rsid w:val="003E3B31"/>
    <w:rsid w:val="003E4255"/>
    <w:rsid w:val="003F299F"/>
    <w:rsid w:val="003F555A"/>
    <w:rsid w:val="00400A77"/>
    <w:rsid w:val="00406988"/>
    <w:rsid w:val="004077CF"/>
    <w:rsid w:val="00410B2A"/>
    <w:rsid w:val="00417555"/>
    <w:rsid w:val="00422F0A"/>
    <w:rsid w:val="0042384C"/>
    <w:rsid w:val="00424722"/>
    <w:rsid w:val="00425746"/>
    <w:rsid w:val="00432B62"/>
    <w:rsid w:val="00433764"/>
    <w:rsid w:val="00436047"/>
    <w:rsid w:val="004407CA"/>
    <w:rsid w:val="00442E06"/>
    <w:rsid w:val="0044623B"/>
    <w:rsid w:val="0045048D"/>
    <w:rsid w:val="00455BA0"/>
    <w:rsid w:val="00455E81"/>
    <w:rsid w:val="004606D2"/>
    <w:rsid w:val="004607A2"/>
    <w:rsid w:val="00461541"/>
    <w:rsid w:val="004626BC"/>
    <w:rsid w:val="004660CA"/>
    <w:rsid w:val="0047011C"/>
    <w:rsid w:val="004829EA"/>
    <w:rsid w:val="00485091"/>
    <w:rsid w:val="00490D9F"/>
    <w:rsid w:val="00494024"/>
    <w:rsid w:val="00495687"/>
    <w:rsid w:val="004A0D31"/>
    <w:rsid w:val="004A1BC0"/>
    <w:rsid w:val="004A1DCB"/>
    <w:rsid w:val="004B0678"/>
    <w:rsid w:val="004B4508"/>
    <w:rsid w:val="004B6D8D"/>
    <w:rsid w:val="004B72DB"/>
    <w:rsid w:val="004B7F1B"/>
    <w:rsid w:val="004C2091"/>
    <w:rsid w:val="004C2FCA"/>
    <w:rsid w:val="004C3EDE"/>
    <w:rsid w:val="004C4574"/>
    <w:rsid w:val="004C5A58"/>
    <w:rsid w:val="004D2230"/>
    <w:rsid w:val="004D473B"/>
    <w:rsid w:val="004D6EC4"/>
    <w:rsid w:val="004D734C"/>
    <w:rsid w:val="004D74B1"/>
    <w:rsid w:val="004E3158"/>
    <w:rsid w:val="004E4358"/>
    <w:rsid w:val="004E675B"/>
    <w:rsid w:val="004F1E7E"/>
    <w:rsid w:val="004F3E74"/>
    <w:rsid w:val="00501E33"/>
    <w:rsid w:val="005053FA"/>
    <w:rsid w:val="005108CD"/>
    <w:rsid w:val="00512155"/>
    <w:rsid w:val="0051222E"/>
    <w:rsid w:val="0051267C"/>
    <w:rsid w:val="00514059"/>
    <w:rsid w:val="00515CD1"/>
    <w:rsid w:val="0051638C"/>
    <w:rsid w:val="00516548"/>
    <w:rsid w:val="00525993"/>
    <w:rsid w:val="0055117E"/>
    <w:rsid w:val="005570D6"/>
    <w:rsid w:val="00560330"/>
    <w:rsid w:val="00560F50"/>
    <w:rsid w:val="005640FC"/>
    <w:rsid w:val="0056511B"/>
    <w:rsid w:val="005672EF"/>
    <w:rsid w:val="00582ADA"/>
    <w:rsid w:val="00592679"/>
    <w:rsid w:val="00594819"/>
    <w:rsid w:val="00597ADB"/>
    <w:rsid w:val="005A0BE9"/>
    <w:rsid w:val="005A3A8C"/>
    <w:rsid w:val="005A40F9"/>
    <w:rsid w:val="005A783F"/>
    <w:rsid w:val="005B1CF7"/>
    <w:rsid w:val="005C0BFF"/>
    <w:rsid w:val="005C6638"/>
    <w:rsid w:val="005C6751"/>
    <w:rsid w:val="005D0DEF"/>
    <w:rsid w:val="005D0EFA"/>
    <w:rsid w:val="005D51C2"/>
    <w:rsid w:val="005D5A28"/>
    <w:rsid w:val="005D6F39"/>
    <w:rsid w:val="005D71CE"/>
    <w:rsid w:val="005E2586"/>
    <w:rsid w:val="005E4F3D"/>
    <w:rsid w:val="005F134B"/>
    <w:rsid w:val="005F1E66"/>
    <w:rsid w:val="005F672C"/>
    <w:rsid w:val="005F6AAA"/>
    <w:rsid w:val="0060151D"/>
    <w:rsid w:val="00610130"/>
    <w:rsid w:val="006131D8"/>
    <w:rsid w:val="00613BA2"/>
    <w:rsid w:val="00621E76"/>
    <w:rsid w:val="00623951"/>
    <w:rsid w:val="00637812"/>
    <w:rsid w:val="00640D70"/>
    <w:rsid w:val="006413D2"/>
    <w:rsid w:val="00647456"/>
    <w:rsid w:val="00652167"/>
    <w:rsid w:val="006524AB"/>
    <w:rsid w:val="00653EFF"/>
    <w:rsid w:val="00654B6C"/>
    <w:rsid w:val="00663A40"/>
    <w:rsid w:val="006648A8"/>
    <w:rsid w:val="00664E35"/>
    <w:rsid w:val="006677F7"/>
    <w:rsid w:val="006709EB"/>
    <w:rsid w:val="00672558"/>
    <w:rsid w:val="0067584C"/>
    <w:rsid w:val="0068136E"/>
    <w:rsid w:val="00686532"/>
    <w:rsid w:val="006970F7"/>
    <w:rsid w:val="006A0035"/>
    <w:rsid w:val="006A14D6"/>
    <w:rsid w:val="006A4CE4"/>
    <w:rsid w:val="006A4DFF"/>
    <w:rsid w:val="006A5C0E"/>
    <w:rsid w:val="006A64DE"/>
    <w:rsid w:val="006B733F"/>
    <w:rsid w:val="006B7792"/>
    <w:rsid w:val="006C0989"/>
    <w:rsid w:val="006C1995"/>
    <w:rsid w:val="006C7C2E"/>
    <w:rsid w:val="006D4495"/>
    <w:rsid w:val="006D5647"/>
    <w:rsid w:val="006E1449"/>
    <w:rsid w:val="006E53A3"/>
    <w:rsid w:val="006E7459"/>
    <w:rsid w:val="006F67D9"/>
    <w:rsid w:val="006F6892"/>
    <w:rsid w:val="006F78CC"/>
    <w:rsid w:val="00701947"/>
    <w:rsid w:val="00703360"/>
    <w:rsid w:val="007054E5"/>
    <w:rsid w:val="007142D9"/>
    <w:rsid w:val="00714346"/>
    <w:rsid w:val="0071484F"/>
    <w:rsid w:val="00717358"/>
    <w:rsid w:val="00721365"/>
    <w:rsid w:val="00725311"/>
    <w:rsid w:val="007256AC"/>
    <w:rsid w:val="00726BA3"/>
    <w:rsid w:val="0073042E"/>
    <w:rsid w:val="0073442C"/>
    <w:rsid w:val="00734F92"/>
    <w:rsid w:val="007419C8"/>
    <w:rsid w:val="0074636B"/>
    <w:rsid w:val="0075236D"/>
    <w:rsid w:val="00754ADB"/>
    <w:rsid w:val="007554C4"/>
    <w:rsid w:val="00766027"/>
    <w:rsid w:val="00777D7D"/>
    <w:rsid w:val="007815BC"/>
    <w:rsid w:val="007855B3"/>
    <w:rsid w:val="0079211B"/>
    <w:rsid w:val="007940A1"/>
    <w:rsid w:val="007975E5"/>
    <w:rsid w:val="007A05F7"/>
    <w:rsid w:val="007B0343"/>
    <w:rsid w:val="007B0CF0"/>
    <w:rsid w:val="007B231E"/>
    <w:rsid w:val="007B6BB3"/>
    <w:rsid w:val="007B6C24"/>
    <w:rsid w:val="007C1B55"/>
    <w:rsid w:val="007C3A40"/>
    <w:rsid w:val="007C69E4"/>
    <w:rsid w:val="007D06F8"/>
    <w:rsid w:val="007D275F"/>
    <w:rsid w:val="007E1CE9"/>
    <w:rsid w:val="007E2292"/>
    <w:rsid w:val="007E57AE"/>
    <w:rsid w:val="007E6FCC"/>
    <w:rsid w:val="007E77CA"/>
    <w:rsid w:val="007F21AF"/>
    <w:rsid w:val="007F4EE5"/>
    <w:rsid w:val="007F6DB0"/>
    <w:rsid w:val="00800BB6"/>
    <w:rsid w:val="00801A18"/>
    <w:rsid w:val="00802C00"/>
    <w:rsid w:val="0081277B"/>
    <w:rsid w:val="00820B81"/>
    <w:rsid w:val="008212FD"/>
    <w:rsid w:val="0082648E"/>
    <w:rsid w:val="008377BA"/>
    <w:rsid w:val="00837884"/>
    <w:rsid w:val="0084023A"/>
    <w:rsid w:val="0084162C"/>
    <w:rsid w:val="0084289A"/>
    <w:rsid w:val="00844695"/>
    <w:rsid w:val="00845BDD"/>
    <w:rsid w:val="00845FC9"/>
    <w:rsid w:val="0084655C"/>
    <w:rsid w:val="00847D37"/>
    <w:rsid w:val="00861197"/>
    <w:rsid w:val="008620EC"/>
    <w:rsid w:val="00862DBA"/>
    <w:rsid w:val="008658DD"/>
    <w:rsid w:val="0087337C"/>
    <w:rsid w:val="008737EE"/>
    <w:rsid w:val="008741D3"/>
    <w:rsid w:val="0087457C"/>
    <w:rsid w:val="00887329"/>
    <w:rsid w:val="00890A21"/>
    <w:rsid w:val="0089366A"/>
    <w:rsid w:val="008945E7"/>
    <w:rsid w:val="008974F6"/>
    <w:rsid w:val="008A667D"/>
    <w:rsid w:val="008B0D97"/>
    <w:rsid w:val="008B22E0"/>
    <w:rsid w:val="008B272F"/>
    <w:rsid w:val="008B3F0C"/>
    <w:rsid w:val="008B7BEE"/>
    <w:rsid w:val="008C2564"/>
    <w:rsid w:val="008C3A9D"/>
    <w:rsid w:val="008C502F"/>
    <w:rsid w:val="008C6BA5"/>
    <w:rsid w:val="008C7DB2"/>
    <w:rsid w:val="008D0A1F"/>
    <w:rsid w:val="008D2770"/>
    <w:rsid w:val="008E126E"/>
    <w:rsid w:val="008E3948"/>
    <w:rsid w:val="008F095E"/>
    <w:rsid w:val="008F0E93"/>
    <w:rsid w:val="008F12E9"/>
    <w:rsid w:val="008F4109"/>
    <w:rsid w:val="008F791C"/>
    <w:rsid w:val="00906D34"/>
    <w:rsid w:val="00911716"/>
    <w:rsid w:val="00915960"/>
    <w:rsid w:val="0092291D"/>
    <w:rsid w:val="00926166"/>
    <w:rsid w:val="00931788"/>
    <w:rsid w:val="0093241A"/>
    <w:rsid w:val="0093645D"/>
    <w:rsid w:val="00937797"/>
    <w:rsid w:val="00945126"/>
    <w:rsid w:val="009467D3"/>
    <w:rsid w:val="00947354"/>
    <w:rsid w:val="00952C49"/>
    <w:rsid w:val="00955EBB"/>
    <w:rsid w:val="009566E6"/>
    <w:rsid w:val="00956E08"/>
    <w:rsid w:val="00956ECF"/>
    <w:rsid w:val="00960D86"/>
    <w:rsid w:val="009623E3"/>
    <w:rsid w:val="00963147"/>
    <w:rsid w:val="00980265"/>
    <w:rsid w:val="00980EAA"/>
    <w:rsid w:val="00981E2C"/>
    <w:rsid w:val="0098449E"/>
    <w:rsid w:val="0099179E"/>
    <w:rsid w:val="00992072"/>
    <w:rsid w:val="00993627"/>
    <w:rsid w:val="009A022B"/>
    <w:rsid w:val="009A137E"/>
    <w:rsid w:val="009A1CDC"/>
    <w:rsid w:val="009B05FA"/>
    <w:rsid w:val="009B1FFC"/>
    <w:rsid w:val="009C03B2"/>
    <w:rsid w:val="009D700E"/>
    <w:rsid w:val="009E087D"/>
    <w:rsid w:val="009F0CAB"/>
    <w:rsid w:val="009F0DD1"/>
    <w:rsid w:val="009F10A6"/>
    <w:rsid w:val="009F16C3"/>
    <w:rsid w:val="009F7FC2"/>
    <w:rsid w:val="00A0451F"/>
    <w:rsid w:val="00A04FDA"/>
    <w:rsid w:val="00A0702C"/>
    <w:rsid w:val="00A103AE"/>
    <w:rsid w:val="00A117E4"/>
    <w:rsid w:val="00A149E6"/>
    <w:rsid w:val="00A16E8B"/>
    <w:rsid w:val="00A179A4"/>
    <w:rsid w:val="00A22527"/>
    <w:rsid w:val="00A25FB8"/>
    <w:rsid w:val="00A27455"/>
    <w:rsid w:val="00A327A4"/>
    <w:rsid w:val="00A331D2"/>
    <w:rsid w:val="00A34329"/>
    <w:rsid w:val="00A416BF"/>
    <w:rsid w:val="00A41CF9"/>
    <w:rsid w:val="00A43219"/>
    <w:rsid w:val="00A44938"/>
    <w:rsid w:val="00A45070"/>
    <w:rsid w:val="00A45278"/>
    <w:rsid w:val="00A5061D"/>
    <w:rsid w:val="00A53932"/>
    <w:rsid w:val="00A56C1F"/>
    <w:rsid w:val="00A629E9"/>
    <w:rsid w:val="00A659A9"/>
    <w:rsid w:val="00A6675A"/>
    <w:rsid w:val="00A71646"/>
    <w:rsid w:val="00A759FD"/>
    <w:rsid w:val="00A76015"/>
    <w:rsid w:val="00A81A9B"/>
    <w:rsid w:val="00A830F4"/>
    <w:rsid w:val="00A97F47"/>
    <w:rsid w:val="00AA2675"/>
    <w:rsid w:val="00AA2AE3"/>
    <w:rsid w:val="00AA7121"/>
    <w:rsid w:val="00AB0A5A"/>
    <w:rsid w:val="00AB2B95"/>
    <w:rsid w:val="00AB2F44"/>
    <w:rsid w:val="00AC0572"/>
    <w:rsid w:val="00AC1523"/>
    <w:rsid w:val="00AC1D97"/>
    <w:rsid w:val="00AC27DE"/>
    <w:rsid w:val="00AC2E7D"/>
    <w:rsid w:val="00AC4C6E"/>
    <w:rsid w:val="00AD0B29"/>
    <w:rsid w:val="00AD32A3"/>
    <w:rsid w:val="00AD3AE1"/>
    <w:rsid w:val="00AD41C2"/>
    <w:rsid w:val="00AD4A11"/>
    <w:rsid w:val="00AD5F42"/>
    <w:rsid w:val="00AD662B"/>
    <w:rsid w:val="00AE06DA"/>
    <w:rsid w:val="00AE3DFA"/>
    <w:rsid w:val="00AE5643"/>
    <w:rsid w:val="00AE63CF"/>
    <w:rsid w:val="00AF1FCF"/>
    <w:rsid w:val="00AF2F3A"/>
    <w:rsid w:val="00AF3907"/>
    <w:rsid w:val="00AF5626"/>
    <w:rsid w:val="00AF5FF6"/>
    <w:rsid w:val="00B0024C"/>
    <w:rsid w:val="00B02C96"/>
    <w:rsid w:val="00B1181F"/>
    <w:rsid w:val="00B11849"/>
    <w:rsid w:val="00B14C81"/>
    <w:rsid w:val="00B157AD"/>
    <w:rsid w:val="00B23861"/>
    <w:rsid w:val="00B262DE"/>
    <w:rsid w:val="00B265C8"/>
    <w:rsid w:val="00B27DEB"/>
    <w:rsid w:val="00B31A8C"/>
    <w:rsid w:val="00B3518A"/>
    <w:rsid w:val="00B44B56"/>
    <w:rsid w:val="00B44CFE"/>
    <w:rsid w:val="00B50E33"/>
    <w:rsid w:val="00B54AF1"/>
    <w:rsid w:val="00B61E5E"/>
    <w:rsid w:val="00B62450"/>
    <w:rsid w:val="00B62E7E"/>
    <w:rsid w:val="00B7685B"/>
    <w:rsid w:val="00B825AC"/>
    <w:rsid w:val="00B83ECD"/>
    <w:rsid w:val="00B94421"/>
    <w:rsid w:val="00BA3260"/>
    <w:rsid w:val="00BA3DAF"/>
    <w:rsid w:val="00BA58AE"/>
    <w:rsid w:val="00BA7E86"/>
    <w:rsid w:val="00BA7F93"/>
    <w:rsid w:val="00BB0827"/>
    <w:rsid w:val="00BB09D2"/>
    <w:rsid w:val="00BB1258"/>
    <w:rsid w:val="00BB3D9C"/>
    <w:rsid w:val="00BB6822"/>
    <w:rsid w:val="00BB6B6A"/>
    <w:rsid w:val="00BC201A"/>
    <w:rsid w:val="00BC3B6B"/>
    <w:rsid w:val="00BD1A3A"/>
    <w:rsid w:val="00BD3091"/>
    <w:rsid w:val="00BD3724"/>
    <w:rsid w:val="00BD428C"/>
    <w:rsid w:val="00BD4653"/>
    <w:rsid w:val="00BD63B6"/>
    <w:rsid w:val="00BE1111"/>
    <w:rsid w:val="00BE4D16"/>
    <w:rsid w:val="00BE77A3"/>
    <w:rsid w:val="00BF1FA4"/>
    <w:rsid w:val="00C0623A"/>
    <w:rsid w:val="00C10A33"/>
    <w:rsid w:val="00C145B8"/>
    <w:rsid w:val="00C266C5"/>
    <w:rsid w:val="00C32307"/>
    <w:rsid w:val="00C33D2B"/>
    <w:rsid w:val="00C36C1E"/>
    <w:rsid w:val="00C416DF"/>
    <w:rsid w:val="00C46862"/>
    <w:rsid w:val="00C472D4"/>
    <w:rsid w:val="00C50FB7"/>
    <w:rsid w:val="00C546B2"/>
    <w:rsid w:val="00C60E19"/>
    <w:rsid w:val="00C61678"/>
    <w:rsid w:val="00C635D3"/>
    <w:rsid w:val="00C63FEE"/>
    <w:rsid w:val="00C73256"/>
    <w:rsid w:val="00C75423"/>
    <w:rsid w:val="00C76623"/>
    <w:rsid w:val="00C84391"/>
    <w:rsid w:val="00C8489C"/>
    <w:rsid w:val="00C85FE2"/>
    <w:rsid w:val="00C86D90"/>
    <w:rsid w:val="00C900CF"/>
    <w:rsid w:val="00C92211"/>
    <w:rsid w:val="00C92973"/>
    <w:rsid w:val="00C94AF3"/>
    <w:rsid w:val="00C96DAC"/>
    <w:rsid w:val="00C97736"/>
    <w:rsid w:val="00CA09F1"/>
    <w:rsid w:val="00CA13EA"/>
    <w:rsid w:val="00CA2749"/>
    <w:rsid w:val="00CB0BCB"/>
    <w:rsid w:val="00CB20C8"/>
    <w:rsid w:val="00CB3494"/>
    <w:rsid w:val="00CB44C5"/>
    <w:rsid w:val="00CB7870"/>
    <w:rsid w:val="00CC0279"/>
    <w:rsid w:val="00CC18B2"/>
    <w:rsid w:val="00CC3152"/>
    <w:rsid w:val="00CC3292"/>
    <w:rsid w:val="00CC3C68"/>
    <w:rsid w:val="00CC5257"/>
    <w:rsid w:val="00CC62A1"/>
    <w:rsid w:val="00CC74D4"/>
    <w:rsid w:val="00CC7E73"/>
    <w:rsid w:val="00CD0279"/>
    <w:rsid w:val="00CD1AF1"/>
    <w:rsid w:val="00CD1F21"/>
    <w:rsid w:val="00CD42C7"/>
    <w:rsid w:val="00CD4758"/>
    <w:rsid w:val="00CD4FC8"/>
    <w:rsid w:val="00CD5D7D"/>
    <w:rsid w:val="00CE0ED9"/>
    <w:rsid w:val="00CE5412"/>
    <w:rsid w:val="00CE7F34"/>
    <w:rsid w:val="00CF60DA"/>
    <w:rsid w:val="00D010AC"/>
    <w:rsid w:val="00D03EA2"/>
    <w:rsid w:val="00D0458A"/>
    <w:rsid w:val="00D0627E"/>
    <w:rsid w:val="00D14B1B"/>
    <w:rsid w:val="00D16E97"/>
    <w:rsid w:val="00D227CB"/>
    <w:rsid w:val="00D24E58"/>
    <w:rsid w:val="00D316D9"/>
    <w:rsid w:val="00D31C4C"/>
    <w:rsid w:val="00D32AB1"/>
    <w:rsid w:val="00D33DED"/>
    <w:rsid w:val="00D372CE"/>
    <w:rsid w:val="00D40874"/>
    <w:rsid w:val="00D410EA"/>
    <w:rsid w:val="00D4352B"/>
    <w:rsid w:val="00D44971"/>
    <w:rsid w:val="00D44A7F"/>
    <w:rsid w:val="00D44B66"/>
    <w:rsid w:val="00D4502E"/>
    <w:rsid w:val="00D5201B"/>
    <w:rsid w:val="00D54A53"/>
    <w:rsid w:val="00D56035"/>
    <w:rsid w:val="00D60D07"/>
    <w:rsid w:val="00D60EDB"/>
    <w:rsid w:val="00D61877"/>
    <w:rsid w:val="00D63830"/>
    <w:rsid w:val="00D63F96"/>
    <w:rsid w:val="00D65673"/>
    <w:rsid w:val="00D677CF"/>
    <w:rsid w:val="00D72DBE"/>
    <w:rsid w:val="00D75334"/>
    <w:rsid w:val="00D75757"/>
    <w:rsid w:val="00D75EDF"/>
    <w:rsid w:val="00D8112B"/>
    <w:rsid w:val="00D82234"/>
    <w:rsid w:val="00D860C0"/>
    <w:rsid w:val="00D91F3E"/>
    <w:rsid w:val="00D92F1D"/>
    <w:rsid w:val="00D93F8A"/>
    <w:rsid w:val="00D94732"/>
    <w:rsid w:val="00DA08FE"/>
    <w:rsid w:val="00DA0EA6"/>
    <w:rsid w:val="00DA52A0"/>
    <w:rsid w:val="00DB1163"/>
    <w:rsid w:val="00DB4830"/>
    <w:rsid w:val="00DB6F63"/>
    <w:rsid w:val="00DC576E"/>
    <w:rsid w:val="00DC6C41"/>
    <w:rsid w:val="00DD5E26"/>
    <w:rsid w:val="00DD66C8"/>
    <w:rsid w:val="00DD6BDD"/>
    <w:rsid w:val="00DD6C5B"/>
    <w:rsid w:val="00DD6D53"/>
    <w:rsid w:val="00DE0060"/>
    <w:rsid w:val="00DE38D2"/>
    <w:rsid w:val="00DF52D6"/>
    <w:rsid w:val="00E017BD"/>
    <w:rsid w:val="00E0231F"/>
    <w:rsid w:val="00E06550"/>
    <w:rsid w:val="00E108D2"/>
    <w:rsid w:val="00E11D9E"/>
    <w:rsid w:val="00E14B55"/>
    <w:rsid w:val="00E15A6B"/>
    <w:rsid w:val="00E169BF"/>
    <w:rsid w:val="00E176E7"/>
    <w:rsid w:val="00E17AE9"/>
    <w:rsid w:val="00E24F44"/>
    <w:rsid w:val="00E26769"/>
    <w:rsid w:val="00E26A4C"/>
    <w:rsid w:val="00E40EFC"/>
    <w:rsid w:val="00E46E6B"/>
    <w:rsid w:val="00E475C5"/>
    <w:rsid w:val="00E5025E"/>
    <w:rsid w:val="00E50367"/>
    <w:rsid w:val="00E51CD4"/>
    <w:rsid w:val="00E51E8F"/>
    <w:rsid w:val="00E52CB0"/>
    <w:rsid w:val="00E539DC"/>
    <w:rsid w:val="00E57102"/>
    <w:rsid w:val="00E66FC4"/>
    <w:rsid w:val="00E8167A"/>
    <w:rsid w:val="00E8210E"/>
    <w:rsid w:val="00E862A7"/>
    <w:rsid w:val="00E87795"/>
    <w:rsid w:val="00E92AD4"/>
    <w:rsid w:val="00E93563"/>
    <w:rsid w:val="00E97E02"/>
    <w:rsid w:val="00EA0004"/>
    <w:rsid w:val="00EB0DC5"/>
    <w:rsid w:val="00EB1B70"/>
    <w:rsid w:val="00EB3FE2"/>
    <w:rsid w:val="00EB77AE"/>
    <w:rsid w:val="00EB7887"/>
    <w:rsid w:val="00EC1748"/>
    <w:rsid w:val="00ED5292"/>
    <w:rsid w:val="00ED61D8"/>
    <w:rsid w:val="00ED6A5A"/>
    <w:rsid w:val="00EE078C"/>
    <w:rsid w:val="00EE0888"/>
    <w:rsid w:val="00EE497C"/>
    <w:rsid w:val="00EF43E1"/>
    <w:rsid w:val="00EF6477"/>
    <w:rsid w:val="00EF79BF"/>
    <w:rsid w:val="00F0018C"/>
    <w:rsid w:val="00F037EF"/>
    <w:rsid w:val="00F04BAC"/>
    <w:rsid w:val="00F10EA4"/>
    <w:rsid w:val="00F14235"/>
    <w:rsid w:val="00F146B7"/>
    <w:rsid w:val="00F24F45"/>
    <w:rsid w:val="00F30BC1"/>
    <w:rsid w:val="00F30D12"/>
    <w:rsid w:val="00F31488"/>
    <w:rsid w:val="00F41BF0"/>
    <w:rsid w:val="00F42D7D"/>
    <w:rsid w:val="00F457F0"/>
    <w:rsid w:val="00F47620"/>
    <w:rsid w:val="00F47C7C"/>
    <w:rsid w:val="00F6011A"/>
    <w:rsid w:val="00F635C8"/>
    <w:rsid w:val="00F64349"/>
    <w:rsid w:val="00F647CD"/>
    <w:rsid w:val="00F71E68"/>
    <w:rsid w:val="00F7338F"/>
    <w:rsid w:val="00F74823"/>
    <w:rsid w:val="00F757B3"/>
    <w:rsid w:val="00F7722C"/>
    <w:rsid w:val="00F776B0"/>
    <w:rsid w:val="00F81E2C"/>
    <w:rsid w:val="00F86E92"/>
    <w:rsid w:val="00F86F1E"/>
    <w:rsid w:val="00F95032"/>
    <w:rsid w:val="00F978CE"/>
    <w:rsid w:val="00FA36F1"/>
    <w:rsid w:val="00FB096A"/>
    <w:rsid w:val="00FB0A9C"/>
    <w:rsid w:val="00FB16CD"/>
    <w:rsid w:val="00FB2297"/>
    <w:rsid w:val="00FB26E2"/>
    <w:rsid w:val="00FB60AC"/>
    <w:rsid w:val="00FB680A"/>
    <w:rsid w:val="00FC23E3"/>
    <w:rsid w:val="00FC5C4A"/>
    <w:rsid w:val="00FD0256"/>
    <w:rsid w:val="00FD31B2"/>
    <w:rsid w:val="00FD53A5"/>
    <w:rsid w:val="00FD57F1"/>
    <w:rsid w:val="00FE0BD4"/>
    <w:rsid w:val="00FE3D8A"/>
    <w:rsid w:val="00FF2392"/>
    <w:rsid w:val="00FF2934"/>
    <w:rsid w:val="00FF4EA7"/>
    <w:rsid w:val="00FF59A7"/>
    <w:rsid w:val="00FF5B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B50936A"/>
  <w15:docId w15:val="{C1C5F8E6-42AB-4F8D-BFC8-F9446745A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669C1"/>
    <w:pPr>
      <w:spacing w:line="240" w:lineRule="auto"/>
      <w:jc w:val="both"/>
    </w:pPr>
    <w:rPr>
      <w:rFonts w:ascii="Arial" w:eastAsia="Calibri" w:hAnsi="Arial" w:cs="Times New Roman"/>
      <w:sz w:val="20"/>
    </w:rPr>
  </w:style>
  <w:style w:type="paragraph" w:styleId="Nadpis1">
    <w:name w:val="heading 1"/>
    <w:basedOn w:val="Normln"/>
    <w:next w:val="Normln"/>
    <w:link w:val="Nadpis1Char"/>
    <w:autoRedefine/>
    <w:uiPriority w:val="9"/>
    <w:qFormat/>
    <w:rsid w:val="004C3EDE"/>
    <w:pPr>
      <w:keepNext/>
      <w:keepLines/>
      <w:spacing w:before="240" w:after="120" w:line="280" w:lineRule="atLeast"/>
      <w:jc w:val="center"/>
      <w:outlineLvl w:val="0"/>
    </w:pPr>
    <w:rPr>
      <w:rFonts w:eastAsiaTheme="majorEastAsia" w:cs="Arial"/>
      <w:b/>
      <w:bCs/>
      <w:szCs w:val="20"/>
    </w:rPr>
  </w:style>
  <w:style w:type="paragraph" w:styleId="Nadpis2">
    <w:name w:val="heading 2"/>
    <w:basedOn w:val="Normln"/>
    <w:next w:val="Normln"/>
    <w:link w:val="Nadpis2Char"/>
    <w:uiPriority w:val="9"/>
    <w:unhideWhenUsed/>
    <w:qFormat/>
    <w:rsid w:val="006D4495"/>
    <w:pPr>
      <w:keepNext/>
      <w:keepLines/>
      <w:spacing w:before="200" w:after="0" w:line="276" w:lineRule="auto"/>
      <w:jc w:val="left"/>
      <w:outlineLvl w:val="1"/>
    </w:pPr>
    <w:rPr>
      <w:rFonts w:asciiTheme="majorHAnsi" w:eastAsiaTheme="majorEastAsia" w:hAnsiTheme="majorHAnsi" w:cstheme="majorBidi"/>
      <w:b/>
      <w:bCs/>
      <w:color w:val="4F81BD" w:themeColor="accent1"/>
      <w:sz w:val="26"/>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B265C8"/>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265C8"/>
    <w:rPr>
      <w:rFonts w:ascii="Tahoma" w:eastAsia="Calibri" w:hAnsi="Tahoma" w:cs="Tahoma"/>
      <w:sz w:val="16"/>
      <w:szCs w:val="16"/>
    </w:rPr>
  </w:style>
  <w:style w:type="paragraph" w:styleId="Zkladntext">
    <w:name w:val="Body Text"/>
    <w:basedOn w:val="Normln"/>
    <w:link w:val="ZkladntextChar"/>
    <w:uiPriority w:val="99"/>
    <w:rsid w:val="00B265C8"/>
    <w:pPr>
      <w:spacing w:after="0"/>
    </w:pPr>
    <w:rPr>
      <w:rFonts w:ascii="Times New Roman" w:eastAsia="Times New Roman" w:hAnsi="Times New Roman"/>
      <w:sz w:val="24"/>
      <w:szCs w:val="24"/>
      <w:lang w:eastAsia="cs-CZ"/>
    </w:rPr>
  </w:style>
  <w:style w:type="character" w:customStyle="1" w:styleId="ZkladntextChar">
    <w:name w:val="Základní text Char"/>
    <w:basedOn w:val="Standardnpsmoodstavce"/>
    <w:link w:val="Zkladntext"/>
    <w:uiPriority w:val="99"/>
    <w:rsid w:val="00B265C8"/>
    <w:rPr>
      <w:rFonts w:ascii="Times New Roman" w:eastAsia="Times New Roman" w:hAnsi="Times New Roman" w:cs="Times New Roman"/>
      <w:sz w:val="24"/>
      <w:szCs w:val="24"/>
      <w:lang w:eastAsia="cs-CZ"/>
    </w:rPr>
  </w:style>
  <w:style w:type="character" w:styleId="Znakapoznpodarou">
    <w:name w:val="footnote reference"/>
    <w:uiPriority w:val="99"/>
    <w:semiHidden/>
    <w:rsid w:val="00B265C8"/>
    <w:rPr>
      <w:rFonts w:cs="Times New Roman"/>
      <w:vertAlign w:val="superscript"/>
    </w:rPr>
  </w:style>
  <w:style w:type="paragraph" w:styleId="Textpoznpodarou">
    <w:name w:val="footnote text"/>
    <w:basedOn w:val="Normln"/>
    <w:link w:val="TextpoznpodarouChar"/>
    <w:uiPriority w:val="99"/>
    <w:semiHidden/>
    <w:unhideWhenUsed/>
    <w:rsid w:val="00B265C8"/>
    <w:pPr>
      <w:spacing w:after="0"/>
    </w:pPr>
    <w:rPr>
      <w:rFonts w:asciiTheme="minorHAnsi" w:eastAsiaTheme="minorHAnsi" w:hAnsiTheme="minorHAnsi" w:cstheme="minorBidi"/>
      <w:szCs w:val="20"/>
    </w:rPr>
  </w:style>
  <w:style w:type="character" w:customStyle="1" w:styleId="TextpoznpodarouChar">
    <w:name w:val="Text pozn. pod čarou Char"/>
    <w:basedOn w:val="Standardnpsmoodstavce"/>
    <w:link w:val="Textpoznpodarou"/>
    <w:uiPriority w:val="99"/>
    <w:semiHidden/>
    <w:rsid w:val="00B265C8"/>
    <w:rPr>
      <w:sz w:val="20"/>
      <w:szCs w:val="20"/>
    </w:rPr>
  </w:style>
  <w:style w:type="character" w:customStyle="1" w:styleId="Nadpis1Char">
    <w:name w:val="Nadpis 1 Char"/>
    <w:basedOn w:val="Standardnpsmoodstavce"/>
    <w:link w:val="Nadpis1"/>
    <w:uiPriority w:val="9"/>
    <w:rsid w:val="004C3EDE"/>
    <w:rPr>
      <w:rFonts w:ascii="Arial" w:eastAsiaTheme="majorEastAsia" w:hAnsi="Arial" w:cs="Arial"/>
      <w:b/>
      <w:bCs/>
      <w:sz w:val="20"/>
      <w:szCs w:val="20"/>
    </w:rPr>
  </w:style>
  <w:style w:type="paragraph" w:styleId="Odstavecseseznamem">
    <w:name w:val="List Paragraph"/>
    <w:aliases w:val="Odstavec se seznamem a odrážkou,1 úroveň Odstavec se seznamem,Odrazky,Bullet List,lp1,Puce,Use Case List Paragraph,Heading2,Bullet for no #'s,Body Bullet,List bullet,List Paragraph 1,Ref,List Bullet1,Figure_name,Aufzählungszeichen1"/>
    <w:basedOn w:val="Normln"/>
    <w:link w:val="OdstavecseseznamemChar"/>
    <w:uiPriority w:val="34"/>
    <w:qFormat/>
    <w:rsid w:val="00DD6BDD"/>
    <w:pPr>
      <w:ind w:left="720"/>
      <w:contextualSpacing/>
    </w:pPr>
  </w:style>
  <w:style w:type="character" w:customStyle="1" w:styleId="OdstavecseseznamemChar">
    <w:name w:val="Odstavec se seznamem Char"/>
    <w:aliases w:val="Odstavec se seznamem a odrážkou Char,1 úroveň Odstavec se seznamem Char,Odrazky Char,Bullet List Char,lp1 Char,Puce Char,Use Case List Paragraph Char,Heading2 Char,Bullet for no #'s Char,Body Bullet Char,List bullet Char"/>
    <w:link w:val="Odstavecseseznamem"/>
    <w:uiPriority w:val="34"/>
    <w:locked/>
    <w:rsid w:val="00861197"/>
    <w:rPr>
      <w:rFonts w:ascii="Arial" w:eastAsia="Calibri" w:hAnsi="Arial" w:cs="Times New Roman"/>
      <w:sz w:val="20"/>
    </w:rPr>
  </w:style>
  <w:style w:type="paragraph" w:styleId="Bezmezer">
    <w:name w:val="No Spacing"/>
    <w:aliases w:val="Text"/>
    <w:autoRedefine/>
    <w:uiPriority w:val="1"/>
    <w:qFormat/>
    <w:rsid w:val="00861197"/>
    <w:pPr>
      <w:spacing w:after="0" w:line="240" w:lineRule="auto"/>
      <w:ind w:left="360"/>
      <w:jc w:val="both"/>
    </w:pPr>
    <w:rPr>
      <w:rFonts w:ascii="Arial" w:hAnsi="Arial" w:cs="Arial"/>
      <w:sz w:val="20"/>
      <w:szCs w:val="20"/>
    </w:rPr>
  </w:style>
  <w:style w:type="paragraph" w:styleId="Zkladntextodsazen">
    <w:name w:val="Body Text Indent"/>
    <w:basedOn w:val="Normln"/>
    <w:link w:val="ZkladntextodsazenChar"/>
    <w:uiPriority w:val="99"/>
    <w:semiHidden/>
    <w:unhideWhenUsed/>
    <w:rsid w:val="00037B09"/>
    <w:pPr>
      <w:spacing w:after="120"/>
      <w:ind w:left="283"/>
    </w:pPr>
  </w:style>
  <w:style w:type="character" w:customStyle="1" w:styleId="ZkladntextodsazenChar">
    <w:name w:val="Základní text odsazený Char"/>
    <w:basedOn w:val="Standardnpsmoodstavce"/>
    <w:link w:val="Zkladntextodsazen"/>
    <w:rsid w:val="00037B09"/>
    <w:rPr>
      <w:rFonts w:ascii="Arial" w:eastAsia="Calibri" w:hAnsi="Arial" w:cs="Times New Roman"/>
      <w:sz w:val="20"/>
    </w:rPr>
  </w:style>
  <w:style w:type="character" w:customStyle="1" w:styleId="Nadpis2Char">
    <w:name w:val="Nadpis 2 Char"/>
    <w:basedOn w:val="Standardnpsmoodstavce"/>
    <w:link w:val="Nadpis2"/>
    <w:uiPriority w:val="9"/>
    <w:rsid w:val="006D4495"/>
    <w:rPr>
      <w:rFonts w:asciiTheme="majorHAnsi" w:eastAsiaTheme="majorEastAsia" w:hAnsiTheme="majorHAnsi" w:cstheme="majorBidi"/>
      <w:b/>
      <w:bCs/>
      <w:color w:val="4F81BD" w:themeColor="accent1"/>
      <w:sz w:val="26"/>
      <w:szCs w:val="26"/>
      <w:lang w:eastAsia="cs-CZ"/>
    </w:rPr>
  </w:style>
  <w:style w:type="character" w:styleId="Odkaznakoment">
    <w:name w:val="annotation reference"/>
    <w:basedOn w:val="Standardnpsmoodstavce"/>
    <w:uiPriority w:val="99"/>
    <w:unhideWhenUsed/>
    <w:rsid w:val="0045048D"/>
    <w:rPr>
      <w:sz w:val="16"/>
      <w:szCs w:val="16"/>
    </w:rPr>
  </w:style>
  <w:style w:type="paragraph" w:styleId="Textkomente">
    <w:name w:val="annotation text"/>
    <w:basedOn w:val="Normln"/>
    <w:link w:val="TextkomenteChar"/>
    <w:uiPriority w:val="99"/>
    <w:unhideWhenUsed/>
    <w:rsid w:val="0045048D"/>
    <w:rPr>
      <w:szCs w:val="20"/>
    </w:rPr>
  </w:style>
  <w:style w:type="character" w:customStyle="1" w:styleId="TextkomenteChar">
    <w:name w:val="Text komentáře Char"/>
    <w:basedOn w:val="Standardnpsmoodstavce"/>
    <w:link w:val="Textkomente"/>
    <w:uiPriority w:val="99"/>
    <w:rsid w:val="0045048D"/>
    <w:rPr>
      <w:rFonts w:ascii="Arial" w:eastAsia="Calibri" w:hAnsi="Arial" w:cs="Times New Roman"/>
      <w:sz w:val="20"/>
      <w:szCs w:val="20"/>
    </w:rPr>
  </w:style>
  <w:style w:type="paragraph" w:styleId="Pedmtkomente">
    <w:name w:val="annotation subject"/>
    <w:basedOn w:val="Textkomente"/>
    <w:next w:val="Textkomente"/>
    <w:link w:val="PedmtkomenteChar"/>
    <w:uiPriority w:val="99"/>
    <w:semiHidden/>
    <w:unhideWhenUsed/>
    <w:rsid w:val="0045048D"/>
    <w:rPr>
      <w:b/>
      <w:bCs/>
    </w:rPr>
  </w:style>
  <w:style w:type="character" w:customStyle="1" w:styleId="PedmtkomenteChar">
    <w:name w:val="Předmět komentáře Char"/>
    <w:basedOn w:val="TextkomenteChar"/>
    <w:link w:val="Pedmtkomente"/>
    <w:uiPriority w:val="99"/>
    <w:semiHidden/>
    <w:rsid w:val="0045048D"/>
    <w:rPr>
      <w:rFonts w:ascii="Arial" w:eastAsia="Calibri" w:hAnsi="Arial" w:cs="Times New Roman"/>
      <w:b/>
      <w:bCs/>
      <w:sz w:val="20"/>
      <w:szCs w:val="20"/>
    </w:rPr>
  </w:style>
  <w:style w:type="paragraph" w:styleId="Revize">
    <w:name w:val="Revision"/>
    <w:hidden/>
    <w:uiPriority w:val="99"/>
    <w:semiHidden/>
    <w:rsid w:val="00D24E58"/>
    <w:pPr>
      <w:spacing w:after="0" w:line="240" w:lineRule="auto"/>
    </w:pPr>
    <w:rPr>
      <w:rFonts w:ascii="Arial" w:eastAsia="Calibri" w:hAnsi="Arial" w:cs="Times New Roman"/>
      <w:sz w:val="20"/>
    </w:rPr>
  </w:style>
  <w:style w:type="paragraph" w:styleId="Zhlav">
    <w:name w:val="header"/>
    <w:basedOn w:val="Normln"/>
    <w:link w:val="ZhlavChar"/>
    <w:uiPriority w:val="99"/>
    <w:unhideWhenUsed/>
    <w:rsid w:val="00993627"/>
    <w:pPr>
      <w:tabs>
        <w:tab w:val="center" w:pos="4536"/>
        <w:tab w:val="right" w:pos="9072"/>
      </w:tabs>
      <w:spacing w:after="0"/>
    </w:pPr>
  </w:style>
  <w:style w:type="character" w:customStyle="1" w:styleId="ZhlavChar">
    <w:name w:val="Záhlaví Char"/>
    <w:basedOn w:val="Standardnpsmoodstavce"/>
    <w:link w:val="Zhlav"/>
    <w:uiPriority w:val="99"/>
    <w:rsid w:val="00993627"/>
    <w:rPr>
      <w:rFonts w:ascii="Arial" w:eastAsia="Calibri" w:hAnsi="Arial" w:cs="Times New Roman"/>
      <w:sz w:val="20"/>
    </w:rPr>
  </w:style>
  <w:style w:type="paragraph" w:styleId="Zpat">
    <w:name w:val="footer"/>
    <w:basedOn w:val="Normln"/>
    <w:link w:val="ZpatChar"/>
    <w:uiPriority w:val="99"/>
    <w:unhideWhenUsed/>
    <w:rsid w:val="00993627"/>
    <w:pPr>
      <w:tabs>
        <w:tab w:val="center" w:pos="4536"/>
        <w:tab w:val="right" w:pos="9072"/>
      </w:tabs>
      <w:spacing w:after="0"/>
    </w:pPr>
  </w:style>
  <w:style w:type="character" w:customStyle="1" w:styleId="ZpatChar">
    <w:name w:val="Zápatí Char"/>
    <w:basedOn w:val="Standardnpsmoodstavce"/>
    <w:link w:val="Zpat"/>
    <w:uiPriority w:val="99"/>
    <w:rsid w:val="00993627"/>
    <w:rPr>
      <w:rFonts w:ascii="Arial" w:eastAsia="Calibri" w:hAnsi="Arial" w:cs="Times New Roman"/>
      <w:sz w:val="20"/>
    </w:rPr>
  </w:style>
  <w:style w:type="character" w:styleId="slodku">
    <w:name w:val="line number"/>
    <w:basedOn w:val="Standardnpsmoodstavce"/>
    <w:uiPriority w:val="99"/>
    <w:semiHidden/>
    <w:unhideWhenUsed/>
    <w:rsid w:val="00A0702C"/>
  </w:style>
  <w:style w:type="character" w:customStyle="1" w:styleId="TextkomenteChar1">
    <w:name w:val="Text komentáře Char1"/>
    <w:uiPriority w:val="99"/>
    <w:locked/>
    <w:rsid w:val="00083EE4"/>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unhideWhenUsed/>
    <w:rsid w:val="000F6DFF"/>
    <w:rPr>
      <w:color w:val="0000FF" w:themeColor="hyperlink"/>
      <w:u w:val="single"/>
    </w:rPr>
  </w:style>
  <w:style w:type="paragraph" w:customStyle="1" w:styleId="odstavec1a">
    <w:name w:val="odstavec1a"/>
    <w:basedOn w:val="Normln"/>
    <w:qFormat/>
    <w:rsid w:val="00FB2297"/>
    <w:pPr>
      <w:numPr>
        <w:numId w:val="20"/>
      </w:numPr>
      <w:spacing w:after="0" w:line="276" w:lineRule="auto"/>
      <w:contextualSpacing/>
    </w:pPr>
    <w:rPr>
      <w:rFonts w:ascii="Tahoma" w:eastAsia="Times New Roman" w:hAnsi="Tahoma" w:cs="Tahoma"/>
      <w:szCs w:val="20"/>
      <w:lang w:eastAsia="cs-CZ"/>
    </w:rPr>
  </w:style>
  <w:style w:type="table" w:styleId="Mkatabulky">
    <w:name w:val="Table Grid"/>
    <w:basedOn w:val="Normlntabulka"/>
    <w:uiPriority w:val="59"/>
    <w:rsid w:val="00CC52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74851">
      <w:bodyDiv w:val="1"/>
      <w:marLeft w:val="0"/>
      <w:marRight w:val="0"/>
      <w:marTop w:val="0"/>
      <w:marBottom w:val="0"/>
      <w:divBdr>
        <w:top w:val="none" w:sz="0" w:space="0" w:color="auto"/>
        <w:left w:val="none" w:sz="0" w:space="0" w:color="auto"/>
        <w:bottom w:val="none" w:sz="0" w:space="0" w:color="auto"/>
        <w:right w:val="none" w:sz="0" w:space="0" w:color="auto"/>
      </w:divBdr>
    </w:div>
    <w:div w:id="362099766">
      <w:bodyDiv w:val="1"/>
      <w:marLeft w:val="0"/>
      <w:marRight w:val="0"/>
      <w:marTop w:val="0"/>
      <w:marBottom w:val="0"/>
      <w:divBdr>
        <w:top w:val="none" w:sz="0" w:space="0" w:color="auto"/>
        <w:left w:val="none" w:sz="0" w:space="0" w:color="auto"/>
        <w:bottom w:val="none" w:sz="0" w:space="0" w:color="auto"/>
        <w:right w:val="none" w:sz="0" w:space="0" w:color="auto"/>
      </w:divBdr>
    </w:div>
    <w:div w:id="397165990">
      <w:bodyDiv w:val="1"/>
      <w:marLeft w:val="0"/>
      <w:marRight w:val="0"/>
      <w:marTop w:val="0"/>
      <w:marBottom w:val="0"/>
      <w:divBdr>
        <w:top w:val="none" w:sz="0" w:space="0" w:color="auto"/>
        <w:left w:val="none" w:sz="0" w:space="0" w:color="auto"/>
        <w:bottom w:val="none" w:sz="0" w:space="0" w:color="auto"/>
        <w:right w:val="none" w:sz="0" w:space="0" w:color="auto"/>
      </w:divBdr>
    </w:div>
    <w:div w:id="550073041">
      <w:bodyDiv w:val="1"/>
      <w:marLeft w:val="0"/>
      <w:marRight w:val="0"/>
      <w:marTop w:val="0"/>
      <w:marBottom w:val="0"/>
      <w:divBdr>
        <w:top w:val="none" w:sz="0" w:space="0" w:color="auto"/>
        <w:left w:val="none" w:sz="0" w:space="0" w:color="auto"/>
        <w:bottom w:val="none" w:sz="0" w:space="0" w:color="auto"/>
        <w:right w:val="none" w:sz="0" w:space="0" w:color="auto"/>
      </w:divBdr>
    </w:div>
    <w:div w:id="651983018">
      <w:bodyDiv w:val="1"/>
      <w:marLeft w:val="0"/>
      <w:marRight w:val="0"/>
      <w:marTop w:val="0"/>
      <w:marBottom w:val="0"/>
      <w:divBdr>
        <w:top w:val="none" w:sz="0" w:space="0" w:color="auto"/>
        <w:left w:val="none" w:sz="0" w:space="0" w:color="auto"/>
        <w:bottom w:val="none" w:sz="0" w:space="0" w:color="auto"/>
        <w:right w:val="none" w:sz="0" w:space="0" w:color="auto"/>
      </w:divBdr>
    </w:div>
    <w:div w:id="785388371">
      <w:bodyDiv w:val="1"/>
      <w:marLeft w:val="0"/>
      <w:marRight w:val="0"/>
      <w:marTop w:val="0"/>
      <w:marBottom w:val="0"/>
      <w:divBdr>
        <w:top w:val="none" w:sz="0" w:space="0" w:color="auto"/>
        <w:left w:val="none" w:sz="0" w:space="0" w:color="auto"/>
        <w:bottom w:val="none" w:sz="0" w:space="0" w:color="auto"/>
        <w:right w:val="none" w:sz="0" w:space="0" w:color="auto"/>
      </w:divBdr>
    </w:div>
    <w:div w:id="838277091">
      <w:bodyDiv w:val="1"/>
      <w:marLeft w:val="0"/>
      <w:marRight w:val="0"/>
      <w:marTop w:val="0"/>
      <w:marBottom w:val="0"/>
      <w:divBdr>
        <w:top w:val="none" w:sz="0" w:space="0" w:color="auto"/>
        <w:left w:val="none" w:sz="0" w:space="0" w:color="auto"/>
        <w:bottom w:val="none" w:sz="0" w:space="0" w:color="auto"/>
        <w:right w:val="none" w:sz="0" w:space="0" w:color="auto"/>
      </w:divBdr>
    </w:div>
    <w:div w:id="1229806941">
      <w:bodyDiv w:val="1"/>
      <w:marLeft w:val="0"/>
      <w:marRight w:val="0"/>
      <w:marTop w:val="0"/>
      <w:marBottom w:val="0"/>
      <w:divBdr>
        <w:top w:val="none" w:sz="0" w:space="0" w:color="auto"/>
        <w:left w:val="none" w:sz="0" w:space="0" w:color="auto"/>
        <w:bottom w:val="none" w:sz="0" w:space="0" w:color="auto"/>
        <w:right w:val="none" w:sz="0" w:space="0" w:color="auto"/>
      </w:divBdr>
    </w:div>
    <w:div w:id="1321616664">
      <w:bodyDiv w:val="1"/>
      <w:marLeft w:val="0"/>
      <w:marRight w:val="0"/>
      <w:marTop w:val="0"/>
      <w:marBottom w:val="0"/>
      <w:divBdr>
        <w:top w:val="none" w:sz="0" w:space="0" w:color="auto"/>
        <w:left w:val="none" w:sz="0" w:space="0" w:color="auto"/>
        <w:bottom w:val="none" w:sz="0" w:space="0" w:color="auto"/>
        <w:right w:val="none" w:sz="0" w:space="0" w:color="auto"/>
      </w:divBdr>
    </w:div>
    <w:div w:id="1361127681">
      <w:bodyDiv w:val="1"/>
      <w:marLeft w:val="0"/>
      <w:marRight w:val="0"/>
      <w:marTop w:val="0"/>
      <w:marBottom w:val="0"/>
      <w:divBdr>
        <w:top w:val="none" w:sz="0" w:space="0" w:color="auto"/>
        <w:left w:val="none" w:sz="0" w:space="0" w:color="auto"/>
        <w:bottom w:val="none" w:sz="0" w:space="0" w:color="auto"/>
        <w:right w:val="none" w:sz="0" w:space="0" w:color="auto"/>
      </w:divBdr>
    </w:div>
    <w:div w:id="1528107342">
      <w:bodyDiv w:val="1"/>
      <w:marLeft w:val="0"/>
      <w:marRight w:val="0"/>
      <w:marTop w:val="0"/>
      <w:marBottom w:val="0"/>
      <w:divBdr>
        <w:top w:val="none" w:sz="0" w:space="0" w:color="auto"/>
        <w:left w:val="none" w:sz="0" w:space="0" w:color="auto"/>
        <w:bottom w:val="none" w:sz="0" w:space="0" w:color="auto"/>
        <w:right w:val="none" w:sz="0" w:space="0" w:color="auto"/>
      </w:divBdr>
    </w:div>
    <w:div w:id="1656449085">
      <w:bodyDiv w:val="1"/>
      <w:marLeft w:val="0"/>
      <w:marRight w:val="0"/>
      <w:marTop w:val="0"/>
      <w:marBottom w:val="0"/>
      <w:divBdr>
        <w:top w:val="none" w:sz="0" w:space="0" w:color="auto"/>
        <w:left w:val="none" w:sz="0" w:space="0" w:color="auto"/>
        <w:bottom w:val="none" w:sz="0" w:space="0" w:color="auto"/>
        <w:right w:val="none" w:sz="0" w:space="0" w:color="auto"/>
      </w:divBdr>
    </w:div>
    <w:div w:id="1828547514">
      <w:bodyDiv w:val="1"/>
      <w:marLeft w:val="0"/>
      <w:marRight w:val="0"/>
      <w:marTop w:val="0"/>
      <w:marBottom w:val="0"/>
      <w:divBdr>
        <w:top w:val="none" w:sz="0" w:space="0" w:color="auto"/>
        <w:left w:val="none" w:sz="0" w:space="0" w:color="auto"/>
        <w:bottom w:val="none" w:sz="0" w:space="0" w:color="auto"/>
        <w:right w:val="none" w:sz="0" w:space="0" w:color="auto"/>
      </w:divBdr>
    </w:div>
    <w:div w:id="1852376810">
      <w:bodyDiv w:val="1"/>
      <w:marLeft w:val="0"/>
      <w:marRight w:val="0"/>
      <w:marTop w:val="0"/>
      <w:marBottom w:val="0"/>
      <w:divBdr>
        <w:top w:val="none" w:sz="0" w:space="0" w:color="auto"/>
        <w:left w:val="none" w:sz="0" w:space="0" w:color="auto"/>
        <w:bottom w:val="none" w:sz="0" w:space="0" w:color="auto"/>
        <w:right w:val="none" w:sz="0" w:space="0" w:color="auto"/>
      </w:divBdr>
    </w:div>
    <w:div w:id="202771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D97A2E72CA5C546823B11F1C5653366" ma:contentTypeVersion="8" ma:contentTypeDescription="Vytvoří nový dokument" ma:contentTypeScope="" ma:versionID="0e9e4fe4c9b12f22d60c08b92de93d91">
  <xsd:schema xmlns:xsd="http://www.w3.org/2001/XMLSchema" xmlns:xs="http://www.w3.org/2001/XMLSchema" xmlns:p="http://schemas.microsoft.com/office/2006/metadata/properties" xmlns:ns2="aace0092-e004-4946-9ab8-ef39e0b0caae" xmlns:ns3="bd623c1e-5bc6-426d-abfc-467136e540b0" targetNamespace="http://schemas.microsoft.com/office/2006/metadata/properties" ma:root="true" ma:fieldsID="8bf8c657fa496b92f3c9d57eeed354a8" ns2:_="" ns3:_="">
    <xsd:import namespace="aace0092-e004-4946-9ab8-ef39e0b0caae"/>
    <xsd:import namespace="bd623c1e-5bc6-426d-abfc-467136e540b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ce0092-e004-4946-9ab8-ef39e0b0caae"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623c1e-5bc6-426d-abfc-467136e540b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1DB2C-B99D-4114-A6BB-842214CB5D08}"/>
</file>

<file path=customXml/itemProps2.xml><?xml version="1.0" encoding="utf-8"?>
<ds:datastoreItem xmlns:ds="http://schemas.openxmlformats.org/officeDocument/2006/customXml" ds:itemID="{AED7C33D-AC4D-4013-9F13-6C7450803824}">
  <ds:schemaRefs>
    <ds:schemaRef ds:uri="http://schemas.microsoft.com/sharepoint/v3/contenttype/forms"/>
  </ds:schemaRefs>
</ds:datastoreItem>
</file>

<file path=customXml/itemProps3.xml><?xml version="1.0" encoding="utf-8"?>
<ds:datastoreItem xmlns:ds="http://schemas.openxmlformats.org/officeDocument/2006/customXml" ds:itemID="{5E090C25-AA6E-4D47-8B32-71E5784D74C0}">
  <ds:schemaRefs>
    <ds:schemaRef ds:uri="aace0092-e004-4946-9ab8-ef39e0b0caae"/>
    <ds:schemaRef ds:uri="http://purl.org/dc/elements/1.1/"/>
    <ds:schemaRef ds:uri="http://schemas.microsoft.com/office/2006/metadata/properties"/>
    <ds:schemaRef ds:uri="bd623c1e-5bc6-426d-abfc-467136e540b0"/>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4F551BB1-628B-4D2B-9920-321484D27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23</Pages>
  <Words>7489</Words>
  <Characters>44188</Characters>
  <Application>Microsoft Office Word</Application>
  <DocSecurity>0</DocSecurity>
  <Lines>368</Lines>
  <Paragraphs>103</Paragraphs>
  <ScaleCrop>false</ScaleCrop>
  <HeadingPairs>
    <vt:vector size="2" baseType="variant">
      <vt:variant>
        <vt:lpstr>Název</vt:lpstr>
      </vt:variant>
      <vt:variant>
        <vt:i4>1</vt:i4>
      </vt:variant>
    </vt:vector>
  </HeadingPairs>
  <TitlesOfParts>
    <vt:vector size="1" baseType="lpstr">
      <vt:lpstr/>
    </vt:vector>
  </TitlesOfParts>
  <Company>VZP ČR</Company>
  <LinksUpToDate>false</LinksUpToDate>
  <CharactersWithSpaces>51574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Helebrantová</dc:creator>
  <cp:lastModifiedBy>Šmídová Světlana</cp:lastModifiedBy>
  <cp:revision>52</cp:revision>
  <cp:lastPrinted>2019-02-21T08:18:00Z</cp:lastPrinted>
  <dcterms:created xsi:type="dcterms:W3CDTF">2020-12-20T17:36:00Z</dcterms:created>
  <dcterms:modified xsi:type="dcterms:W3CDTF">2020-12-22T14:19:00Z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0x0101000D97A2E72CA5C546823B11F1C5653366</vt:lpwstr>
  </property>
</Properties>
</file>