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EE4" w:rsidRDefault="007D5EEC">
      <w:pPr>
        <w:pStyle w:val="Zkladntext1"/>
        <w:shd w:val="clear" w:color="auto" w:fill="auto"/>
        <w:spacing w:after="0"/>
        <w:jc w:val="right"/>
      </w:pPr>
      <w:r>
        <w:rPr>
          <w:noProof/>
          <w:lang w:bidi="ar-SA"/>
        </w:rPr>
        <w:drawing>
          <wp:anchor distT="0" distB="265430" distL="114300" distR="964565" simplePos="0" relativeHeight="125829378" behindDoc="0" locked="0" layoutInCell="1" allowOverlap="1">
            <wp:simplePos x="0" y="0"/>
            <wp:positionH relativeFrom="page">
              <wp:posOffset>594360</wp:posOffset>
            </wp:positionH>
            <wp:positionV relativeFrom="paragraph">
              <wp:posOffset>25400</wp:posOffset>
            </wp:positionV>
            <wp:extent cx="737870" cy="67056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737870" cy="670560"/>
                    </a:xfrm>
                    <a:prstGeom prst="rect">
                      <a:avLst/>
                    </a:prstGeom>
                  </pic:spPr>
                </pic:pic>
              </a:graphicData>
            </a:graphic>
          </wp:anchor>
        </w:drawing>
      </w:r>
      <w:r>
        <w:rPr>
          <w:noProof/>
          <w:lang w:bidi="ar-SA"/>
        </w:rPr>
        <mc:AlternateContent>
          <mc:Choice Requires="wps">
            <w:drawing>
              <wp:anchor distT="490855" distB="0" distL="571500" distR="114300" simplePos="0" relativeHeight="125829379" behindDoc="0" locked="0" layoutInCell="1" allowOverlap="1">
                <wp:simplePos x="0" y="0"/>
                <wp:positionH relativeFrom="page">
                  <wp:posOffset>1051560</wp:posOffset>
                </wp:positionH>
                <wp:positionV relativeFrom="paragraph">
                  <wp:posOffset>516255</wp:posOffset>
                </wp:positionV>
                <wp:extent cx="1127760" cy="44513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127760" cy="445135"/>
                        </a:xfrm>
                        <a:prstGeom prst="rect">
                          <a:avLst/>
                        </a:prstGeom>
                        <a:noFill/>
                      </wps:spPr>
                      <wps:txbx>
                        <w:txbxContent>
                          <w:p w:rsidR="00BC2EE4" w:rsidRDefault="007D5EEC">
                            <w:pPr>
                              <w:pStyle w:val="Zkladntext20"/>
                              <w:shd w:val="clear" w:color="auto" w:fill="auto"/>
                            </w:pPr>
                            <w:r>
                              <w:t>AGENTURAOCHRANY PŘÍRODY A KRAJINY ČESKÉ REPUBLIKY</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82.799999999999997pt;margin-top:40.649999999999999pt;width:88.799999999999997pt;height:35.049999999999997pt;z-index:-125829374;mso-wrap-distance-left:45.pt;mso-wrap-distance-top:38.649999999999999pt;mso-wrap-distance-right:9.pt;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spacing w:val="0"/>
                          <w:w w:val="100"/>
                          <w:position w:val="0"/>
                          <w:shd w:val="clear" w:color="auto" w:fill="auto"/>
                          <w:lang w:val="cs-CZ" w:eastAsia="cs-CZ" w:bidi="cs-CZ"/>
                        </w:rPr>
                        <w:t>AGENTURAOCHRANY PŘÍRODY A KRAJINY ČESKÉ REPUBLIKY</w:t>
                      </w:r>
                    </w:p>
                  </w:txbxContent>
                </v:textbox>
                <w10:wrap type="square" anchorx="page"/>
              </v:shape>
            </w:pict>
          </mc:Fallback>
        </mc:AlternateContent>
      </w:r>
      <w:r>
        <w:t>Č. j. 06157/UL/20</w:t>
      </w:r>
    </w:p>
    <w:p w:rsidR="00BC2EE4" w:rsidRDefault="007D5EEC">
      <w:pPr>
        <w:pStyle w:val="Zkladntext1"/>
        <w:shd w:val="clear" w:color="auto" w:fill="auto"/>
        <w:spacing w:after="0"/>
        <w:jc w:val="right"/>
      </w:pPr>
      <w:r>
        <w:t>Číslo smlouvy: PPK-138a/53/20</w:t>
      </w:r>
    </w:p>
    <w:p w:rsidR="00BC2EE4" w:rsidRDefault="007D5EEC">
      <w:pPr>
        <w:pStyle w:val="Zkladntext1"/>
        <w:shd w:val="clear" w:color="auto" w:fill="auto"/>
        <w:spacing w:after="800"/>
        <w:jc w:val="right"/>
      </w:pPr>
      <w:r>
        <w:t>Dotační titul: A1</w:t>
      </w:r>
    </w:p>
    <w:p w:rsidR="00BC2EE4" w:rsidRDefault="007D5EEC">
      <w:pPr>
        <w:pStyle w:val="Zkladntext1"/>
        <w:shd w:val="clear" w:color="auto" w:fill="auto"/>
        <w:spacing w:after="280"/>
        <w:jc w:val="center"/>
      </w:pPr>
      <w:r>
        <w:rPr>
          <w:b/>
          <w:bCs/>
        </w:rPr>
        <w:t>SMLOUVA O DÍLO</w:t>
      </w:r>
    </w:p>
    <w:p w:rsidR="00BC2EE4" w:rsidRDefault="007D5EEC">
      <w:pPr>
        <w:pStyle w:val="Zkladntext1"/>
        <w:shd w:val="clear" w:color="auto" w:fill="auto"/>
        <w:spacing w:after="0"/>
        <w:jc w:val="center"/>
      </w:pPr>
      <w:r>
        <w:rPr>
          <w:b/>
          <w:bCs/>
        </w:rPr>
        <w:t>UZAVŘENÁ DLE USTANOVENÍ § 2586 A NÁSL. ZÁK. Č. 89/2012 SB., OBČANSKÉHO</w:t>
      </w:r>
    </w:p>
    <w:p w:rsidR="00BC2EE4" w:rsidRDefault="007D5EEC">
      <w:pPr>
        <w:pStyle w:val="Zkladntext1"/>
        <w:shd w:val="clear" w:color="auto" w:fill="auto"/>
        <w:spacing w:after="280"/>
        <w:jc w:val="center"/>
      </w:pPr>
      <w:r>
        <w:rPr>
          <w:b/>
          <w:bCs/>
        </w:rPr>
        <w:t>ZÁKONÍKU, VE ZNĚNÍ POZDĚJŠÍCH PŘEDPISŮ</w:t>
      </w:r>
    </w:p>
    <w:p w:rsidR="00BC2EE4" w:rsidRDefault="007D5EEC">
      <w:pPr>
        <w:pStyle w:val="Zkladntext1"/>
        <w:numPr>
          <w:ilvl w:val="0"/>
          <w:numId w:val="1"/>
        </w:numPr>
        <w:shd w:val="clear" w:color="auto" w:fill="auto"/>
        <w:tabs>
          <w:tab w:val="left" w:pos="325"/>
        </w:tabs>
        <w:spacing w:after="280"/>
        <w:jc w:val="center"/>
      </w:pPr>
      <w:r>
        <w:rPr>
          <w:b/>
          <w:bCs/>
        </w:rPr>
        <w:t>Smluvní strany</w:t>
      </w:r>
    </w:p>
    <w:p w:rsidR="00BC2EE4" w:rsidRDefault="007D5EEC">
      <w:pPr>
        <w:pStyle w:val="Zkladntext1"/>
        <w:numPr>
          <w:ilvl w:val="0"/>
          <w:numId w:val="2"/>
        </w:numPr>
        <w:shd w:val="clear" w:color="auto" w:fill="auto"/>
        <w:tabs>
          <w:tab w:val="left" w:pos="507"/>
        </w:tabs>
        <w:spacing w:after="280"/>
      </w:pPr>
      <w:r>
        <w:rPr>
          <w:b/>
          <w:bCs/>
        </w:rPr>
        <w:t>Objednatel</w:t>
      </w:r>
    </w:p>
    <w:p w:rsidR="00BC2EE4" w:rsidRDefault="007D5EEC">
      <w:pPr>
        <w:pStyle w:val="Nadpis10"/>
        <w:keepNext/>
        <w:keepLines/>
        <w:shd w:val="clear" w:color="auto" w:fill="auto"/>
        <w:spacing w:after="280"/>
        <w:jc w:val="left"/>
      </w:pPr>
      <w:bookmarkStart w:id="0" w:name="bookmark0"/>
      <w:bookmarkStart w:id="1" w:name="bookmark1"/>
      <w:r>
        <w:t>Česká republika - Agentura ochrany přírody a krajiny ČR</w:t>
      </w:r>
      <w:bookmarkEnd w:id="0"/>
      <w:bookmarkEnd w:id="1"/>
    </w:p>
    <w:p w:rsidR="00BC2EE4" w:rsidRDefault="007D5EEC">
      <w:pPr>
        <w:pStyle w:val="Zkladntext1"/>
        <w:shd w:val="clear" w:color="auto" w:fill="auto"/>
        <w:spacing w:after="0"/>
      </w:pPr>
      <w:r>
        <w:t>Sídlo: Kaplanova 1931/1, 148 00 Praha 11 - Chodov</w:t>
      </w:r>
    </w:p>
    <w:p w:rsidR="00BC2EE4" w:rsidRDefault="007D5EEC">
      <w:pPr>
        <w:pStyle w:val="Zkladntext1"/>
        <w:shd w:val="clear" w:color="auto" w:fill="auto"/>
        <w:spacing w:after="0"/>
      </w:pPr>
      <w:r>
        <w:t>Zastoupený: Ing. Vladislav Kopecký vedoucí oddělení péče o přírodu a krajinu - RP SCHKO České středohoří</w:t>
      </w:r>
    </w:p>
    <w:p w:rsidR="00BC2EE4" w:rsidRDefault="007D5EEC">
      <w:pPr>
        <w:pStyle w:val="Zkladntext1"/>
        <w:shd w:val="clear" w:color="auto" w:fill="auto"/>
        <w:spacing w:after="0"/>
      </w:pPr>
      <w:r>
        <w:t>Bankovní spojení: ČNB Praha, Číslo účtu: 18228011/0710</w:t>
      </w:r>
    </w:p>
    <w:p w:rsidR="00BC2EE4" w:rsidRDefault="007D5EEC">
      <w:pPr>
        <w:pStyle w:val="Zkladntext1"/>
        <w:shd w:val="clear" w:color="auto" w:fill="auto"/>
        <w:spacing w:after="0"/>
      </w:pPr>
      <w:r>
        <w:t>IČO: 629 335 91, DIČ: neplátce DPH</w:t>
      </w:r>
    </w:p>
    <w:p w:rsidR="00BC2EE4" w:rsidRDefault="007D5EEC">
      <w:pPr>
        <w:pStyle w:val="Zkladntext1"/>
        <w:shd w:val="clear" w:color="auto" w:fill="auto"/>
        <w:spacing w:after="280"/>
      </w:pPr>
      <w:r>
        <w:t>V rozsahu této smlouvy osoba zmocněná k jednání se zhotovitelem, k věcným úkonům a k převzetí díla: Ing. Roman Hamerský</w:t>
      </w:r>
    </w:p>
    <w:p w:rsidR="00BC2EE4" w:rsidRDefault="007D5EEC">
      <w:pPr>
        <w:pStyle w:val="Zkladntext1"/>
        <w:shd w:val="clear" w:color="auto" w:fill="auto"/>
        <w:spacing w:after="800"/>
      </w:pPr>
      <w:r>
        <w:t>(dále jen „objednatel”)</w:t>
      </w:r>
    </w:p>
    <w:p w:rsidR="00BC2EE4" w:rsidRDefault="007D5EEC">
      <w:pPr>
        <w:pStyle w:val="Zkladntext1"/>
        <w:numPr>
          <w:ilvl w:val="0"/>
          <w:numId w:val="2"/>
        </w:numPr>
        <w:shd w:val="clear" w:color="auto" w:fill="auto"/>
        <w:tabs>
          <w:tab w:val="left" w:pos="507"/>
        </w:tabs>
        <w:spacing w:after="280"/>
      </w:pPr>
      <w:r>
        <w:rPr>
          <w:b/>
          <w:bCs/>
        </w:rPr>
        <w:t>Zhotovitel</w:t>
      </w:r>
    </w:p>
    <w:p w:rsidR="00BC2EE4" w:rsidRDefault="007D5EEC">
      <w:pPr>
        <w:pStyle w:val="Nadpis10"/>
        <w:keepNext/>
        <w:keepLines/>
        <w:shd w:val="clear" w:color="auto" w:fill="auto"/>
        <w:spacing w:after="280"/>
        <w:jc w:val="left"/>
      </w:pPr>
      <w:bookmarkStart w:id="2" w:name="bookmark2"/>
      <w:bookmarkStart w:id="3" w:name="bookmark3"/>
      <w:r>
        <w:t>Jaroslav Kučera Ku-Ku s.r.o.</w:t>
      </w:r>
      <w:bookmarkEnd w:id="2"/>
      <w:bookmarkEnd w:id="3"/>
    </w:p>
    <w:p w:rsidR="00BC2EE4" w:rsidRDefault="007D5EEC">
      <w:pPr>
        <w:pStyle w:val="Zkladntext1"/>
        <w:shd w:val="clear" w:color="auto" w:fill="auto"/>
        <w:spacing w:after="0"/>
      </w:pPr>
      <w:r>
        <w:t>Sídlo: Jitřní 1951, Kadaň 43201</w:t>
      </w:r>
    </w:p>
    <w:p w:rsidR="00BC2EE4" w:rsidRDefault="007D5EEC">
      <w:pPr>
        <w:pStyle w:val="Zkladntext1"/>
        <w:shd w:val="clear" w:color="auto" w:fill="auto"/>
        <w:spacing w:after="0"/>
      </w:pPr>
      <w:r>
        <w:t>Zastoupený: Jaroslav Kučera jednatel, Radana Kučerová jednatel</w:t>
      </w:r>
    </w:p>
    <w:p w:rsidR="00BC2EE4" w:rsidRDefault="007D5EEC">
      <w:pPr>
        <w:pStyle w:val="Zkladntext1"/>
        <w:shd w:val="clear" w:color="auto" w:fill="auto"/>
        <w:spacing w:after="0"/>
      </w:pPr>
      <w:r>
        <w:t>Bankovní spojení: 215177047/0100 Komerční banka Kadaň</w:t>
      </w:r>
    </w:p>
    <w:p w:rsidR="00BC2EE4" w:rsidRDefault="007D5EEC">
      <w:pPr>
        <w:pStyle w:val="Zkladntext1"/>
        <w:shd w:val="clear" w:color="auto" w:fill="auto"/>
        <w:spacing w:after="280"/>
      </w:pPr>
      <w:r>
        <w:t>IČO: 27262588, DIČ CZ27262588</w:t>
      </w:r>
    </w:p>
    <w:p w:rsidR="00BC2EE4" w:rsidRDefault="007D5EEC">
      <w:pPr>
        <w:pStyle w:val="Zkladntext1"/>
        <w:shd w:val="clear" w:color="auto" w:fill="auto"/>
        <w:spacing w:after="220"/>
      </w:pPr>
      <w:r>
        <w:t>(dále jen „zhotovitel”)</w:t>
      </w:r>
    </w:p>
    <w:p w:rsidR="00BC2EE4" w:rsidRDefault="007D5EEC">
      <w:pPr>
        <w:pStyle w:val="Nadpis10"/>
        <w:keepNext/>
        <w:keepLines/>
        <w:numPr>
          <w:ilvl w:val="0"/>
          <w:numId w:val="1"/>
        </w:numPr>
        <w:shd w:val="clear" w:color="auto" w:fill="auto"/>
        <w:tabs>
          <w:tab w:val="left" w:pos="382"/>
        </w:tabs>
        <w:spacing w:after="220"/>
      </w:pPr>
      <w:bookmarkStart w:id="4" w:name="bookmark4"/>
      <w:bookmarkStart w:id="5" w:name="bookmark5"/>
      <w:r>
        <w:t>Předmět smlouvy</w:t>
      </w:r>
      <w:bookmarkEnd w:id="4"/>
      <w:bookmarkEnd w:id="5"/>
    </w:p>
    <w:p w:rsidR="00BC2EE4" w:rsidRDefault="007D5EEC">
      <w:pPr>
        <w:pStyle w:val="Zkladntext1"/>
        <w:numPr>
          <w:ilvl w:val="0"/>
          <w:numId w:val="3"/>
        </w:numPr>
        <w:shd w:val="clear" w:color="auto" w:fill="auto"/>
        <w:tabs>
          <w:tab w:val="left" w:pos="507"/>
        </w:tabs>
        <w:ind w:left="360" w:hanging="360"/>
        <w:jc w:val="both"/>
      </w:pPr>
      <w:r>
        <w:t>Na základě této smlouvy se zhotovitel zavazuje provést na svůj náklad a nebezpečí dílo specifikované v čl. 2.2 této smlouvy a předat jej objednateli. Objednatel se zavazuje dílo převzít a zaplatit za něj zhotoviteli dohodnutou cenu.</w:t>
      </w:r>
    </w:p>
    <w:p w:rsidR="00BC2EE4" w:rsidRDefault="007D5EEC">
      <w:pPr>
        <w:pStyle w:val="Zkladntext1"/>
        <w:numPr>
          <w:ilvl w:val="0"/>
          <w:numId w:val="3"/>
        </w:numPr>
        <w:shd w:val="clear" w:color="auto" w:fill="auto"/>
        <w:tabs>
          <w:tab w:val="left" w:pos="507"/>
        </w:tabs>
      </w:pPr>
      <w:r>
        <w:t>Dílem se rozumí:</w:t>
      </w:r>
    </w:p>
    <w:p w:rsidR="00BC2EE4" w:rsidRDefault="007D5EEC">
      <w:pPr>
        <w:pStyle w:val="Zkladntext1"/>
        <w:shd w:val="clear" w:color="auto" w:fill="auto"/>
        <w:ind w:left="360"/>
        <w:jc w:val="both"/>
      </w:pPr>
      <w:r>
        <w:t>Provedení následujících opatření v NPP Janský vrch a jeho ochranném pásmu, k. ú. Korozluky, části p. p. č. 368/3 a p. p. č. 342/2:</w:t>
      </w:r>
    </w:p>
    <w:p w:rsidR="00BC2EE4" w:rsidRDefault="007D5EEC">
      <w:pPr>
        <w:pStyle w:val="Zkladntext1"/>
        <w:shd w:val="clear" w:color="auto" w:fill="auto"/>
        <w:spacing w:after="280"/>
        <w:ind w:left="360"/>
        <w:jc w:val="both"/>
      </w:pPr>
      <w:r>
        <w:t>a) výřez výmladků nežádoucích dřevin (např. trnovník akát, žanovec, hloh, jasan, hloh, svída, trnka, růže) do 1 m výšky na ploše 0,3349 ha dle zákresu nad ortofotomapou, která je v příloze této smlouvy o dílo. Veškerá vyřezaná hmota bude odstraněna z pozemků a využita v souladu s platnými právními předpisy. Jsou zde ztížené podmínky - špatná přístupnost (na plochu nevede žádná přístupová cesta) a svažitost pozemků.</w:t>
      </w:r>
    </w:p>
    <w:p w:rsidR="00BC2EE4" w:rsidRDefault="007D5EEC">
      <w:pPr>
        <w:pStyle w:val="Zkladntext1"/>
        <w:shd w:val="clear" w:color="auto" w:fill="auto"/>
        <w:ind w:left="360"/>
        <w:jc w:val="both"/>
      </w:pPr>
      <w:r>
        <w:t xml:space="preserve">b) ruční kosení spojené s odstraněním hmoty na ploše 0,1858 ha dle zákresu nad ortofotomapou, která je v příloze této smlouvy o dílo. Veškerá pokosená hmota bude odstraněna </w:t>
      </w:r>
      <w:r>
        <w:lastRenderedPageBreak/>
        <w:t>z pozemků a využita v souladu s platnými právními předpisy. Kosení bude provedeno v souladu s platným Standardem péče o přírodu a krajinu č. SPPK D02 004:2017 Sečení, který byl přílohou zadávacího řízení. Jsou zde ztížené podmínky - špatná přístupnost (na plochu nevede žádná přístupová cesta).</w:t>
      </w:r>
    </w:p>
    <w:p w:rsidR="00BC2EE4" w:rsidRDefault="007D5EEC">
      <w:pPr>
        <w:pStyle w:val="Zkladntext1"/>
        <w:shd w:val="clear" w:color="auto" w:fill="auto"/>
        <w:ind w:left="360"/>
        <w:jc w:val="both"/>
      </w:pPr>
      <w:r>
        <w:t>Práce jsou prováděny jako zásah na podporu stepních druhů, př. kavyl sličný, k. Ivanův, kozinec bezlodyžný, vlnice chlupatá.</w:t>
      </w:r>
    </w:p>
    <w:p w:rsidR="00BC2EE4" w:rsidRDefault="007D5EEC">
      <w:pPr>
        <w:pStyle w:val="Zkladntext1"/>
        <w:shd w:val="clear" w:color="auto" w:fill="auto"/>
        <w:spacing w:after="240"/>
        <w:ind w:left="360"/>
        <w:jc w:val="both"/>
      </w:pPr>
      <w:r>
        <w:t>(dále jen „dílo“)</w:t>
      </w:r>
    </w:p>
    <w:p w:rsidR="00BC2EE4" w:rsidRDefault="007D5EEC">
      <w:pPr>
        <w:pStyle w:val="Zkladntext1"/>
        <w:numPr>
          <w:ilvl w:val="0"/>
          <w:numId w:val="3"/>
        </w:numPr>
        <w:shd w:val="clear" w:color="auto" w:fill="auto"/>
        <w:tabs>
          <w:tab w:val="left" w:pos="457"/>
        </w:tabs>
        <w:jc w:val="both"/>
      </w:pPr>
      <w:r>
        <w:t>Při provádění díla je zhotovitel vázán pokyny objednatele.</w:t>
      </w:r>
    </w:p>
    <w:p w:rsidR="00BC2EE4" w:rsidRDefault="007D5EEC">
      <w:pPr>
        <w:pStyle w:val="Zkladntext1"/>
        <w:numPr>
          <w:ilvl w:val="0"/>
          <w:numId w:val="3"/>
        </w:numPr>
        <w:shd w:val="clear" w:color="auto" w:fill="auto"/>
        <w:tabs>
          <w:tab w:val="left" w:pos="457"/>
        </w:tabs>
        <w:spacing w:after="240"/>
        <w:ind w:left="360" w:hanging="360"/>
        <w:jc w:val="both"/>
      </w:pPr>
      <w:r>
        <w:t>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BC2EE4" w:rsidRDefault="007D5EEC">
      <w:pPr>
        <w:pStyle w:val="Nadpis10"/>
        <w:keepNext/>
        <w:keepLines/>
        <w:numPr>
          <w:ilvl w:val="0"/>
          <w:numId w:val="1"/>
        </w:numPr>
        <w:shd w:val="clear" w:color="auto" w:fill="auto"/>
        <w:tabs>
          <w:tab w:val="left" w:pos="394"/>
        </w:tabs>
        <w:spacing w:after="240"/>
      </w:pPr>
      <w:bookmarkStart w:id="6" w:name="bookmark6"/>
      <w:bookmarkStart w:id="7" w:name="bookmark7"/>
      <w:r>
        <w:t>Cena díla a platební podmínky</w:t>
      </w:r>
      <w:bookmarkEnd w:id="6"/>
      <w:bookmarkEnd w:id="7"/>
    </w:p>
    <w:p w:rsidR="00BC2EE4" w:rsidRDefault="007D5EEC">
      <w:pPr>
        <w:pStyle w:val="Zkladntext1"/>
        <w:numPr>
          <w:ilvl w:val="0"/>
          <w:numId w:val="4"/>
        </w:numPr>
        <w:shd w:val="clear" w:color="auto" w:fill="auto"/>
        <w:tabs>
          <w:tab w:val="left" w:pos="457"/>
        </w:tabs>
        <w:jc w:val="both"/>
      </w:pPr>
      <w:r>
        <w:t>Cena díla je stanovena v souladu s právními předpisy:</w:t>
      </w:r>
    </w:p>
    <w:p w:rsidR="00BC2EE4" w:rsidRDefault="007D5EEC">
      <w:pPr>
        <w:pStyle w:val="Zkladntext1"/>
        <w:shd w:val="clear" w:color="auto" w:fill="auto"/>
        <w:ind w:left="360"/>
        <w:jc w:val="both"/>
      </w:pPr>
      <w:r>
        <w:t xml:space="preserve">Cena bez DPH: </w:t>
      </w:r>
      <w:bookmarkStart w:id="8" w:name="_GoBack"/>
      <w:r>
        <w:t xml:space="preserve">34 137,42 </w:t>
      </w:r>
      <w:bookmarkEnd w:id="8"/>
      <w:r>
        <w:t>Kč, DPH 21%: 7 168,86 Kč, cena včetně DPH: 41 306,28 Kč, (slovy čtyřicetjedentisíctřistašestkorunčeských/dvacetosmhaléřů).</w:t>
      </w:r>
    </w:p>
    <w:p w:rsidR="00BC2EE4" w:rsidRDefault="007D5EEC">
      <w:pPr>
        <w:pStyle w:val="Zkladntext1"/>
        <w:shd w:val="clear" w:color="auto" w:fill="auto"/>
        <w:ind w:firstLine="360"/>
        <w:jc w:val="both"/>
      </w:pPr>
      <w:r>
        <w:t>Zhotovitel je plátce DPH.</w:t>
      </w:r>
    </w:p>
    <w:p w:rsidR="00BC2EE4" w:rsidRDefault="007D5EEC">
      <w:pPr>
        <w:pStyle w:val="Zkladntext1"/>
        <w:numPr>
          <w:ilvl w:val="0"/>
          <w:numId w:val="4"/>
        </w:numPr>
        <w:shd w:val="clear" w:color="auto" w:fill="auto"/>
        <w:tabs>
          <w:tab w:val="left" w:pos="457"/>
        </w:tabs>
        <w:ind w:left="360" w:hanging="360"/>
        <w:jc w:val="both"/>
      </w:pPr>
      <w:r>
        <w:t>Dohodnutá cena je stanovena jako nejvýše přípustná. Ke změně může dojít pouze při změně zákonných sazeb DPH.</w:t>
      </w:r>
    </w:p>
    <w:p w:rsidR="00BC2EE4" w:rsidRDefault="007D5EEC">
      <w:pPr>
        <w:pStyle w:val="Zkladntext1"/>
        <w:numPr>
          <w:ilvl w:val="0"/>
          <w:numId w:val="4"/>
        </w:numPr>
        <w:shd w:val="clear" w:color="auto" w:fill="auto"/>
        <w:tabs>
          <w:tab w:val="left" w:pos="457"/>
        </w:tabs>
        <w:jc w:val="both"/>
      </w:pPr>
      <w:r>
        <w:t>Veškeré náklady vzniklé zhotoviteli v souvislosti s prováděním díla jsou zahrnuty v ceně díla.</w:t>
      </w:r>
    </w:p>
    <w:p w:rsidR="00BC2EE4" w:rsidRDefault="007D5EEC">
      <w:pPr>
        <w:pStyle w:val="Zkladntext1"/>
        <w:numPr>
          <w:ilvl w:val="0"/>
          <w:numId w:val="4"/>
        </w:numPr>
        <w:shd w:val="clear" w:color="auto" w:fill="auto"/>
        <w:tabs>
          <w:tab w:val="left" w:pos="447"/>
        </w:tabs>
        <w:ind w:left="360" w:hanging="360"/>
        <w:jc w:val="both"/>
      </w:pPr>
      <w:r>
        <w:t>Cena za dílo bude vyúčtována po provedení díla. Zhotovitel je povinen daňový doklad (fakturu) vystavit a doručit objednateli nejpozději do 15 pracovních dnů po předání a převzetí díla (v žádném případě však ne později než do 11. 11. kalendářního roku) na základě předávacího protokolu na adresu: Regionální pracoviště SCHKO České středohoří, Michalská 260, 41201 Litoměřice.</w:t>
      </w:r>
    </w:p>
    <w:p w:rsidR="00BC2EE4" w:rsidRDefault="007D5EEC">
      <w:pPr>
        <w:pStyle w:val="Zkladntext1"/>
        <w:numPr>
          <w:ilvl w:val="0"/>
          <w:numId w:val="4"/>
        </w:numPr>
        <w:shd w:val="clear" w:color="auto" w:fill="auto"/>
        <w:tabs>
          <w:tab w:val="left" w:pos="457"/>
        </w:tabs>
        <w:ind w:left="360" w:hanging="360"/>
        <w:jc w:val="both"/>
      </w:pPr>
      <w:r>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BC2EE4" w:rsidRDefault="007D5EEC">
      <w:pPr>
        <w:pStyle w:val="Zkladntext1"/>
        <w:numPr>
          <w:ilvl w:val="0"/>
          <w:numId w:val="4"/>
        </w:numPr>
        <w:shd w:val="clear" w:color="auto" w:fill="auto"/>
        <w:tabs>
          <w:tab w:val="left" w:pos="457"/>
        </w:tabs>
        <w:ind w:left="360" w:hanging="360"/>
        <w:jc w:val="both"/>
      </w:pPr>
      <w:r>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rsidR="00BC2EE4" w:rsidRDefault="007D5EEC">
      <w:pPr>
        <w:pStyle w:val="Zkladntext1"/>
        <w:numPr>
          <w:ilvl w:val="0"/>
          <w:numId w:val="4"/>
        </w:numPr>
        <w:shd w:val="clear" w:color="auto" w:fill="auto"/>
        <w:tabs>
          <w:tab w:val="left" w:pos="457"/>
        </w:tabs>
        <w:spacing w:after="240"/>
        <w:jc w:val="both"/>
      </w:pPr>
      <w:r>
        <w:t>Smluvní strany se dohodly, že objednatel nebude poskytovat zálohové platby.</w:t>
      </w:r>
    </w:p>
    <w:p w:rsidR="00BC2EE4" w:rsidRDefault="007D5EEC">
      <w:pPr>
        <w:pStyle w:val="Nadpis10"/>
        <w:keepNext/>
        <w:keepLines/>
        <w:numPr>
          <w:ilvl w:val="0"/>
          <w:numId w:val="1"/>
        </w:numPr>
        <w:shd w:val="clear" w:color="auto" w:fill="auto"/>
        <w:tabs>
          <w:tab w:val="left" w:pos="418"/>
        </w:tabs>
        <w:spacing w:after="240"/>
      </w:pPr>
      <w:bookmarkStart w:id="9" w:name="bookmark8"/>
      <w:bookmarkStart w:id="10" w:name="bookmark9"/>
      <w:r>
        <w:t>Doba a místo plnění</w:t>
      </w:r>
      <w:bookmarkEnd w:id="9"/>
      <w:bookmarkEnd w:id="10"/>
    </w:p>
    <w:p w:rsidR="00BC2EE4" w:rsidRDefault="007D5EEC">
      <w:pPr>
        <w:pStyle w:val="Zkladntext1"/>
        <w:numPr>
          <w:ilvl w:val="0"/>
          <w:numId w:val="5"/>
        </w:numPr>
        <w:shd w:val="clear" w:color="auto" w:fill="auto"/>
        <w:tabs>
          <w:tab w:val="left" w:pos="457"/>
        </w:tabs>
        <w:jc w:val="both"/>
      </w:pPr>
      <w:r>
        <w:t>Zhotovitel se zavazuje provést dílo a předat jej objednateli nejpozději do: 6. 11. 2020.</w:t>
      </w:r>
    </w:p>
    <w:p w:rsidR="00BC2EE4" w:rsidRDefault="007D5EEC">
      <w:pPr>
        <w:pStyle w:val="Zkladntext1"/>
        <w:numPr>
          <w:ilvl w:val="0"/>
          <w:numId w:val="5"/>
        </w:numPr>
        <w:shd w:val="clear" w:color="auto" w:fill="auto"/>
        <w:tabs>
          <w:tab w:val="left" w:pos="457"/>
        </w:tabs>
        <w:ind w:left="360" w:hanging="360"/>
        <w:jc w:val="both"/>
      </w:pPr>
      <w:r>
        <w:t>Pokud zhotovitel dokončí dílo před dohodnutým termínem, zavazuje se objednatel, že převezme dílo i v dřívějším nabídnutém termínu, pokud bude bez vad a nedodělků.</w:t>
      </w:r>
    </w:p>
    <w:p w:rsidR="00BC2EE4" w:rsidRDefault="007D5EEC">
      <w:pPr>
        <w:pStyle w:val="Zkladntext1"/>
        <w:numPr>
          <w:ilvl w:val="0"/>
          <w:numId w:val="5"/>
        </w:numPr>
        <w:shd w:val="clear" w:color="auto" w:fill="auto"/>
        <w:tabs>
          <w:tab w:val="left" w:pos="457"/>
        </w:tabs>
        <w:spacing w:after="240"/>
        <w:jc w:val="both"/>
      </w:pPr>
      <w:r>
        <w:t>Místem plnění je k. ú. Korozluky, části p. p. č. 368/3 a p. p. č. 342/2.</w:t>
      </w:r>
    </w:p>
    <w:p w:rsidR="00BC2EE4" w:rsidRDefault="007D5EEC">
      <w:pPr>
        <w:pStyle w:val="Nadpis10"/>
        <w:keepNext/>
        <w:keepLines/>
        <w:numPr>
          <w:ilvl w:val="0"/>
          <w:numId w:val="1"/>
        </w:numPr>
        <w:shd w:val="clear" w:color="auto" w:fill="auto"/>
        <w:tabs>
          <w:tab w:val="left" w:pos="364"/>
        </w:tabs>
        <w:spacing w:after="240"/>
      </w:pPr>
      <w:bookmarkStart w:id="11" w:name="bookmark10"/>
      <w:bookmarkStart w:id="12" w:name="bookmark11"/>
      <w:r>
        <w:t>Další ujednání</w:t>
      </w:r>
      <w:bookmarkEnd w:id="11"/>
      <w:bookmarkEnd w:id="12"/>
    </w:p>
    <w:p w:rsidR="00BC2EE4" w:rsidRDefault="007D5EEC">
      <w:pPr>
        <w:pStyle w:val="Zkladntext1"/>
        <w:numPr>
          <w:ilvl w:val="0"/>
          <w:numId w:val="6"/>
        </w:numPr>
        <w:shd w:val="clear" w:color="auto" w:fill="auto"/>
        <w:tabs>
          <w:tab w:val="left" w:pos="457"/>
        </w:tabs>
        <w:ind w:left="360" w:hanging="360"/>
        <w:jc w:val="both"/>
      </w:pPr>
      <w:r>
        <w:t>Zhotovitel je povinen provést dílo v kvalitě, formě a obsahu, které vyžaduje tato smlouva a která je obvyklá pro díla obdobného typu. Zhotovitel je povinen po celou dobu provádění díla dbát pokynů objednatele.</w:t>
      </w:r>
    </w:p>
    <w:p w:rsidR="00BC2EE4" w:rsidRDefault="007D5EEC">
      <w:pPr>
        <w:pStyle w:val="Zkladntext1"/>
        <w:numPr>
          <w:ilvl w:val="0"/>
          <w:numId w:val="6"/>
        </w:numPr>
        <w:shd w:val="clear" w:color="auto" w:fill="auto"/>
        <w:tabs>
          <w:tab w:val="left" w:pos="447"/>
        </w:tabs>
        <w:ind w:left="340" w:hanging="340"/>
        <w:jc w:val="both"/>
      </w:pPr>
      <w:r>
        <w:t xml:space="preserve">Objednatel je oprávněn kontrolovat provádění díla. Zjistí-li objednatel, že zhotovitel provádí dílo v rozporu se svými povinnostmi, je oprávněn zhotovitele na tuto skutečnost upozornit a </w:t>
      </w:r>
      <w:r>
        <w:lastRenderedPageBreak/>
        <w:t>dožadovat se provádění díla řádným způsobem. Jestliže tak zhotovitel neučiní ani ve lhůtě mu k tomu poskytnuté, je objednatel oprávněn od této smlouvy odstoupit doručením písemného odstoupení zhotoviteli</w:t>
      </w:r>
    </w:p>
    <w:p w:rsidR="00BC2EE4" w:rsidRDefault="007D5EEC">
      <w:pPr>
        <w:pStyle w:val="Zkladntext1"/>
        <w:numPr>
          <w:ilvl w:val="0"/>
          <w:numId w:val="6"/>
        </w:numPr>
        <w:shd w:val="clear" w:color="auto" w:fill="auto"/>
        <w:tabs>
          <w:tab w:val="left" w:pos="447"/>
        </w:tabs>
        <w:spacing w:after="220"/>
        <w:ind w:left="340" w:hanging="340"/>
        <w:jc w:val="both"/>
      </w:pPr>
      <w:r>
        <w:t>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w:t>
      </w:r>
      <w:hyperlink r:id="rId8" w:history="1">
        <w:r>
          <w:t xml:space="preserve"> </w:t>
        </w:r>
        <w:r>
          <w:rPr>
            <w:color w:val="0000FF"/>
            <w:u w:val="single"/>
            <w:lang w:val="en-US" w:eastAsia="en-US" w:bidi="en-US"/>
          </w:rPr>
          <w:t xml:space="preserve">https://portal.nature.cz/publik </w:t>
        </w:r>
        <w:r>
          <w:rPr>
            <w:color w:val="0000FF"/>
            <w:u w:val="single"/>
          </w:rPr>
          <w:t xml:space="preserve">syst/files/oop </w:t>
        </w:r>
        <w:r>
          <w:rPr>
            <w:color w:val="0000FF"/>
            <w:u w:val="single"/>
            <w:lang w:val="en-US" w:eastAsia="en-US" w:bidi="en-US"/>
          </w:rPr>
          <w:t>mngmonvyj.pdf</w:t>
        </w:r>
        <w:r>
          <w:rPr>
            <w:color w:val="0000FF"/>
            <w:lang w:val="en-US" w:eastAsia="en-US" w:bidi="en-US"/>
          </w:rPr>
          <w:t xml:space="preserve"> </w:t>
        </w:r>
      </w:hyperlink>
      <w:r>
        <w:t>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w:t>
      </w:r>
    </w:p>
    <w:p w:rsidR="00BC2EE4" w:rsidRDefault="007D5EEC">
      <w:pPr>
        <w:pStyle w:val="Nadpis10"/>
        <w:keepNext/>
        <w:keepLines/>
        <w:numPr>
          <w:ilvl w:val="0"/>
          <w:numId w:val="1"/>
        </w:numPr>
        <w:shd w:val="clear" w:color="auto" w:fill="auto"/>
        <w:tabs>
          <w:tab w:val="left" w:pos="409"/>
        </w:tabs>
        <w:spacing w:after="220"/>
      </w:pPr>
      <w:bookmarkStart w:id="13" w:name="bookmark12"/>
      <w:bookmarkStart w:id="14" w:name="bookmark13"/>
      <w:r>
        <w:t>Předání a převzetí díla</w:t>
      </w:r>
      <w:bookmarkEnd w:id="13"/>
      <w:bookmarkEnd w:id="14"/>
    </w:p>
    <w:p w:rsidR="00BC2EE4" w:rsidRDefault="007D5EEC">
      <w:pPr>
        <w:pStyle w:val="Zkladntext1"/>
        <w:numPr>
          <w:ilvl w:val="0"/>
          <w:numId w:val="7"/>
        </w:numPr>
        <w:shd w:val="clear" w:color="auto" w:fill="auto"/>
        <w:tabs>
          <w:tab w:val="left" w:pos="447"/>
        </w:tabs>
        <w:ind w:left="340" w:hanging="340"/>
        <w:jc w:val="both"/>
      </w:pPr>
      <w:r>
        <w:t>O předání díla vyhotoví smluvní strany předávací protokol podepsaný oběma smluvními stranami. Objednatel není povinen převzít dílo vykazující byť drobné vady či nedodělky.</w:t>
      </w:r>
    </w:p>
    <w:p w:rsidR="00BC2EE4" w:rsidRDefault="007D5EEC">
      <w:pPr>
        <w:pStyle w:val="Zkladntext1"/>
        <w:numPr>
          <w:ilvl w:val="0"/>
          <w:numId w:val="7"/>
        </w:numPr>
        <w:shd w:val="clear" w:color="auto" w:fill="auto"/>
        <w:tabs>
          <w:tab w:val="left" w:pos="447"/>
        </w:tabs>
        <w:ind w:left="340" w:hanging="340"/>
        <w:jc w:val="both"/>
      </w:pPr>
      <w:r>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BC2EE4" w:rsidRDefault="007D5EEC">
      <w:pPr>
        <w:pStyle w:val="Zkladntext1"/>
        <w:numPr>
          <w:ilvl w:val="0"/>
          <w:numId w:val="7"/>
        </w:numPr>
        <w:shd w:val="clear" w:color="auto" w:fill="auto"/>
        <w:tabs>
          <w:tab w:val="left" w:pos="447"/>
        </w:tabs>
        <w:spacing w:after="220"/>
        <w:ind w:left="340" w:hanging="340"/>
        <w:jc w:val="both"/>
      </w:pPr>
      <w:r>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BC2EE4" w:rsidRDefault="007D5EEC">
      <w:pPr>
        <w:pStyle w:val="Nadpis10"/>
        <w:keepNext/>
        <w:keepLines/>
        <w:numPr>
          <w:ilvl w:val="0"/>
          <w:numId w:val="1"/>
        </w:numPr>
        <w:shd w:val="clear" w:color="auto" w:fill="auto"/>
        <w:tabs>
          <w:tab w:val="left" w:pos="471"/>
        </w:tabs>
        <w:spacing w:after="220"/>
      </w:pPr>
      <w:bookmarkStart w:id="15" w:name="bookmark14"/>
      <w:bookmarkStart w:id="16" w:name="bookmark15"/>
      <w:r>
        <w:t>Odpovědnost za vady</w:t>
      </w:r>
      <w:bookmarkEnd w:id="15"/>
      <w:bookmarkEnd w:id="16"/>
    </w:p>
    <w:p w:rsidR="00BC2EE4" w:rsidRDefault="007D5EEC">
      <w:pPr>
        <w:pStyle w:val="Zkladntext1"/>
        <w:numPr>
          <w:ilvl w:val="0"/>
          <w:numId w:val="8"/>
        </w:numPr>
        <w:shd w:val="clear" w:color="auto" w:fill="auto"/>
        <w:tabs>
          <w:tab w:val="left" w:pos="447"/>
        </w:tabs>
        <w:ind w:left="340" w:hanging="340"/>
        <w:jc w:val="both"/>
      </w:pPr>
      <w:r>
        <w:t>Zhotovitel odpovídá za vady, jež má dílo v době jeho předání objednateli, byť se vady projeví až později.</w:t>
      </w:r>
    </w:p>
    <w:p w:rsidR="00BC2EE4" w:rsidRDefault="007D5EEC">
      <w:pPr>
        <w:pStyle w:val="Zkladntext1"/>
        <w:numPr>
          <w:ilvl w:val="0"/>
          <w:numId w:val="8"/>
        </w:numPr>
        <w:shd w:val="clear" w:color="auto" w:fill="auto"/>
        <w:tabs>
          <w:tab w:val="left" w:pos="447"/>
        </w:tabs>
        <w:ind w:left="340" w:hanging="340"/>
        <w:jc w:val="both"/>
      </w:pPr>
      <w:r>
        <w:t>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BC2EE4" w:rsidRDefault="007D5EEC">
      <w:pPr>
        <w:pStyle w:val="Zkladntext1"/>
        <w:numPr>
          <w:ilvl w:val="0"/>
          <w:numId w:val="8"/>
        </w:numPr>
        <w:shd w:val="clear" w:color="auto" w:fill="auto"/>
        <w:tabs>
          <w:tab w:val="left" w:pos="447"/>
        </w:tabs>
        <w:ind w:left="340" w:hanging="340"/>
        <w:jc w:val="both"/>
      </w:pPr>
      <w:r>
        <w:t>Objednatel je oprávněn požadovat odstranění vady opravou, poskytnutím náhradního plnění nebo slevu ze sjednané ceny. Výběr způsobu nápravy náleží objednateli.</w:t>
      </w:r>
    </w:p>
    <w:p w:rsidR="00BC2EE4" w:rsidRDefault="007D5EEC">
      <w:pPr>
        <w:pStyle w:val="Zkladntext1"/>
        <w:numPr>
          <w:ilvl w:val="0"/>
          <w:numId w:val="8"/>
        </w:numPr>
        <w:shd w:val="clear" w:color="auto" w:fill="auto"/>
        <w:tabs>
          <w:tab w:val="left" w:pos="447"/>
        </w:tabs>
        <w:ind w:left="340" w:hanging="340"/>
        <w:jc w:val="both"/>
      </w:pPr>
      <w:r>
        <w:t>Zhotovitel poskytuje na dílo záruku v délce 0 měsíců. V případě, že délka záruky činí 0 měsíců, ustanovení článků 7.5 až 7.7 pozbývají platnosti.</w:t>
      </w:r>
    </w:p>
    <w:p w:rsidR="00BC2EE4" w:rsidRDefault="007D5EEC">
      <w:pPr>
        <w:pStyle w:val="Zkladntext1"/>
        <w:numPr>
          <w:ilvl w:val="0"/>
          <w:numId w:val="8"/>
        </w:numPr>
        <w:shd w:val="clear" w:color="auto" w:fill="auto"/>
        <w:tabs>
          <w:tab w:val="left" w:pos="447"/>
        </w:tabs>
        <w:ind w:left="340" w:hanging="340"/>
        <w:jc w:val="both"/>
      </w:pPr>
      <w:r>
        <w:t>Záruční doba počíná běžet dnem předání kompletního a bezvadného díla, popř. dnem odstranění poslední vady a nedodělku uvedeného v předávacím protokolu.</w:t>
      </w:r>
    </w:p>
    <w:p w:rsidR="00BC2EE4" w:rsidRDefault="007D5EEC">
      <w:pPr>
        <w:pStyle w:val="Zkladntext1"/>
        <w:numPr>
          <w:ilvl w:val="0"/>
          <w:numId w:val="8"/>
        </w:numPr>
        <w:shd w:val="clear" w:color="auto" w:fill="auto"/>
        <w:tabs>
          <w:tab w:val="left" w:pos="447"/>
        </w:tabs>
        <w:ind w:left="340" w:hanging="340"/>
        <w:jc w:val="both"/>
      </w:pPr>
      <w:r>
        <w:t>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r>
        <w:br w:type="page"/>
      </w:r>
    </w:p>
    <w:p w:rsidR="00BC2EE4" w:rsidRDefault="007D5EEC">
      <w:pPr>
        <w:pStyle w:val="Zkladntext1"/>
        <w:numPr>
          <w:ilvl w:val="0"/>
          <w:numId w:val="8"/>
        </w:numPr>
        <w:shd w:val="clear" w:color="auto" w:fill="auto"/>
        <w:tabs>
          <w:tab w:val="left" w:pos="452"/>
        </w:tabs>
        <w:spacing w:after="220"/>
        <w:ind w:left="300" w:hanging="300"/>
        <w:jc w:val="both"/>
      </w:pPr>
      <w:r>
        <w:lastRenderedPageBreak/>
        <w:t>Objednatel je oprávněn požadovat odstranění vady, na kterou se vztahuje záruka, opravou, poskytnutím náhradního plnění nebo slevu ze sjednané ceny. Výběr způsobu nápravy náleží objednateli.</w:t>
      </w:r>
    </w:p>
    <w:p w:rsidR="00BC2EE4" w:rsidRDefault="007D5EEC">
      <w:pPr>
        <w:pStyle w:val="Nadpis10"/>
        <w:keepNext/>
        <w:keepLines/>
        <w:numPr>
          <w:ilvl w:val="0"/>
          <w:numId w:val="1"/>
        </w:numPr>
        <w:shd w:val="clear" w:color="auto" w:fill="auto"/>
        <w:tabs>
          <w:tab w:val="left" w:pos="534"/>
        </w:tabs>
        <w:spacing w:after="220"/>
      </w:pPr>
      <w:bookmarkStart w:id="17" w:name="bookmark16"/>
      <w:bookmarkStart w:id="18" w:name="bookmark17"/>
      <w:r>
        <w:t>Sankce</w:t>
      </w:r>
      <w:bookmarkEnd w:id="17"/>
      <w:bookmarkEnd w:id="18"/>
    </w:p>
    <w:p w:rsidR="00BC2EE4" w:rsidRDefault="007D5EEC">
      <w:pPr>
        <w:pStyle w:val="Zkladntext1"/>
        <w:numPr>
          <w:ilvl w:val="0"/>
          <w:numId w:val="9"/>
        </w:numPr>
        <w:shd w:val="clear" w:color="auto" w:fill="auto"/>
        <w:tabs>
          <w:tab w:val="left" w:pos="452"/>
        </w:tabs>
        <w:ind w:left="300" w:hanging="300"/>
        <w:jc w:val="both"/>
      </w:pPr>
      <w:r>
        <w:t>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BC2EE4" w:rsidRDefault="007D5EEC">
      <w:pPr>
        <w:pStyle w:val="Zkladntext1"/>
        <w:numPr>
          <w:ilvl w:val="0"/>
          <w:numId w:val="9"/>
        </w:numPr>
        <w:shd w:val="clear" w:color="auto" w:fill="auto"/>
        <w:tabs>
          <w:tab w:val="left" w:pos="452"/>
        </w:tabs>
        <w:ind w:left="300" w:hanging="300"/>
        <w:jc w:val="both"/>
      </w:pPr>
      <w:r>
        <w:t>V případě prodlení objednatele s placením vyúčtování je objednatel povinen zaplatit zhotoviteli úrok z prodlení z nezaplacené částky v zákonné výši.</w:t>
      </w:r>
    </w:p>
    <w:p w:rsidR="00BC2EE4" w:rsidRDefault="007D5EEC">
      <w:pPr>
        <w:pStyle w:val="Zkladntext1"/>
        <w:numPr>
          <w:ilvl w:val="0"/>
          <w:numId w:val="9"/>
        </w:numPr>
        <w:shd w:val="clear" w:color="auto" w:fill="auto"/>
        <w:tabs>
          <w:tab w:val="left" w:pos="452"/>
        </w:tabs>
        <w:spacing w:after="220"/>
        <w:ind w:left="300" w:hanging="300"/>
        <w:jc w:val="both"/>
      </w:pPr>
      <w:r>
        <w:t>Ustanoveními o smluvní pokutě není dotčen nárok oprávněné smluvní strany požadovat náhradu škody v plném rozsahu.</w:t>
      </w:r>
    </w:p>
    <w:p w:rsidR="00BC2EE4" w:rsidRDefault="007D5EEC">
      <w:pPr>
        <w:pStyle w:val="Nadpis10"/>
        <w:keepNext/>
        <w:keepLines/>
        <w:numPr>
          <w:ilvl w:val="0"/>
          <w:numId w:val="1"/>
        </w:numPr>
        <w:shd w:val="clear" w:color="auto" w:fill="auto"/>
        <w:tabs>
          <w:tab w:val="left" w:pos="414"/>
        </w:tabs>
        <w:spacing w:after="220"/>
      </w:pPr>
      <w:bookmarkStart w:id="19" w:name="bookmark18"/>
      <w:bookmarkStart w:id="20" w:name="bookmark19"/>
      <w:r>
        <w:t>Závěrečná ustanovení</w:t>
      </w:r>
      <w:bookmarkEnd w:id="19"/>
      <w:bookmarkEnd w:id="20"/>
    </w:p>
    <w:p w:rsidR="00BC2EE4" w:rsidRDefault="007D5EEC">
      <w:pPr>
        <w:pStyle w:val="Zkladntext1"/>
        <w:numPr>
          <w:ilvl w:val="0"/>
          <w:numId w:val="10"/>
        </w:numPr>
        <w:shd w:val="clear" w:color="auto" w:fill="auto"/>
        <w:tabs>
          <w:tab w:val="left" w:pos="452"/>
        </w:tabs>
        <w:ind w:left="300" w:hanging="300"/>
        <w:jc w:val="both"/>
      </w:pPr>
      <w:r>
        <w:t>Tato smlouva může být měněna a doplňována pouze písemnými a očíslovanými dodatky podepsanými oprávněnými zástupci smluvních stran, není-li v této smlouvě uvedeno jinak.</w:t>
      </w:r>
    </w:p>
    <w:p w:rsidR="00BC2EE4" w:rsidRDefault="007D5EEC">
      <w:pPr>
        <w:pStyle w:val="Zkladntext1"/>
        <w:numPr>
          <w:ilvl w:val="0"/>
          <w:numId w:val="10"/>
        </w:numPr>
        <w:shd w:val="clear" w:color="auto" w:fill="auto"/>
        <w:tabs>
          <w:tab w:val="left" w:pos="452"/>
        </w:tabs>
        <w:ind w:left="300" w:hanging="300"/>
        <w:jc w:val="both"/>
      </w:pPr>
      <w:r>
        <w:t>Ve věcech touto smlouvou neupravených se řídí práva a povinnosti smluvních stran příslušnými ustanoveními zákona č. 89/2012 Sb., občanského zákoníku.</w:t>
      </w:r>
    </w:p>
    <w:p w:rsidR="00BC2EE4" w:rsidRDefault="007D5EEC">
      <w:pPr>
        <w:pStyle w:val="Zkladntext1"/>
        <w:numPr>
          <w:ilvl w:val="0"/>
          <w:numId w:val="10"/>
        </w:numPr>
        <w:shd w:val="clear" w:color="auto" w:fill="auto"/>
        <w:tabs>
          <w:tab w:val="left" w:pos="452"/>
        </w:tabs>
        <w:ind w:left="300" w:hanging="300"/>
        <w:jc w:val="both"/>
      </w:pPr>
      <w:r>
        <w:t>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BC2EE4" w:rsidRDefault="007D5EEC">
      <w:pPr>
        <w:pStyle w:val="Zkladntext1"/>
        <w:numPr>
          <w:ilvl w:val="0"/>
          <w:numId w:val="10"/>
        </w:numPr>
        <w:shd w:val="clear" w:color="auto" w:fill="auto"/>
        <w:tabs>
          <w:tab w:val="left" w:pos="452"/>
        </w:tabs>
        <w:ind w:left="300" w:hanging="300"/>
        <w:jc w:val="both"/>
      </w:pPr>
      <w:r>
        <w:t>Tato smlouva je vyhotovena ve třech stejnopisech, z nichž každý má platnost originálu. Dva stejnopisy obdrží objednatel, jeden stejnopis obdrží zhotovitel.</w:t>
      </w:r>
    </w:p>
    <w:p w:rsidR="00BC2EE4" w:rsidRDefault="007D5EEC">
      <w:pPr>
        <w:pStyle w:val="Zkladntext1"/>
        <w:numPr>
          <w:ilvl w:val="0"/>
          <w:numId w:val="10"/>
        </w:numPr>
        <w:shd w:val="clear" w:color="auto" w:fill="auto"/>
        <w:tabs>
          <w:tab w:val="left" w:pos="452"/>
        </w:tabs>
        <w:ind w:left="300" w:hanging="300"/>
        <w:jc w:val="both"/>
      </w:pPr>
      <w:r>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BC2EE4" w:rsidRDefault="007D5EEC">
      <w:pPr>
        <w:pStyle w:val="Zkladntext1"/>
        <w:numPr>
          <w:ilvl w:val="0"/>
          <w:numId w:val="10"/>
        </w:numPr>
        <w:shd w:val="clear" w:color="auto" w:fill="auto"/>
        <w:tabs>
          <w:tab w:val="left" w:pos="452"/>
        </w:tabs>
        <w:ind w:left="300" w:hanging="300"/>
        <w:jc w:val="both"/>
      </w:pPr>
      <w:r>
        <w:t>Obě smluvní strany prohlašují, že se seznámily s celým textem smlouvy včetně jejich příloh a s celým obsahem smlouvy souhlasí. Současně prohlašují, že tato smlouva nebyla sjednána v tísni ani za jinak nápadně nevýhodných podmínek.</w:t>
      </w:r>
    </w:p>
    <w:p w:rsidR="00BC2EE4" w:rsidRDefault="007D5EEC">
      <w:pPr>
        <w:pStyle w:val="Zkladntext1"/>
        <w:numPr>
          <w:ilvl w:val="0"/>
          <w:numId w:val="10"/>
        </w:numPr>
        <w:shd w:val="clear" w:color="auto" w:fill="auto"/>
        <w:tabs>
          <w:tab w:val="left" w:pos="452"/>
        </w:tabs>
      </w:pPr>
      <w:r>
        <w:t>Nedílnou součástí smlouvy jsou tyto přílohy:</w:t>
      </w:r>
    </w:p>
    <w:p w:rsidR="00BC2EE4" w:rsidRDefault="007D5EEC">
      <w:pPr>
        <w:pStyle w:val="Zkladntext1"/>
        <w:shd w:val="clear" w:color="auto" w:fill="auto"/>
        <w:spacing w:after="0"/>
        <w:ind w:firstLine="300"/>
      </w:pPr>
      <w:r>
        <w:t>Příloha č. 1 - položkový rozpočet</w:t>
      </w:r>
    </w:p>
    <w:p w:rsidR="00BC2EE4" w:rsidRDefault="007D5EEC">
      <w:pPr>
        <w:pStyle w:val="Zkladntext1"/>
        <w:shd w:val="clear" w:color="auto" w:fill="auto"/>
        <w:spacing w:after="320"/>
        <w:ind w:firstLine="300"/>
      </w:pPr>
      <w:r>
        <w:t>Příloha č. 2 - mapový zákres</w:t>
      </w:r>
    </w:p>
    <w:p w:rsidR="00BC2EE4" w:rsidRDefault="007D5EEC">
      <w:pPr>
        <w:pStyle w:val="Zkladntext1"/>
        <w:shd w:val="clear" w:color="auto" w:fill="auto"/>
        <w:tabs>
          <w:tab w:val="right" w:leader="dot" w:pos="5730"/>
          <w:tab w:val="left" w:pos="5880"/>
          <w:tab w:val="left" w:pos="7314"/>
          <w:tab w:val="left" w:leader="dot" w:pos="8908"/>
        </w:tabs>
        <w:spacing w:after="320"/>
        <w:ind w:firstLine="220"/>
      </w:pPr>
      <w:r>
        <w:t>V Litoměřicích dne 8. 10. 2020                                V Kadani</w:t>
      </w:r>
      <w:r>
        <w:tab/>
        <w:t>dne 7. 10. 2020</w:t>
      </w:r>
    </w:p>
    <w:p w:rsidR="00BC2EE4" w:rsidRDefault="007D5EEC">
      <w:pPr>
        <w:pStyle w:val="Zkladntext1"/>
        <w:shd w:val="clear" w:color="auto" w:fill="auto"/>
        <w:spacing w:after="1680"/>
        <w:ind w:left="1440"/>
      </w:pPr>
      <w:r>
        <w:rPr>
          <w:noProof/>
          <w:lang w:bidi="ar-SA"/>
        </w:rPr>
        <mc:AlternateContent>
          <mc:Choice Requires="wps">
            <w:drawing>
              <wp:anchor distT="0" distB="1466215" distL="702310" distR="699770" simplePos="0" relativeHeight="125829381" behindDoc="0" locked="0" layoutInCell="1" allowOverlap="1">
                <wp:simplePos x="0" y="0"/>
                <wp:positionH relativeFrom="page">
                  <wp:posOffset>4997450</wp:posOffset>
                </wp:positionH>
                <wp:positionV relativeFrom="paragraph">
                  <wp:posOffset>12700</wp:posOffset>
                </wp:positionV>
                <wp:extent cx="655320" cy="18605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655320" cy="186055"/>
                        </a:xfrm>
                        <a:prstGeom prst="rect">
                          <a:avLst/>
                        </a:prstGeom>
                        <a:noFill/>
                      </wps:spPr>
                      <wps:txbx>
                        <w:txbxContent>
                          <w:p w:rsidR="00BC2EE4" w:rsidRDefault="007D5EEC">
                            <w:pPr>
                              <w:pStyle w:val="Zkladntext1"/>
                              <w:shd w:val="clear" w:color="auto" w:fill="auto"/>
                              <w:spacing w:after="0"/>
                            </w:pPr>
                            <w:r>
                              <w:t>Zhotovitel</w:t>
                            </w:r>
                          </w:p>
                        </w:txbxContent>
                      </wps:txbx>
                      <wps:bodyPr wrap="none" lIns="0" tIns="0" rIns="0" bIns="0"/>
                    </wps:wsp>
                  </a:graphicData>
                </a:graphic>
              </wp:anchor>
            </w:drawing>
          </mc:Choice>
          <mc:Fallback>
            <w:pict>
              <v:shape id="_x0000_s1031" type="#_x0000_t202" style="position:absolute;margin-left:393.5pt;margin-top:1.pt;width:51.600000000000001pt;height:14.65pt;z-index:-125829372;mso-wrap-distance-left:55.299999999999997pt;mso-wrap-distance-right:55.100000000000001pt;mso-wrap-distance-bottom:115.4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Zhotovitel</w:t>
                      </w:r>
                    </w:p>
                  </w:txbxContent>
                </v:textbox>
                <w10:wrap type="square" side="left" anchorx="page"/>
              </v:shape>
            </w:pict>
          </mc:Fallback>
        </mc:AlternateContent>
      </w:r>
      <w:r>
        <w:rPr>
          <w:noProof/>
          <w:lang w:bidi="ar-SA"/>
        </w:rPr>
        <mc:AlternateContent>
          <mc:Choice Requires="wps">
            <w:drawing>
              <wp:anchor distT="1146175" distB="0" distL="114300" distR="114300" simplePos="0" relativeHeight="125829383" behindDoc="0" locked="0" layoutInCell="1" allowOverlap="1">
                <wp:simplePos x="0" y="0"/>
                <wp:positionH relativeFrom="page">
                  <wp:posOffset>4409440</wp:posOffset>
                </wp:positionH>
                <wp:positionV relativeFrom="paragraph">
                  <wp:posOffset>1158875</wp:posOffset>
                </wp:positionV>
                <wp:extent cx="1828800" cy="50609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828800" cy="506095"/>
                        </a:xfrm>
                        <a:prstGeom prst="rect">
                          <a:avLst/>
                        </a:prstGeom>
                        <a:noFill/>
                      </wps:spPr>
                      <wps:txbx>
                        <w:txbxContent>
                          <w:p w:rsidR="00BC2EE4" w:rsidRDefault="007D5EEC">
                            <w:pPr>
                              <w:pStyle w:val="Zkladntext1"/>
                              <w:shd w:val="clear" w:color="auto" w:fill="auto"/>
                              <w:spacing w:after="0"/>
                              <w:jc w:val="center"/>
                            </w:pPr>
                            <w:r>
                              <w:t>Jaroslav Kučera</w:t>
                            </w:r>
                            <w:r>
                              <w:br/>
                              <w:t>jednatel</w:t>
                            </w:r>
                          </w:p>
                          <w:p w:rsidR="00BC2EE4" w:rsidRDefault="007D5EEC">
                            <w:pPr>
                              <w:pStyle w:val="Zkladntext1"/>
                              <w:shd w:val="clear" w:color="auto" w:fill="auto"/>
                              <w:spacing w:after="0"/>
                              <w:jc w:val="center"/>
                            </w:pPr>
                            <w:r>
                              <w:t>Jaroslav Kučera Ku-Ku s.r.o.</w:t>
                            </w:r>
                          </w:p>
                        </w:txbxContent>
                      </wps:txbx>
                      <wps:bodyPr lIns="0" tIns="0" rIns="0" bIns="0"/>
                    </wps:wsp>
                  </a:graphicData>
                </a:graphic>
              </wp:anchor>
            </w:drawing>
          </mc:Choice>
          <mc:Fallback>
            <w:pict>
              <v:shape id="_x0000_s1033" type="#_x0000_t202" style="position:absolute;margin-left:347.19999999999999pt;margin-top:91.25pt;width:144.pt;height:39.850000000000001pt;z-index:-125829370;mso-wrap-distance-left:9.pt;mso-wrap-distance-top:90.25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Jaroslav Kučera</w:t>
                        <w:br/>
                        <w:t>jednatel</w:t>
                      </w:r>
                    </w:p>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Jaroslav Kučera Ku-Ku s.r.o.</w:t>
                      </w:r>
                    </w:p>
                  </w:txbxContent>
                </v:textbox>
                <w10:wrap type="square" side="left" anchorx="page"/>
              </v:shape>
            </w:pict>
          </mc:Fallback>
        </mc:AlternateContent>
      </w:r>
      <w:r>
        <w:t>Objednatel</w:t>
      </w:r>
    </w:p>
    <w:p w:rsidR="00BC2EE4" w:rsidRDefault="007D5EEC">
      <w:pPr>
        <w:pStyle w:val="Zkladntext1"/>
        <w:shd w:val="clear" w:color="auto" w:fill="auto"/>
        <w:jc w:val="center"/>
      </w:pPr>
      <w:r>
        <w:t>Ing. Vladislav Kopecký</w:t>
      </w:r>
      <w:r>
        <w:br/>
        <w:t>vedoucí oddělení péče o přírodu a</w:t>
      </w:r>
      <w:r>
        <w:br/>
        <w:t>krajinu - RP SCHKO České středohoří</w:t>
      </w:r>
      <w:r>
        <w:br w:type="page"/>
      </w:r>
    </w:p>
    <w:p w:rsidR="00BC2EE4" w:rsidRDefault="007D5EEC">
      <w:pPr>
        <w:pStyle w:val="Zkladntext1"/>
        <w:shd w:val="clear" w:color="auto" w:fill="auto"/>
        <w:spacing w:after="300"/>
        <w:ind w:left="1500"/>
      </w:pPr>
      <w:r>
        <w:lastRenderedPageBreak/>
        <w:t>Předběžná kontrola před vznikem závazku dle zák. č. 320/01 Sb.</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84"/>
        <w:gridCol w:w="4937"/>
      </w:tblGrid>
      <w:tr w:rsidR="00BC2EE4" w:rsidTr="007D5EEC">
        <w:trPr>
          <w:trHeight w:hRule="exact" w:val="1272"/>
          <w:jc w:val="center"/>
        </w:trPr>
        <w:tc>
          <w:tcPr>
            <w:tcW w:w="1584" w:type="dxa"/>
            <w:shd w:val="clear" w:color="auto" w:fill="FFFFFF"/>
          </w:tcPr>
          <w:p w:rsidR="00BC2EE4" w:rsidRDefault="007D5EEC">
            <w:pPr>
              <w:pStyle w:val="Jin0"/>
              <w:shd w:val="clear" w:color="auto" w:fill="auto"/>
              <w:spacing w:after="0"/>
              <w:rPr>
                <w:sz w:val="18"/>
                <w:szCs w:val="18"/>
              </w:rPr>
            </w:pPr>
            <w:r>
              <w:rPr>
                <w:sz w:val="18"/>
                <w:szCs w:val="18"/>
              </w:rPr>
              <w:t>Příkazce operace:</w:t>
            </w:r>
          </w:p>
        </w:tc>
        <w:tc>
          <w:tcPr>
            <w:tcW w:w="4937" w:type="dxa"/>
            <w:shd w:val="clear" w:color="auto" w:fill="FFFFFF"/>
            <w:vAlign w:val="bottom"/>
          </w:tcPr>
          <w:p w:rsidR="00BC2EE4" w:rsidRDefault="00BC2EE4">
            <w:pPr>
              <w:pStyle w:val="Jin0"/>
              <w:shd w:val="clear" w:color="auto" w:fill="auto"/>
              <w:spacing w:after="0" w:line="187" w:lineRule="auto"/>
              <w:ind w:firstLine="140"/>
              <w:rPr>
                <w:sz w:val="19"/>
                <w:szCs w:val="19"/>
              </w:rPr>
            </w:pPr>
          </w:p>
        </w:tc>
      </w:tr>
    </w:tbl>
    <w:p w:rsidR="00BC2EE4" w:rsidRDefault="00BC2EE4">
      <w:pPr>
        <w:spacing w:after="419" w:line="1" w:lineRule="exact"/>
      </w:pPr>
    </w:p>
    <w:p w:rsidR="00BC2EE4" w:rsidRDefault="00BC2EE4">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9"/>
        <w:gridCol w:w="1978"/>
        <w:gridCol w:w="1800"/>
        <w:gridCol w:w="965"/>
      </w:tblGrid>
      <w:tr w:rsidR="00BC2EE4">
        <w:trPr>
          <w:trHeight w:hRule="exact" w:val="1546"/>
          <w:jc w:val="center"/>
        </w:trPr>
        <w:tc>
          <w:tcPr>
            <w:tcW w:w="3797" w:type="dxa"/>
            <w:gridSpan w:val="2"/>
            <w:shd w:val="clear" w:color="auto" w:fill="FFFFFF"/>
          </w:tcPr>
          <w:p w:rsidR="00BC2EE4" w:rsidRDefault="007D5EEC">
            <w:pPr>
              <w:pStyle w:val="Jin0"/>
              <w:shd w:val="clear" w:color="auto" w:fill="auto"/>
              <w:spacing w:after="0"/>
              <w:rPr>
                <w:sz w:val="18"/>
                <w:szCs w:val="18"/>
              </w:rPr>
            </w:pPr>
            <w:r>
              <w:rPr>
                <w:sz w:val="18"/>
                <w:szCs w:val="18"/>
              </w:rPr>
              <w:t>Správce rozpočtu:</w:t>
            </w:r>
          </w:p>
          <w:p w:rsidR="00BC2EE4" w:rsidRDefault="00BC2EE4">
            <w:pPr>
              <w:pStyle w:val="Jin0"/>
              <w:shd w:val="clear" w:color="auto" w:fill="auto"/>
              <w:spacing w:after="0"/>
              <w:ind w:left="1560"/>
              <w:rPr>
                <w:sz w:val="46"/>
                <w:szCs w:val="46"/>
              </w:rPr>
            </w:pPr>
          </w:p>
        </w:tc>
        <w:tc>
          <w:tcPr>
            <w:tcW w:w="2765" w:type="dxa"/>
            <w:gridSpan w:val="2"/>
            <w:shd w:val="clear" w:color="auto" w:fill="FFFFFF"/>
          </w:tcPr>
          <w:p w:rsidR="00BC2EE4" w:rsidRDefault="00BC2EE4">
            <w:pPr>
              <w:pStyle w:val="Jin0"/>
              <w:shd w:val="clear" w:color="auto" w:fill="auto"/>
              <w:spacing w:after="0" w:line="300" w:lineRule="auto"/>
            </w:pPr>
          </w:p>
        </w:tc>
      </w:tr>
      <w:tr w:rsidR="00BC2EE4">
        <w:trPr>
          <w:trHeight w:hRule="exact" w:val="523"/>
          <w:jc w:val="center"/>
        </w:trPr>
        <w:tc>
          <w:tcPr>
            <w:tcW w:w="1819" w:type="dxa"/>
            <w:shd w:val="clear" w:color="auto" w:fill="FFFFFF"/>
            <w:vAlign w:val="center"/>
          </w:tcPr>
          <w:p w:rsidR="00BC2EE4" w:rsidRDefault="007D5EEC">
            <w:pPr>
              <w:pStyle w:val="Jin0"/>
              <w:shd w:val="clear" w:color="auto" w:fill="auto"/>
              <w:spacing w:after="0"/>
              <w:jc w:val="center"/>
              <w:rPr>
                <w:sz w:val="18"/>
                <w:szCs w:val="18"/>
              </w:rPr>
            </w:pPr>
            <w:r>
              <w:rPr>
                <w:sz w:val="18"/>
                <w:szCs w:val="18"/>
              </w:rPr>
              <w:t>Odvětvové třídění</w:t>
            </w:r>
          </w:p>
        </w:tc>
        <w:tc>
          <w:tcPr>
            <w:tcW w:w="1978" w:type="dxa"/>
            <w:tcBorders>
              <w:top w:val="single" w:sz="4" w:space="0" w:color="auto"/>
              <w:left w:val="single" w:sz="4" w:space="0" w:color="auto"/>
            </w:tcBorders>
            <w:shd w:val="clear" w:color="auto" w:fill="FFFFFF"/>
            <w:vAlign w:val="center"/>
          </w:tcPr>
          <w:p w:rsidR="00BC2EE4" w:rsidRDefault="007D5EEC">
            <w:pPr>
              <w:pStyle w:val="Jin0"/>
              <w:shd w:val="clear" w:color="auto" w:fill="auto"/>
              <w:spacing w:after="0"/>
              <w:jc w:val="center"/>
              <w:rPr>
                <w:sz w:val="18"/>
                <w:szCs w:val="18"/>
              </w:rPr>
            </w:pPr>
            <w:r>
              <w:rPr>
                <w:sz w:val="18"/>
                <w:szCs w:val="18"/>
              </w:rPr>
              <w:t>Rozpočtová položka</w:t>
            </w:r>
          </w:p>
        </w:tc>
        <w:tc>
          <w:tcPr>
            <w:tcW w:w="1800" w:type="dxa"/>
            <w:tcBorders>
              <w:top w:val="single" w:sz="4" w:space="0" w:color="auto"/>
              <w:left w:val="single" w:sz="4" w:space="0" w:color="auto"/>
            </w:tcBorders>
            <w:shd w:val="clear" w:color="auto" w:fill="FFFFFF"/>
            <w:vAlign w:val="center"/>
          </w:tcPr>
          <w:p w:rsidR="00BC2EE4" w:rsidRDefault="007D5EEC">
            <w:pPr>
              <w:pStyle w:val="Jin0"/>
              <w:shd w:val="clear" w:color="auto" w:fill="auto"/>
              <w:spacing w:after="0"/>
              <w:jc w:val="center"/>
              <w:rPr>
                <w:sz w:val="18"/>
                <w:szCs w:val="18"/>
              </w:rPr>
            </w:pPr>
            <w:r>
              <w:rPr>
                <w:sz w:val="18"/>
                <w:szCs w:val="18"/>
              </w:rPr>
              <w:t>Tok</w:t>
            </w:r>
          </w:p>
        </w:tc>
        <w:tc>
          <w:tcPr>
            <w:tcW w:w="965" w:type="dxa"/>
            <w:tcBorders>
              <w:left w:val="single" w:sz="4" w:space="0" w:color="auto"/>
            </w:tcBorders>
            <w:shd w:val="clear" w:color="auto" w:fill="FFFFFF"/>
            <w:vAlign w:val="center"/>
          </w:tcPr>
          <w:p w:rsidR="00BC2EE4" w:rsidRDefault="007D5EEC">
            <w:pPr>
              <w:pStyle w:val="Jin0"/>
              <w:shd w:val="clear" w:color="auto" w:fill="auto"/>
              <w:spacing w:after="0"/>
              <w:ind w:firstLine="420"/>
              <w:rPr>
                <w:sz w:val="18"/>
                <w:szCs w:val="18"/>
              </w:rPr>
            </w:pPr>
            <w:r>
              <w:rPr>
                <w:sz w:val="18"/>
                <w:szCs w:val="18"/>
              </w:rPr>
              <w:t>Kč</w:t>
            </w:r>
          </w:p>
        </w:tc>
      </w:tr>
      <w:tr w:rsidR="00BC2EE4">
        <w:trPr>
          <w:trHeight w:hRule="exact" w:val="538"/>
          <w:jc w:val="center"/>
        </w:trPr>
        <w:tc>
          <w:tcPr>
            <w:tcW w:w="1819" w:type="dxa"/>
            <w:shd w:val="clear" w:color="auto" w:fill="FFFFFF"/>
            <w:vAlign w:val="center"/>
          </w:tcPr>
          <w:p w:rsidR="00BC2EE4" w:rsidRDefault="007D5EEC">
            <w:pPr>
              <w:pStyle w:val="Jin0"/>
              <w:shd w:val="clear" w:color="auto" w:fill="auto"/>
              <w:spacing w:after="0"/>
              <w:jc w:val="center"/>
              <w:rPr>
                <w:sz w:val="18"/>
                <w:szCs w:val="18"/>
              </w:rPr>
            </w:pPr>
            <w:r>
              <w:rPr>
                <w:sz w:val="18"/>
                <w:szCs w:val="18"/>
              </w:rPr>
              <w:t>3749</w:t>
            </w:r>
          </w:p>
        </w:tc>
        <w:tc>
          <w:tcPr>
            <w:tcW w:w="1978" w:type="dxa"/>
            <w:tcBorders>
              <w:top w:val="single" w:sz="4" w:space="0" w:color="auto"/>
              <w:left w:val="single" w:sz="4" w:space="0" w:color="auto"/>
              <w:bottom w:val="single" w:sz="4" w:space="0" w:color="auto"/>
            </w:tcBorders>
            <w:shd w:val="clear" w:color="auto" w:fill="FFFFFF"/>
          </w:tcPr>
          <w:p w:rsidR="00BC2EE4" w:rsidRDefault="007D5EEC">
            <w:pPr>
              <w:pStyle w:val="Jin0"/>
              <w:shd w:val="clear" w:color="auto" w:fill="auto"/>
              <w:spacing w:after="0"/>
              <w:jc w:val="center"/>
              <w:rPr>
                <w:sz w:val="18"/>
                <w:szCs w:val="18"/>
              </w:rPr>
            </w:pPr>
            <w:r>
              <w:rPr>
                <w:sz w:val="18"/>
                <w:szCs w:val="18"/>
              </w:rPr>
              <w:t>516930</w:t>
            </w:r>
          </w:p>
        </w:tc>
        <w:tc>
          <w:tcPr>
            <w:tcW w:w="1800" w:type="dxa"/>
            <w:tcBorders>
              <w:top w:val="single" w:sz="4" w:space="0" w:color="auto"/>
              <w:left w:val="single" w:sz="4" w:space="0" w:color="auto"/>
              <w:bottom w:val="single" w:sz="4" w:space="0" w:color="auto"/>
            </w:tcBorders>
            <w:shd w:val="clear" w:color="auto" w:fill="FFFFFF"/>
          </w:tcPr>
          <w:p w:rsidR="00BC2EE4" w:rsidRDefault="007D5EEC">
            <w:pPr>
              <w:pStyle w:val="Jin0"/>
              <w:shd w:val="clear" w:color="auto" w:fill="auto"/>
              <w:spacing w:after="0"/>
              <w:jc w:val="center"/>
              <w:rPr>
                <w:sz w:val="18"/>
                <w:szCs w:val="18"/>
              </w:rPr>
            </w:pPr>
            <w:r>
              <w:rPr>
                <w:sz w:val="18"/>
                <w:szCs w:val="18"/>
              </w:rPr>
              <w:t>01-60</w:t>
            </w:r>
          </w:p>
        </w:tc>
        <w:tc>
          <w:tcPr>
            <w:tcW w:w="965" w:type="dxa"/>
            <w:tcBorders>
              <w:left w:val="single" w:sz="4" w:space="0" w:color="auto"/>
            </w:tcBorders>
            <w:shd w:val="clear" w:color="auto" w:fill="FFFFFF"/>
          </w:tcPr>
          <w:p w:rsidR="00BC2EE4" w:rsidRDefault="007D5EEC">
            <w:pPr>
              <w:pStyle w:val="Jin0"/>
              <w:shd w:val="clear" w:color="auto" w:fill="auto"/>
              <w:spacing w:after="0"/>
              <w:jc w:val="right"/>
              <w:rPr>
                <w:sz w:val="18"/>
                <w:szCs w:val="18"/>
              </w:rPr>
            </w:pPr>
            <w:r>
              <w:rPr>
                <w:sz w:val="18"/>
                <w:szCs w:val="18"/>
              </w:rPr>
              <w:t>41 306,28</w:t>
            </w:r>
          </w:p>
        </w:tc>
      </w:tr>
    </w:tbl>
    <w:p w:rsidR="00BC2EE4" w:rsidRDefault="00BC2EE4">
      <w:pPr>
        <w:sectPr w:rsidR="00BC2EE4">
          <w:pgSz w:w="11900" w:h="16840"/>
          <w:pgMar w:top="1282" w:right="1145" w:bottom="647" w:left="1145" w:header="854" w:footer="3" w:gutter="0"/>
          <w:pgNumType w:start="1"/>
          <w:cols w:space="720"/>
          <w:noEndnote/>
          <w:docGrid w:linePitch="360"/>
        </w:sectPr>
      </w:pPr>
    </w:p>
    <w:p w:rsidR="00BC2EE4" w:rsidRDefault="007D5EEC">
      <w:pPr>
        <w:pStyle w:val="Zkladntext30"/>
        <w:shd w:val="clear" w:color="auto" w:fill="auto"/>
      </w:pPr>
      <w:r>
        <w:lastRenderedPageBreak/>
        <w:t>Příloha č. 1 ke smlouvě o dílo č. PPK-138a/53/20</w:t>
      </w:r>
    </w:p>
    <w:p w:rsidR="00BC2EE4" w:rsidRDefault="007D5EEC">
      <w:pPr>
        <w:pStyle w:val="Titulektabulky0"/>
        <w:shd w:val="clear" w:color="auto" w:fill="auto"/>
        <w:ind w:left="43"/>
      </w:pPr>
      <w:r>
        <w:t>Kalkulace - NPP Janský vrch a jeho OP - výřez a kosení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97"/>
        <w:gridCol w:w="734"/>
        <w:gridCol w:w="970"/>
        <w:gridCol w:w="1560"/>
        <w:gridCol w:w="1627"/>
        <w:gridCol w:w="1349"/>
        <w:gridCol w:w="1699"/>
        <w:gridCol w:w="1488"/>
        <w:gridCol w:w="1858"/>
      </w:tblGrid>
      <w:tr w:rsidR="00BC2EE4">
        <w:trPr>
          <w:trHeight w:hRule="exact" w:val="1291"/>
          <w:jc w:val="center"/>
        </w:trPr>
        <w:tc>
          <w:tcPr>
            <w:tcW w:w="1397" w:type="dxa"/>
            <w:tcBorders>
              <w:top w:val="single" w:sz="4" w:space="0" w:color="auto"/>
              <w:left w:val="single" w:sz="4" w:space="0" w:color="auto"/>
            </w:tcBorders>
            <w:shd w:val="clear" w:color="auto" w:fill="D0CECF"/>
            <w:vAlign w:val="center"/>
          </w:tcPr>
          <w:p w:rsidR="00BC2EE4" w:rsidRDefault="007D5EEC">
            <w:pPr>
              <w:pStyle w:val="Jin0"/>
              <w:shd w:val="clear" w:color="auto" w:fill="auto"/>
              <w:spacing w:after="0"/>
              <w:jc w:val="center"/>
            </w:pPr>
            <w:r>
              <w:rPr>
                <w:b/>
                <w:bCs/>
              </w:rPr>
              <w:t>Položky</w:t>
            </w:r>
          </w:p>
        </w:tc>
        <w:tc>
          <w:tcPr>
            <w:tcW w:w="734" w:type="dxa"/>
            <w:tcBorders>
              <w:top w:val="single" w:sz="4" w:space="0" w:color="auto"/>
              <w:left w:val="single" w:sz="4" w:space="0" w:color="auto"/>
            </w:tcBorders>
            <w:shd w:val="clear" w:color="auto" w:fill="D0CECF"/>
            <w:vAlign w:val="center"/>
          </w:tcPr>
          <w:p w:rsidR="00BC2EE4" w:rsidRDefault="007D5EEC">
            <w:pPr>
              <w:pStyle w:val="Jin0"/>
              <w:shd w:val="clear" w:color="auto" w:fill="auto"/>
              <w:spacing w:after="0"/>
              <w:jc w:val="center"/>
            </w:pPr>
            <w:r>
              <w:rPr>
                <w:b/>
                <w:bCs/>
              </w:rPr>
              <w:t>MJ</w:t>
            </w:r>
          </w:p>
        </w:tc>
        <w:tc>
          <w:tcPr>
            <w:tcW w:w="970" w:type="dxa"/>
            <w:tcBorders>
              <w:top w:val="single" w:sz="4" w:space="0" w:color="auto"/>
              <w:left w:val="single" w:sz="4" w:space="0" w:color="auto"/>
            </w:tcBorders>
            <w:shd w:val="clear" w:color="auto" w:fill="D0CECF"/>
            <w:vAlign w:val="center"/>
          </w:tcPr>
          <w:p w:rsidR="00BC2EE4" w:rsidRDefault="007D5EEC">
            <w:pPr>
              <w:pStyle w:val="Jin0"/>
              <w:shd w:val="clear" w:color="auto" w:fill="auto"/>
              <w:spacing w:after="0"/>
              <w:jc w:val="center"/>
            </w:pPr>
            <w:r>
              <w:rPr>
                <w:b/>
                <w:bCs/>
              </w:rPr>
              <w:t>Počet MJ</w:t>
            </w:r>
          </w:p>
        </w:tc>
        <w:tc>
          <w:tcPr>
            <w:tcW w:w="1560" w:type="dxa"/>
            <w:tcBorders>
              <w:top w:val="single" w:sz="4" w:space="0" w:color="auto"/>
              <w:left w:val="single" w:sz="4" w:space="0" w:color="auto"/>
            </w:tcBorders>
            <w:shd w:val="clear" w:color="auto" w:fill="D0CECF"/>
            <w:vAlign w:val="center"/>
          </w:tcPr>
          <w:p w:rsidR="00BC2EE4" w:rsidRDefault="007D5EEC">
            <w:pPr>
              <w:pStyle w:val="Jin0"/>
              <w:shd w:val="clear" w:color="auto" w:fill="auto"/>
              <w:spacing w:after="0"/>
              <w:jc w:val="center"/>
            </w:pPr>
            <w:r>
              <w:rPr>
                <w:b/>
                <w:bCs/>
              </w:rPr>
              <w:t>Cena MJ (Kč bez DPH)</w:t>
            </w:r>
          </w:p>
        </w:tc>
        <w:tc>
          <w:tcPr>
            <w:tcW w:w="1627" w:type="dxa"/>
            <w:tcBorders>
              <w:top w:val="single" w:sz="4" w:space="0" w:color="auto"/>
              <w:left w:val="single" w:sz="4" w:space="0" w:color="auto"/>
            </w:tcBorders>
            <w:shd w:val="clear" w:color="auto" w:fill="D0CECF"/>
            <w:vAlign w:val="center"/>
          </w:tcPr>
          <w:p w:rsidR="00BC2EE4" w:rsidRDefault="007D5EEC">
            <w:pPr>
              <w:pStyle w:val="Jin0"/>
              <w:shd w:val="clear" w:color="auto" w:fill="auto"/>
              <w:spacing w:after="0"/>
              <w:jc w:val="center"/>
            </w:pPr>
            <w:r>
              <w:rPr>
                <w:b/>
                <w:bCs/>
              </w:rPr>
              <w:t>Základní cena za kosenou plochu</w:t>
            </w:r>
          </w:p>
        </w:tc>
        <w:tc>
          <w:tcPr>
            <w:tcW w:w="1349" w:type="dxa"/>
            <w:tcBorders>
              <w:top w:val="single" w:sz="4" w:space="0" w:color="auto"/>
              <w:left w:val="single" w:sz="4" w:space="0" w:color="auto"/>
            </w:tcBorders>
            <w:shd w:val="clear" w:color="auto" w:fill="D0CECF"/>
            <w:vAlign w:val="bottom"/>
          </w:tcPr>
          <w:p w:rsidR="00BC2EE4" w:rsidRDefault="007D5EEC">
            <w:pPr>
              <w:pStyle w:val="Jin0"/>
              <w:shd w:val="clear" w:color="auto" w:fill="auto"/>
              <w:spacing w:after="0" w:line="252" w:lineRule="auto"/>
              <w:jc w:val="center"/>
            </w:pPr>
            <w:r>
              <w:rPr>
                <w:b/>
                <w:bCs/>
              </w:rPr>
              <w:t>Navýšení za přístupnost pozemku (%)</w:t>
            </w:r>
          </w:p>
        </w:tc>
        <w:tc>
          <w:tcPr>
            <w:tcW w:w="1699" w:type="dxa"/>
            <w:tcBorders>
              <w:top w:val="single" w:sz="4" w:space="0" w:color="auto"/>
              <w:left w:val="single" w:sz="4" w:space="0" w:color="auto"/>
            </w:tcBorders>
            <w:shd w:val="clear" w:color="auto" w:fill="D0CECF"/>
            <w:vAlign w:val="center"/>
          </w:tcPr>
          <w:p w:rsidR="00BC2EE4" w:rsidRDefault="007D5EEC">
            <w:pPr>
              <w:pStyle w:val="Jin0"/>
              <w:shd w:val="clear" w:color="auto" w:fill="auto"/>
              <w:spacing w:after="0"/>
              <w:jc w:val="center"/>
            </w:pPr>
            <w:r>
              <w:rPr>
                <w:b/>
                <w:bCs/>
              </w:rPr>
              <w:t>Navýšení za svažitost pozemku (%)</w:t>
            </w:r>
          </w:p>
        </w:tc>
        <w:tc>
          <w:tcPr>
            <w:tcW w:w="1488" w:type="dxa"/>
            <w:tcBorders>
              <w:top w:val="single" w:sz="4" w:space="0" w:color="auto"/>
              <w:left w:val="single" w:sz="4" w:space="0" w:color="auto"/>
            </w:tcBorders>
            <w:shd w:val="clear" w:color="auto" w:fill="D0CECF"/>
            <w:vAlign w:val="center"/>
          </w:tcPr>
          <w:p w:rsidR="00BC2EE4" w:rsidRDefault="007D5EEC">
            <w:pPr>
              <w:pStyle w:val="Jin0"/>
              <w:shd w:val="clear" w:color="auto" w:fill="auto"/>
              <w:spacing w:after="0"/>
              <w:jc w:val="center"/>
            </w:pPr>
            <w:r>
              <w:rPr>
                <w:b/>
                <w:bCs/>
              </w:rPr>
              <w:t>Jednorázová částka</w:t>
            </w:r>
          </w:p>
        </w:tc>
        <w:tc>
          <w:tcPr>
            <w:tcW w:w="1858" w:type="dxa"/>
            <w:tcBorders>
              <w:top w:val="single" w:sz="4" w:space="0" w:color="auto"/>
              <w:left w:val="single" w:sz="4" w:space="0" w:color="auto"/>
              <w:right w:val="single" w:sz="4" w:space="0" w:color="auto"/>
            </w:tcBorders>
            <w:shd w:val="clear" w:color="auto" w:fill="D0CECF"/>
            <w:vAlign w:val="center"/>
          </w:tcPr>
          <w:p w:rsidR="00BC2EE4" w:rsidRDefault="007D5EEC">
            <w:pPr>
              <w:pStyle w:val="Jin0"/>
              <w:shd w:val="clear" w:color="auto" w:fill="auto"/>
              <w:spacing w:after="0"/>
              <w:jc w:val="center"/>
            </w:pPr>
            <w:r>
              <w:rPr>
                <w:b/>
                <w:bCs/>
              </w:rPr>
              <w:t>Cena celkem (Kč bez DPH)</w:t>
            </w:r>
          </w:p>
        </w:tc>
      </w:tr>
      <w:tr w:rsidR="00BC2EE4">
        <w:trPr>
          <w:trHeight w:hRule="exact" w:val="778"/>
          <w:jc w:val="center"/>
        </w:trPr>
        <w:tc>
          <w:tcPr>
            <w:tcW w:w="1397" w:type="dxa"/>
            <w:tcBorders>
              <w:top w:val="single" w:sz="4" w:space="0" w:color="auto"/>
              <w:left w:val="single" w:sz="4" w:space="0" w:color="auto"/>
            </w:tcBorders>
            <w:shd w:val="clear" w:color="auto" w:fill="FFFFFF"/>
            <w:vAlign w:val="bottom"/>
          </w:tcPr>
          <w:p w:rsidR="00BC2EE4" w:rsidRDefault="007D5EEC">
            <w:pPr>
              <w:pStyle w:val="Jin0"/>
              <w:shd w:val="clear" w:color="auto" w:fill="auto"/>
              <w:spacing w:after="0"/>
            </w:pPr>
            <w:r>
              <w:t>Výřez nežádoucích dřevin</w:t>
            </w:r>
          </w:p>
        </w:tc>
        <w:tc>
          <w:tcPr>
            <w:tcW w:w="734" w:type="dxa"/>
            <w:tcBorders>
              <w:top w:val="single" w:sz="4" w:space="0" w:color="auto"/>
              <w:left w:val="single" w:sz="4" w:space="0" w:color="auto"/>
            </w:tcBorders>
            <w:shd w:val="clear" w:color="auto" w:fill="FFFFFF"/>
          </w:tcPr>
          <w:p w:rsidR="00BC2EE4" w:rsidRDefault="007D5EEC">
            <w:pPr>
              <w:pStyle w:val="Jin0"/>
              <w:shd w:val="clear" w:color="auto" w:fill="auto"/>
              <w:spacing w:after="0"/>
              <w:jc w:val="center"/>
            </w:pPr>
            <w:r>
              <w:t>ha</w:t>
            </w:r>
          </w:p>
        </w:tc>
        <w:tc>
          <w:tcPr>
            <w:tcW w:w="970" w:type="dxa"/>
            <w:tcBorders>
              <w:top w:val="single" w:sz="4" w:space="0" w:color="auto"/>
              <w:left w:val="single" w:sz="4" w:space="0" w:color="auto"/>
            </w:tcBorders>
            <w:shd w:val="clear" w:color="auto" w:fill="FFFFFF"/>
          </w:tcPr>
          <w:p w:rsidR="00BC2EE4" w:rsidRDefault="007D5EEC">
            <w:pPr>
              <w:pStyle w:val="Jin0"/>
              <w:shd w:val="clear" w:color="auto" w:fill="auto"/>
              <w:spacing w:after="0"/>
              <w:jc w:val="center"/>
            </w:pPr>
            <w:r>
              <w:t>0,3349</w:t>
            </w:r>
          </w:p>
        </w:tc>
        <w:tc>
          <w:tcPr>
            <w:tcW w:w="1560" w:type="dxa"/>
            <w:tcBorders>
              <w:top w:val="single" w:sz="4" w:space="0" w:color="auto"/>
              <w:left w:val="single" w:sz="4" w:space="0" w:color="auto"/>
            </w:tcBorders>
            <w:shd w:val="clear" w:color="auto" w:fill="FFFFFF"/>
          </w:tcPr>
          <w:p w:rsidR="00BC2EE4" w:rsidRDefault="007D5EEC">
            <w:pPr>
              <w:pStyle w:val="Jin0"/>
              <w:shd w:val="clear" w:color="auto" w:fill="auto"/>
              <w:spacing w:after="0"/>
              <w:jc w:val="center"/>
            </w:pPr>
            <w:r>
              <w:t>50 000,00</w:t>
            </w:r>
          </w:p>
        </w:tc>
        <w:tc>
          <w:tcPr>
            <w:tcW w:w="1627" w:type="dxa"/>
            <w:tcBorders>
              <w:top w:val="single" w:sz="4" w:space="0" w:color="auto"/>
              <w:left w:val="single" w:sz="4" w:space="0" w:color="auto"/>
            </w:tcBorders>
            <w:shd w:val="clear" w:color="auto" w:fill="FFFFFF"/>
          </w:tcPr>
          <w:p w:rsidR="00BC2EE4" w:rsidRDefault="007D5EEC">
            <w:pPr>
              <w:pStyle w:val="Jin0"/>
              <w:shd w:val="clear" w:color="auto" w:fill="auto"/>
              <w:spacing w:after="0"/>
              <w:jc w:val="right"/>
            </w:pPr>
            <w:r>
              <w:t>16 745,00</w:t>
            </w:r>
          </w:p>
        </w:tc>
        <w:tc>
          <w:tcPr>
            <w:tcW w:w="1349" w:type="dxa"/>
            <w:tcBorders>
              <w:top w:val="single" w:sz="4" w:space="0" w:color="auto"/>
              <w:left w:val="single" w:sz="4" w:space="0" w:color="auto"/>
            </w:tcBorders>
            <w:shd w:val="clear" w:color="auto" w:fill="FFFFFF"/>
            <w:vAlign w:val="center"/>
          </w:tcPr>
          <w:p w:rsidR="00BC2EE4" w:rsidRDefault="007D5EEC">
            <w:pPr>
              <w:pStyle w:val="Jin0"/>
              <w:shd w:val="clear" w:color="auto" w:fill="auto"/>
              <w:spacing w:after="0"/>
              <w:jc w:val="right"/>
            </w:pPr>
            <w:r>
              <w:t>20,00</w:t>
            </w:r>
          </w:p>
        </w:tc>
        <w:tc>
          <w:tcPr>
            <w:tcW w:w="1699" w:type="dxa"/>
            <w:tcBorders>
              <w:top w:val="single" w:sz="4" w:space="0" w:color="auto"/>
              <w:left w:val="single" w:sz="4" w:space="0" w:color="auto"/>
            </w:tcBorders>
            <w:shd w:val="clear" w:color="auto" w:fill="FFFFFF"/>
          </w:tcPr>
          <w:p w:rsidR="00BC2EE4" w:rsidRDefault="007D5EEC">
            <w:pPr>
              <w:pStyle w:val="Jin0"/>
              <w:shd w:val="clear" w:color="auto" w:fill="auto"/>
              <w:spacing w:after="0"/>
              <w:jc w:val="center"/>
            </w:pPr>
            <w:r>
              <w:t>30</w:t>
            </w:r>
          </w:p>
        </w:tc>
        <w:tc>
          <w:tcPr>
            <w:tcW w:w="1488" w:type="dxa"/>
            <w:tcBorders>
              <w:top w:val="single" w:sz="4" w:space="0" w:color="auto"/>
              <w:left w:val="single" w:sz="4" w:space="0" w:color="auto"/>
            </w:tcBorders>
            <w:shd w:val="clear" w:color="auto" w:fill="FFFFFF"/>
          </w:tcPr>
          <w:p w:rsidR="00BC2EE4" w:rsidRDefault="007D5EEC">
            <w:pPr>
              <w:pStyle w:val="Jin0"/>
              <w:shd w:val="clear" w:color="auto" w:fill="auto"/>
              <w:spacing w:after="0"/>
              <w:jc w:val="center"/>
            </w:pPr>
            <w:r>
              <w:t>X</w:t>
            </w:r>
          </w:p>
        </w:tc>
        <w:tc>
          <w:tcPr>
            <w:tcW w:w="1858" w:type="dxa"/>
            <w:tcBorders>
              <w:top w:val="single" w:sz="4" w:space="0" w:color="auto"/>
              <w:left w:val="single" w:sz="4" w:space="0" w:color="auto"/>
              <w:right w:val="single" w:sz="4" w:space="0" w:color="auto"/>
            </w:tcBorders>
            <w:shd w:val="clear" w:color="auto" w:fill="FFFFFF"/>
          </w:tcPr>
          <w:p w:rsidR="00BC2EE4" w:rsidRDefault="007D5EEC">
            <w:pPr>
              <w:pStyle w:val="Jin0"/>
              <w:shd w:val="clear" w:color="auto" w:fill="auto"/>
              <w:spacing w:after="0"/>
              <w:jc w:val="right"/>
            </w:pPr>
            <w:r>
              <w:t>25 117,50</w:t>
            </w:r>
          </w:p>
        </w:tc>
      </w:tr>
      <w:tr w:rsidR="00BC2EE4">
        <w:trPr>
          <w:trHeight w:hRule="exact" w:val="514"/>
          <w:jc w:val="center"/>
        </w:trPr>
        <w:tc>
          <w:tcPr>
            <w:tcW w:w="1397" w:type="dxa"/>
            <w:tcBorders>
              <w:top w:val="single" w:sz="4" w:space="0" w:color="auto"/>
              <w:left w:val="single" w:sz="4" w:space="0" w:color="auto"/>
            </w:tcBorders>
            <w:shd w:val="clear" w:color="auto" w:fill="FFFFFF"/>
            <w:vAlign w:val="bottom"/>
          </w:tcPr>
          <w:p w:rsidR="00BC2EE4" w:rsidRDefault="007D5EEC">
            <w:pPr>
              <w:pStyle w:val="Jin0"/>
              <w:shd w:val="clear" w:color="auto" w:fill="auto"/>
              <w:spacing w:after="0"/>
            </w:pPr>
            <w:r>
              <w:t>Ruční kosení</w:t>
            </w:r>
          </w:p>
        </w:tc>
        <w:tc>
          <w:tcPr>
            <w:tcW w:w="734" w:type="dxa"/>
            <w:tcBorders>
              <w:top w:val="single" w:sz="4" w:space="0" w:color="auto"/>
              <w:left w:val="single" w:sz="4" w:space="0" w:color="auto"/>
            </w:tcBorders>
            <w:shd w:val="clear" w:color="auto" w:fill="FFFFFF"/>
          </w:tcPr>
          <w:p w:rsidR="00BC2EE4" w:rsidRDefault="007D5EEC">
            <w:pPr>
              <w:pStyle w:val="Jin0"/>
              <w:shd w:val="clear" w:color="auto" w:fill="auto"/>
              <w:spacing w:after="0"/>
              <w:jc w:val="center"/>
            </w:pPr>
            <w:r>
              <w:t>ha</w:t>
            </w:r>
          </w:p>
        </w:tc>
        <w:tc>
          <w:tcPr>
            <w:tcW w:w="970" w:type="dxa"/>
            <w:tcBorders>
              <w:top w:val="single" w:sz="4" w:space="0" w:color="auto"/>
              <w:left w:val="single" w:sz="4" w:space="0" w:color="auto"/>
            </w:tcBorders>
            <w:shd w:val="clear" w:color="auto" w:fill="FFFFFF"/>
          </w:tcPr>
          <w:p w:rsidR="00BC2EE4" w:rsidRDefault="007D5EEC">
            <w:pPr>
              <w:pStyle w:val="Jin0"/>
              <w:shd w:val="clear" w:color="auto" w:fill="auto"/>
              <w:spacing w:after="0"/>
              <w:jc w:val="center"/>
            </w:pPr>
            <w:r>
              <w:t>0,1858</w:t>
            </w:r>
          </w:p>
        </w:tc>
        <w:tc>
          <w:tcPr>
            <w:tcW w:w="1560" w:type="dxa"/>
            <w:tcBorders>
              <w:top w:val="single" w:sz="4" w:space="0" w:color="auto"/>
              <w:left w:val="single" w:sz="4" w:space="0" w:color="auto"/>
            </w:tcBorders>
            <w:shd w:val="clear" w:color="auto" w:fill="FFFFFF"/>
          </w:tcPr>
          <w:p w:rsidR="00BC2EE4" w:rsidRDefault="007D5EEC">
            <w:pPr>
              <w:pStyle w:val="Jin0"/>
              <w:shd w:val="clear" w:color="auto" w:fill="auto"/>
              <w:spacing w:after="0"/>
              <w:jc w:val="center"/>
            </w:pPr>
            <w:r>
              <w:t>27 000,00</w:t>
            </w:r>
          </w:p>
        </w:tc>
        <w:tc>
          <w:tcPr>
            <w:tcW w:w="1627" w:type="dxa"/>
            <w:tcBorders>
              <w:top w:val="single" w:sz="4" w:space="0" w:color="auto"/>
              <w:left w:val="single" w:sz="4" w:space="0" w:color="auto"/>
            </w:tcBorders>
            <w:shd w:val="clear" w:color="auto" w:fill="FFFFFF"/>
          </w:tcPr>
          <w:p w:rsidR="00BC2EE4" w:rsidRDefault="007D5EEC">
            <w:pPr>
              <w:pStyle w:val="Jin0"/>
              <w:shd w:val="clear" w:color="auto" w:fill="auto"/>
              <w:spacing w:after="0"/>
              <w:jc w:val="right"/>
            </w:pPr>
            <w:r>
              <w:t>5 016,60</w:t>
            </w:r>
          </w:p>
        </w:tc>
        <w:tc>
          <w:tcPr>
            <w:tcW w:w="1349" w:type="dxa"/>
            <w:tcBorders>
              <w:top w:val="single" w:sz="4" w:space="0" w:color="auto"/>
              <w:left w:val="single" w:sz="4" w:space="0" w:color="auto"/>
            </w:tcBorders>
            <w:shd w:val="clear" w:color="auto" w:fill="FFFFFF"/>
            <w:vAlign w:val="bottom"/>
          </w:tcPr>
          <w:p w:rsidR="00BC2EE4" w:rsidRDefault="007D5EEC">
            <w:pPr>
              <w:pStyle w:val="Jin0"/>
              <w:shd w:val="clear" w:color="auto" w:fill="auto"/>
              <w:spacing w:after="0"/>
              <w:jc w:val="right"/>
            </w:pPr>
            <w:r>
              <w:t>20,00</w:t>
            </w:r>
          </w:p>
        </w:tc>
        <w:tc>
          <w:tcPr>
            <w:tcW w:w="1699" w:type="dxa"/>
            <w:tcBorders>
              <w:top w:val="single" w:sz="4" w:space="0" w:color="auto"/>
              <w:left w:val="single" w:sz="4" w:space="0" w:color="auto"/>
            </w:tcBorders>
            <w:shd w:val="clear" w:color="auto" w:fill="FFFFFF"/>
            <w:vAlign w:val="center"/>
          </w:tcPr>
          <w:p w:rsidR="00BC2EE4" w:rsidRDefault="007D5EEC">
            <w:pPr>
              <w:pStyle w:val="Jin0"/>
              <w:shd w:val="clear" w:color="auto" w:fill="auto"/>
              <w:spacing w:after="0"/>
              <w:jc w:val="center"/>
            </w:pPr>
            <w:r>
              <w:t>0</w:t>
            </w:r>
          </w:p>
        </w:tc>
        <w:tc>
          <w:tcPr>
            <w:tcW w:w="1488" w:type="dxa"/>
            <w:tcBorders>
              <w:top w:val="single" w:sz="4" w:space="0" w:color="auto"/>
              <w:left w:val="single" w:sz="4" w:space="0" w:color="auto"/>
            </w:tcBorders>
            <w:shd w:val="clear" w:color="auto" w:fill="FFFFFF"/>
          </w:tcPr>
          <w:p w:rsidR="00BC2EE4" w:rsidRDefault="007D5EEC">
            <w:pPr>
              <w:pStyle w:val="Jin0"/>
              <w:shd w:val="clear" w:color="auto" w:fill="auto"/>
              <w:spacing w:after="0"/>
              <w:jc w:val="center"/>
            </w:pPr>
            <w:r>
              <w:t>3000,00</w:t>
            </w:r>
          </w:p>
        </w:tc>
        <w:tc>
          <w:tcPr>
            <w:tcW w:w="1858" w:type="dxa"/>
            <w:tcBorders>
              <w:top w:val="single" w:sz="4" w:space="0" w:color="auto"/>
              <w:left w:val="single" w:sz="4" w:space="0" w:color="auto"/>
              <w:right w:val="single" w:sz="4" w:space="0" w:color="auto"/>
            </w:tcBorders>
            <w:shd w:val="clear" w:color="auto" w:fill="FFFFFF"/>
          </w:tcPr>
          <w:p w:rsidR="00BC2EE4" w:rsidRDefault="007D5EEC">
            <w:pPr>
              <w:pStyle w:val="Jin0"/>
              <w:shd w:val="clear" w:color="auto" w:fill="auto"/>
              <w:spacing w:after="0"/>
              <w:jc w:val="right"/>
            </w:pPr>
            <w:r>
              <w:t>9 019,92</w:t>
            </w:r>
          </w:p>
        </w:tc>
      </w:tr>
      <w:tr w:rsidR="00BC2EE4">
        <w:trPr>
          <w:trHeight w:hRule="exact" w:val="312"/>
          <w:jc w:val="center"/>
        </w:trPr>
        <w:tc>
          <w:tcPr>
            <w:tcW w:w="1397" w:type="dxa"/>
            <w:tcBorders>
              <w:top w:val="single" w:sz="4" w:space="0" w:color="auto"/>
              <w:left w:val="single" w:sz="4" w:space="0" w:color="auto"/>
            </w:tcBorders>
            <w:shd w:val="clear" w:color="auto" w:fill="D0CECF"/>
            <w:vAlign w:val="bottom"/>
          </w:tcPr>
          <w:p w:rsidR="00BC2EE4" w:rsidRDefault="007D5EEC">
            <w:pPr>
              <w:pStyle w:val="Jin0"/>
              <w:shd w:val="clear" w:color="auto" w:fill="auto"/>
              <w:spacing w:after="0"/>
            </w:pPr>
            <w:r>
              <w:rPr>
                <w:b/>
                <w:bCs/>
              </w:rPr>
              <w:t>Celkem</w:t>
            </w:r>
          </w:p>
        </w:tc>
        <w:tc>
          <w:tcPr>
            <w:tcW w:w="734" w:type="dxa"/>
            <w:tcBorders>
              <w:top w:val="single" w:sz="4" w:space="0" w:color="auto"/>
              <w:left w:val="single" w:sz="4" w:space="0" w:color="auto"/>
            </w:tcBorders>
            <w:shd w:val="clear" w:color="auto" w:fill="D0CECF"/>
          </w:tcPr>
          <w:p w:rsidR="00BC2EE4" w:rsidRDefault="00BC2EE4">
            <w:pPr>
              <w:rPr>
                <w:sz w:val="10"/>
                <w:szCs w:val="10"/>
              </w:rPr>
            </w:pPr>
          </w:p>
        </w:tc>
        <w:tc>
          <w:tcPr>
            <w:tcW w:w="970" w:type="dxa"/>
            <w:tcBorders>
              <w:top w:val="single" w:sz="4" w:space="0" w:color="auto"/>
              <w:left w:val="single" w:sz="4" w:space="0" w:color="auto"/>
            </w:tcBorders>
            <w:shd w:val="clear" w:color="auto" w:fill="D0CECF"/>
          </w:tcPr>
          <w:p w:rsidR="00BC2EE4" w:rsidRDefault="00BC2EE4">
            <w:pPr>
              <w:rPr>
                <w:sz w:val="10"/>
                <w:szCs w:val="10"/>
              </w:rPr>
            </w:pPr>
          </w:p>
        </w:tc>
        <w:tc>
          <w:tcPr>
            <w:tcW w:w="1560" w:type="dxa"/>
            <w:tcBorders>
              <w:top w:val="single" w:sz="4" w:space="0" w:color="auto"/>
              <w:left w:val="single" w:sz="4" w:space="0" w:color="auto"/>
            </w:tcBorders>
            <w:shd w:val="clear" w:color="auto" w:fill="D0CECF"/>
          </w:tcPr>
          <w:p w:rsidR="00BC2EE4" w:rsidRDefault="00BC2EE4">
            <w:pPr>
              <w:rPr>
                <w:sz w:val="10"/>
                <w:szCs w:val="10"/>
              </w:rPr>
            </w:pPr>
          </w:p>
        </w:tc>
        <w:tc>
          <w:tcPr>
            <w:tcW w:w="1627" w:type="dxa"/>
            <w:tcBorders>
              <w:top w:val="single" w:sz="4" w:space="0" w:color="auto"/>
              <w:left w:val="single" w:sz="4" w:space="0" w:color="auto"/>
            </w:tcBorders>
            <w:shd w:val="clear" w:color="auto" w:fill="D0CECF"/>
          </w:tcPr>
          <w:p w:rsidR="00BC2EE4" w:rsidRDefault="00BC2EE4">
            <w:pPr>
              <w:rPr>
                <w:sz w:val="10"/>
                <w:szCs w:val="10"/>
              </w:rPr>
            </w:pPr>
          </w:p>
        </w:tc>
        <w:tc>
          <w:tcPr>
            <w:tcW w:w="1349" w:type="dxa"/>
            <w:tcBorders>
              <w:top w:val="single" w:sz="4" w:space="0" w:color="auto"/>
              <w:left w:val="single" w:sz="4" w:space="0" w:color="auto"/>
            </w:tcBorders>
            <w:shd w:val="clear" w:color="auto" w:fill="D0CECF"/>
          </w:tcPr>
          <w:p w:rsidR="00BC2EE4" w:rsidRDefault="00BC2EE4">
            <w:pPr>
              <w:rPr>
                <w:sz w:val="10"/>
                <w:szCs w:val="10"/>
              </w:rPr>
            </w:pPr>
          </w:p>
        </w:tc>
        <w:tc>
          <w:tcPr>
            <w:tcW w:w="1699" w:type="dxa"/>
            <w:tcBorders>
              <w:top w:val="single" w:sz="4" w:space="0" w:color="auto"/>
              <w:left w:val="single" w:sz="4" w:space="0" w:color="auto"/>
            </w:tcBorders>
            <w:shd w:val="clear" w:color="auto" w:fill="D0CECF"/>
          </w:tcPr>
          <w:p w:rsidR="00BC2EE4" w:rsidRDefault="00BC2EE4">
            <w:pPr>
              <w:rPr>
                <w:sz w:val="10"/>
                <w:szCs w:val="10"/>
              </w:rPr>
            </w:pPr>
          </w:p>
        </w:tc>
        <w:tc>
          <w:tcPr>
            <w:tcW w:w="1488" w:type="dxa"/>
            <w:tcBorders>
              <w:top w:val="single" w:sz="4" w:space="0" w:color="auto"/>
              <w:left w:val="single" w:sz="4" w:space="0" w:color="auto"/>
            </w:tcBorders>
            <w:shd w:val="clear" w:color="auto" w:fill="D0CECF"/>
          </w:tcPr>
          <w:p w:rsidR="00BC2EE4" w:rsidRDefault="00BC2EE4">
            <w:pPr>
              <w:rPr>
                <w:sz w:val="10"/>
                <w:szCs w:val="10"/>
              </w:rPr>
            </w:pPr>
          </w:p>
        </w:tc>
        <w:tc>
          <w:tcPr>
            <w:tcW w:w="1858" w:type="dxa"/>
            <w:tcBorders>
              <w:top w:val="single" w:sz="4" w:space="0" w:color="auto"/>
              <w:left w:val="single" w:sz="4" w:space="0" w:color="auto"/>
              <w:right w:val="single" w:sz="4" w:space="0" w:color="auto"/>
            </w:tcBorders>
            <w:shd w:val="clear" w:color="auto" w:fill="D0CECF"/>
            <w:vAlign w:val="bottom"/>
          </w:tcPr>
          <w:p w:rsidR="00BC2EE4" w:rsidRDefault="007D5EEC">
            <w:pPr>
              <w:pStyle w:val="Jin0"/>
              <w:shd w:val="clear" w:color="auto" w:fill="auto"/>
              <w:spacing w:after="0"/>
              <w:jc w:val="right"/>
            </w:pPr>
            <w:r>
              <w:rPr>
                <w:b/>
                <w:bCs/>
              </w:rPr>
              <w:t>34 137,42</w:t>
            </w:r>
          </w:p>
        </w:tc>
      </w:tr>
      <w:tr w:rsidR="00BC2EE4">
        <w:trPr>
          <w:trHeight w:hRule="exact" w:val="307"/>
          <w:jc w:val="center"/>
        </w:trPr>
        <w:tc>
          <w:tcPr>
            <w:tcW w:w="1397" w:type="dxa"/>
            <w:tcBorders>
              <w:top w:val="single" w:sz="4" w:space="0" w:color="auto"/>
              <w:left w:val="single" w:sz="4" w:space="0" w:color="auto"/>
            </w:tcBorders>
            <w:shd w:val="clear" w:color="auto" w:fill="FFFFFF"/>
            <w:vAlign w:val="bottom"/>
          </w:tcPr>
          <w:p w:rsidR="00BC2EE4" w:rsidRDefault="007D5EEC">
            <w:pPr>
              <w:pStyle w:val="Jin0"/>
              <w:shd w:val="clear" w:color="auto" w:fill="auto"/>
              <w:spacing w:after="0"/>
            </w:pPr>
            <w:r>
              <w:rPr>
                <w:b/>
                <w:bCs/>
              </w:rPr>
              <w:t>DPH 21%</w:t>
            </w:r>
          </w:p>
        </w:tc>
        <w:tc>
          <w:tcPr>
            <w:tcW w:w="734" w:type="dxa"/>
            <w:tcBorders>
              <w:top w:val="single" w:sz="4" w:space="0" w:color="auto"/>
              <w:left w:val="single" w:sz="4" w:space="0" w:color="auto"/>
            </w:tcBorders>
            <w:shd w:val="clear" w:color="auto" w:fill="FFFFFF"/>
          </w:tcPr>
          <w:p w:rsidR="00BC2EE4" w:rsidRDefault="00BC2EE4">
            <w:pPr>
              <w:rPr>
                <w:sz w:val="10"/>
                <w:szCs w:val="10"/>
              </w:rPr>
            </w:pPr>
          </w:p>
        </w:tc>
        <w:tc>
          <w:tcPr>
            <w:tcW w:w="970" w:type="dxa"/>
            <w:tcBorders>
              <w:top w:val="single" w:sz="4" w:space="0" w:color="auto"/>
              <w:left w:val="single" w:sz="4" w:space="0" w:color="auto"/>
            </w:tcBorders>
            <w:shd w:val="clear" w:color="auto" w:fill="FFFFFF"/>
          </w:tcPr>
          <w:p w:rsidR="00BC2EE4" w:rsidRDefault="00BC2EE4">
            <w:pPr>
              <w:rPr>
                <w:sz w:val="10"/>
                <w:szCs w:val="10"/>
              </w:rPr>
            </w:pPr>
          </w:p>
        </w:tc>
        <w:tc>
          <w:tcPr>
            <w:tcW w:w="1560" w:type="dxa"/>
            <w:tcBorders>
              <w:top w:val="single" w:sz="4" w:space="0" w:color="auto"/>
              <w:left w:val="single" w:sz="4" w:space="0" w:color="auto"/>
            </w:tcBorders>
            <w:shd w:val="clear" w:color="auto" w:fill="FFFFFF"/>
          </w:tcPr>
          <w:p w:rsidR="00BC2EE4" w:rsidRDefault="00BC2EE4">
            <w:pPr>
              <w:rPr>
                <w:sz w:val="10"/>
                <w:szCs w:val="10"/>
              </w:rPr>
            </w:pPr>
          </w:p>
        </w:tc>
        <w:tc>
          <w:tcPr>
            <w:tcW w:w="1627" w:type="dxa"/>
            <w:tcBorders>
              <w:top w:val="single" w:sz="4" w:space="0" w:color="auto"/>
              <w:left w:val="single" w:sz="4" w:space="0" w:color="auto"/>
            </w:tcBorders>
            <w:shd w:val="clear" w:color="auto" w:fill="FFFFFF"/>
          </w:tcPr>
          <w:p w:rsidR="00BC2EE4" w:rsidRDefault="00BC2EE4">
            <w:pPr>
              <w:rPr>
                <w:sz w:val="10"/>
                <w:szCs w:val="10"/>
              </w:rPr>
            </w:pPr>
          </w:p>
        </w:tc>
        <w:tc>
          <w:tcPr>
            <w:tcW w:w="1349" w:type="dxa"/>
            <w:tcBorders>
              <w:top w:val="single" w:sz="4" w:space="0" w:color="auto"/>
              <w:left w:val="single" w:sz="4" w:space="0" w:color="auto"/>
            </w:tcBorders>
            <w:shd w:val="clear" w:color="auto" w:fill="FFFFFF"/>
          </w:tcPr>
          <w:p w:rsidR="00BC2EE4" w:rsidRDefault="00BC2EE4">
            <w:pPr>
              <w:rPr>
                <w:sz w:val="10"/>
                <w:szCs w:val="10"/>
              </w:rPr>
            </w:pPr>
          </w:p>
        </w:tc>
        <w:tc>
          <w:tcPr>
            <w:tcW w:w="1699" w:type="dxa"/>
            <w:tcBorders>
              <w:top w:val="single" w:sz="4" w:space="0" w:color="auto"/>
              <w:left w:val="single" w:sz="4" w:space="0" w:color="auto"/>
            </w:tcBorders>
            <w:shd w:val="clear" w:color="auto" w:fill="FFFFFF"/>
          </w:tcPr>
          <w:p w:rsidR="00BC2EE4" w:rsidRDefault="00BC2EE4">
            <w:pPr>
              <w:rPr>
                <w:sz w:val="10"/>
                <w:szCs w:val="10"/>
              </w:rPr>
            </w:pPr>
          </w:p>
        </w:tc>
        <w:tc>
          <w:tcPr>
            <w:tcW w:w="1488" w:type="dxa"/>
            <w:tcBorders>
              <w:top w:val="single" w:sz="4" w:space="0" w:color="auto"/>
              <w:left w:val="single" w:sz="4" w:space="0" w:color="auto"/>
            </w:tcBorders>
            <w:shd w:val="clear" w:color="auto" w:fill="FFFFFF"/>
          </w:tcPr>
          <w:p w:rsidR="00BC2EE4" w:rsidRDefault="00BC2EE4">
            <w:pPr>
              <w:rPr>
                <w:sz w:val="10"/>
                <w:szCs w:val="10"/>
              </w:rPr>
            </w:pPr>
          </w:p>
        </w:tc>
        <w:tc>
          <w:tcPr>
            <w:tcW w:w="1858" w:type="dxa"/>
            <w:tcBorders>
              <w:top w:val="single" w:sz="4" w:space="0" w:color="auto"/>
              <w:left w:val="single" w:sz="4" w:space="0" w:color="auto"/>
              <w:right w:val="single" w:sz="4" w:space="0" w:color="auto"/>
            </w:tcBorders>
            <w:shd w:val="clear" w:color="auto" w:fill="FFFFFF"/>
            <w:vAlign w:val="bottom"/>
          </w:tcPr>
          <w:p w:rsidR="00BC2EE4" w:rsidRDefault="007D5EEC">
            <w:pPr>
              <w:pStyle w:val="Jin0"/>
              <w:shd w:val="clear" w:color="auto" w:fill="auto"/>
              <w:spacing w:after="0"/>
              <w:jc w:val="right"/>
            </w:pPr>
            <w:r>
              <w:rPr>
                <w:b/>
                <w:bCs/>
              </w:rPr>
              <w:t>7 168,86</w:t>
            </w:r>
          </w:p>
        </w:tc>
      </w:tr>
      <w:tr w:rsidR="00BC2EE4">
        <w:trPr>
          <w:trHeight w:hRule="exact" w:val="782"/>
          <w:jc w:val="center"/>
        </w:trPr>
        <w:tc>
          <w:tcPr>
            <w:tcW w:w="1397" w:type="dxa"/>
            <w:tcBorders>
              <w:top w:val="single" w:sz="4" w:space="0" w:color="auto"/>
              <w:left w:val="single" w:sz="4" w:space="0" w:color="auto"/>
              <w:bottom w:val="single" w:sz="4" w:space="0" w:color="auto"/>
            </w:tcBorders>
            <w:shd w:val="clear" w:color="auto" w:fill="AEAAA9"/>
          </w:tcPr>
          <w:p w:rsidR="00BC2EE4" w:rsidRDefault="007D5EEC">
            <w:pPr>
              <w:pStyle w:val="Jin0"/>
              <w:shd w:val="clear" w:color="auto" w:fill="auto"/>
              <w:spacing w:after="0"/>
            </w:pPr>
            <w:r>
              <w:rPr>
                <w:b/>
                <w:bCs/>
              </w:rPr>
              <w:t>Celková cena, včetně DPH</w:t>
            </w:r>
          </w:p>
        </w:tc>
        <w:tc>
          <w:tcPr>
            <w:tcW w:w="734" w:type="dxa"/>
            <w:tcBorders>
              <w:top w:val="single" w:sz="4" w:space="0" w:color="auto"/>
              <w:left w:val="single" w:sz="4" w:space="0" w:color="auto"/>
              <w:bottom w:val="single" w:sz="4" w:space="0" w:color="auto"/>
            </w:tcBorders>
            <w:shd w:val="clear" w:color="auto" w:fill="AEAAA9"/>
          </w:tcPr>
          <w:p w:rsidR="00BC2EE4" w:rsidRDefault="00BC2EE4">
            <w:pPr>
              <w:rPr>
                <w:sz w:val="10"/>
                <w:szCs w:val="10"/>
              </w:rPr>
            </w:pPr>
          </w:p>
        </w:tc>
        <w:tc>
          <w:tcPr>
            <w:tcW w:w="970" w:type="dxa"/>
            <w:tcBorders>
              <w:top w:val="single" w:sz="4" w:space="0" w:color="auto"/>
              <w:left w:val="single" w:sz="4" w:space="0" w:color="auto"/>
              <w:bottom w:val="single" w:sz="4" w:space="0" w:color="auto"/>
            </w:tcBorders>
            <w:shd w:val="clear" w:color="auto" w:fill="AEAAA9"/>
          </w:tcPr>
          <w:p w:rsidR="00BC2EE4" w:rsidRDefault="00BC2EE4">
            <w:pPr>
              <w:rPr>
                <w:sz w:val="10"/>
                <w:szCs w:val="10"/>
              </w:rPr>
            </w:pPr>
          </w:p>
        </w:tc>
        <w:tc>
          <w:tcPr>
            <w:tcW w:w="1560" w:type="dxa"/>
            <w:tcBorders>
              <w:top w:val="single" w:sz="4" w:space="0" w:color="auto"/>
              <w:left w:val="single" w:sz="4" w:space="0" w:color="auto"/>
              <w:bottom w:val="single" w:sz="4" w:space="0" w:color="auto"/>
            </w:tcBorders>
            <w:shd w:val="clear" w:color="auto" w:fill="AEAAA9"/>
          </w:tcPr>
          <w:p w:rsidR="00BC2EE4" w:rsidRDefault="00BC2EE4">
            <w:pPr>
              <w:rPr>
                <w:sz w:val="10"/>
                <w:szCs w:val="10"/>
              </w:rPr>
            </w:pPr>
          </w:p>
        </w:tc>
        <w:tc>
          <w:tcPr>
            <w:tcW w:w="1627" w:type="dxa"/>
            <w:tcBorders>
              <w:top w:val="single" w:sz="4" w:space="0" w:color="auto"/>
              <w:left w:val="single" w:sz="4" w:space="0" w:color="auto"/>
              <w:bottom w:val="single" w:sz="4" w:space="0" w:color="auto"/>
            </w:tcBorders>
            <w:shd w:val="clear" w:color="auto" w:fill="AEAAA9"/>
          </w:tcPr>
          <w:p w:rsidR="00BC2EE4" w:rsidRDefault="00BC2EE4">
            <w:pPr>
              <w:rPr>
                <w:sz w:val="10"/>
                <w:szCs w:val="10"/>
              </w:rPr>
            </w:pPr>
          </w:p>
        </w:tc>
        <w:tc>
          <w:tcPr>
            <w:tcW w:w="1349" w:type="dxa"/>
            <w:tcBorders>
              <w:top w:val="single" w:sz="4" w:space="0" w:color="auto"/>
              <w:left w:val="single" w:sz="4" w:space="0" w:color="auto"/>
              <w:bottom w:val="single" w:sz="4" w:space="0" w:color="auto"/>
            </w:tcBorders>
            <w:shd w:val="clear" w:color="auto" w:fill="AEAAA9"/>
          </w:tcPr>
          <w:p w:rsidR="00BC2EE4" w:rsidRDefault="00BC2EE4">
            <w:pPr>
              <w:rPr>
                <w:sz w:val="10"/>
                <w:szCs w:val="10"/>
              </w:rPr>
            </w:pPr>
          </w:p>
        </w:tc>
        <w:tc>
          <w:tcPr>
            <w:tcW w:w="1699" w:type="dxa"/>
            <w:tcBorders>
              <w:top w:val="single" w:sz="4" w:space="0" w:color="auto"/>
              <w:left w:val="single" w:sz="4" w:space="0" w:color="auto"/>
              <w:bottom w:val="single" w:sz="4" w:space="0" w:color="auto"/>
            </w:tcBorders>
            <w:shd w:val="clear" w:color="auto" w:fill="AEAAA9"/>
          </w:tcPr>
          <w:p w:rsidR="00BC2EE4" w:rsidRDefault="00BC2EE4">
            <w:pPr>
              <w:rPr>
                <w:sz w:val="10"/>
                <w:szCs w:val="10"/>
              </w:rPr>
            </w:pPr>
          </w:p>
        </w:tc>
        <w:tc>
          <w:tcPr>
            <w:tcW w:w="1488" w:type="dxa"/>
            <w:tcBorders>
              <w:top w:val="single" w:sz="4" w:space="0" w:color="auto"/>
              <w:left w:val="single" w:sz="4" w:space="0" w:color="auto"/>
              <w:bottom w:val="single" w:sz="4" w:space="0" w:color="auto"/>
            </w:tcBorders>
            <w:shd w:val="clear" w:color="auto" w:fill="AEAAA9"/>
          </w:tcPr>
          <w:p w:rsidR="00BC2EE4" w:rsidRDefault="00BC2EE4">
            <w:pPr>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AEAAA9"/>
          </w:tcPr>
          <w:p w:rsidR="00BC2EE4" w:rsidRDefault="007D5EEC">
            <w:pPr>
              <w:pStyle w:val="Jin0"/>
              <w:shd w:val="clear" w:color="auto" w:fill="auto"/>
              <w:spacing w:after="0"/>
              <w:jc w:val="right"/>
            </w:pPr>
            <w:r>
              <w:rPr>
                <w:b/>
                <w:bCs/>
              </w:rPr>
              <w:t>41 306,28</w:t>
            </w:r>
          </w:p>
        </w:tc>
      </w:tr>
    </w:tbl>
    <w:p w:rsidR="00BC2EE4" w:rsidRDefault="007D5EEC">
      <w:pPr>
        <w:spacing w:line="1" w:lineRule="exact"/>
        <w:rPr>
          <w:sz w:val="2"/>
          <w:szCs w:val="2"/>
        </w:rPr>
      </w:pPr>
      <w:r>
        <w:br w:type="page"/>
      </w:r>
    </w:p>
    <w:p w:rsidR="00BC2EE4" w:rsidRDefault="007D5EEC">
      <w:pPr>
        <w:pStyle w:val="Zkladntext1"/>
        <w:shd w:val="clear" w:color="auto" w:fill="auto"/>
        <w:spacing w:after="160"/>
      </w:pPr>
      <w:r>
        <w:lastRenderedPageBreak/>
        <w:t>Zákres lokalizace opatření - NPP Janský vrch - ruční kosení</w:t>
      </w:r>
    </w:p>
    <w:p w:rsidR="00BC2EE4" w:rsidRDefault="007D5EEC">
      <w:pPr>
        <w:pStyle w:val="Zkladntext1"/>
        <w:shd w:val="clear" w:color="auto" w:fill="auto"/>
        <w:spacing w:after="160"/>
      </w:pPr>
      <w:r>
        <w:t>Příloha č. 2 ke smlouvě o dílo číslo PPK-138a/53/20</w:t>
      </w:r>
    </w:p>
    <w:p w:rsidR="00BC2EE4" w:rsidRDefault="007D5EEC">
      <w:pPr>
        <w:pStyle w:val="Zkladntext1"/>
        <w:shd w:val="clear" w:color="auto" w:fill="auto"/>
        <w:spacing w:after="0"/>
        <w:sectPr w:rsidR="00BC2EE4">
          <w:pgSz w:w="16840" w:h="11900" w:orient="landscape"/>
          <w:pgMar w:top="430" w:right="3457" w:bottom="5357" w:left="702" w:header="2" w:footer="3" w:gutter="0"/>
          <w:cols w:space="720"/>
          <w:noEndnote/>
          <w:docGrid w:linePitch="360"/>
        </w:sectPr>
      </w:pPr>
      <w:r>
        <w:t>Výměra vymezené plochy je 0,1858 ha.</w:t>
      </w:r>
    </w:p>
    <w:p w:rsidR="00BC2EE4" w:rsidRDefault="007D5EEC">
      <w:pPr>
        <w:pStyle w:val="Titulekobrzku0"/>
        <w:framePr w:w="696" w:h="221" w:wrap="none" w:vAnchor="text" w:hAnchor="page" w:x="846" w:y="9323"/>
        <w:pBdr>
          <w:top w:val="single" w:sz="0" w:space="0" w:color="676C63"/>
          <w:left w:val="single" w:sz="0" w:space="3" w:color="676C63"/>
          <w:bottom w:val="single" w:sz="0" w:space="0" w:color="676C63"/>
          <w:right w:val="single" w:sz="0" w:space="3" w:color="676C63"/>
        </w:pBdr>
        <w:shd w:val="clear" w:color="auto" w:fill="676C63"/>
        <w:rPr>
          <w:sz w:val="16"/>
          <w:szCs w:val="16"/>
        </w:rPr>
      </w:pPr>
      <w:r>
        <w:rPr>
          <w:color w:val="A57D5A"/>
          <w:sz w:val="16"/>
          <w:szCs w:val="16"/>
        </w:rPr>
        <w:t>© CUZK</w:t>
      </w:r>
    </w:p>
    <w:p w:rsidR="00BC2EE4" w:rsidRDefault="007D5EEC">
      <w:pPr>
        <w:pStyle w:val="Titulekobrzku0"/>
        <w:framePr w:w="1541" w:h="509" w:wrap="none" w:vAnchor="text" w:hAnchor="page" w:x="14718" w:y="9016"/>
        <w:pBdr>
          <w:top w:val="single" w:sz="0" w:space="0" w:color="676C63"/>
          <w:left w:val="single" w:sz="0" w:space="3" w:color="676C63"/>
          <w:bottom w:val="single" w:sz="0" w:space="0" w:color="676C63"/>
          <w:right w:val="single" w:sz="0" w:space="3" w:color="676C63"/>
        </w:pBdr>
        <w:shd w:val="clear" w:color="auto" w:fill="676C63"/>
        <w:spacing w:line="276" w:lineRule="auto"/>
      </w:pPr>
      <w:r>
        <w:rPr>
          <w:color w:val="3B3B3B"/>
        </w:rPr>
        <w:t>identifikační číslo zákresu (segment)</w:t>
      </w:r>
    </w:p>
    <w:p w:rsidR="00BC2EE4" w:rsidRDefault="007D5EEC">
      <w:pPr>
        <w:pStyle w:val="Titulekobrzku0"/>
        <w:framePr w:w="7142" w:h="259" w:wrap="none" w:vAnchor="text" w:hAnchor="page" w:x="722" w:y="9655"/>
        <w:shd w:val="clear" w:color="auto" w:fill="auto"/>
      </w:pPr>
      <w:r>
        <w:t>Vydavatel: AOPK ČR, RP SCHKO České středohoří Autor: Vladislav Kopecký Rok: 2020</w:t>
      </w:r>
    </w:p>
    <w:p w:rsidR="00BC2EE4" w:rsidRDefault="007D5EEC">
      <w:pPr>
        <w:spacing w:line="360" w:lineRule="exact"/>
      </w:pPr>
      <w:r>
        <w:rPr>
          <w:noProof/>
          <w:lang w:bidi="ar-SA"/>
        </w:rPr>
        <w:drawing>
          <wp:anchor distT="0" distB="201295" distL="39370" distR="0" simplePos="0" relativeHeight="62914690" behindDoc="1" locked="0" layoutInCell="1" allowOverlap="1">
            <wp:simplePos x="0" y="0"/>
            <wp:positionH relativeFrom="page">
              <wp:posOffset>497205</wp:posOffset>
            </wp:positionH>
            <wp:positionV relativeFrom="paragraph">
              <wp:posOffset>12700</wp:posOffset>
            </wp:positionV>
            <wp:extent cx="9881870" cy="6083935"/>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9"/>
                    <a:stretch/>
                  </pic:blipFill>
                  <pic:spPr>
                    <a:xfrm>
                      <a:off x="0" y="0"/>
                      <a:ext cx="9881870" cy="6083935"/>
                    </a:xfrm>
                    <a:prstGeom prst="rect">
                      <a:avLst/>
                    </a:prstGeom>
                  </pic:spPr>
                </pic:pic>
              </a:graphicData>
            </a:graphic>
          </wp:anchor>
        </w:drawing>
      </w:r>
      <w:r>
        <w:rPr>
          <w:noProof/>
          <w:lang w:bidi="ar-SA"/>
        </w:rPr>
        <w:drawing>
          <wp:anchor distT="0" distB="0" distL="0" distR="0" simplePos="0" relativeHeight="62914691" behindDoc="1" locked="0" layoutInCell="1" allowOverlap="1">
            <wp:simplePos x="0" y="0"/>
            <wp:positionH relativeFrom="page">
              <wp:posOffset>10132060</wp:posOffset>
            </wp:positionH>
            <wp:positionV relativeFrom="paragraph">
              <wp:posOffset>6135370</wp:posOffset>
            </wp:positionV>
            <wp:extent cx="243840" cy="213360"/>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0"/>
                    <a:stretch/>
                  </pic:blipFill>
                  <pic:spPr>
                    <a:xfrm>
                      <a:off x="0" y="0"/>
                      <a:ext cx="243840" cy="213360"/>
                    </a:xfrm>
                    <a:prstGeom prst="rect">
                      <a:avLst/>
                    </a:prstGeom>
                  </pic:spPr>
                </pic:pic>
              </a:graphicData>
            </a:graphic>
          </wp:anchor>
        </w:drawing>
      </w:r>
    </w:p>
    <w:p w:rsidR="00BC2EE4" w:rsidRDefault="00BC2EE4">
      <w:pPr>
        <w:spacing w:line="360" w:lineRule="exact"/>
      </w:pPr>
    </w:p>
    <w:p w:rsidR="00BC2EE4" w:rsidRDefault="00BC2EE4">
      <w:pPr>
        <w:spacing w:line="360" w:lineRule="exact"/>
      </w:pPr>
    </w:p>
    <w:p w:rsidR="00BC2EE4" w:rsidRDefault="00BC2EE4">
      <w:pPr>
        <w:spacing w:line="360" w:lineRule="exact"/>
      </w:pPr>
    </w:p>
    <w:p w:rsidR="00BC2EE4" w:rsidRDefault="00BC2EE4">
      <w:pPr>
        <w:spacing w:line="360" w:lineRule="exact"/>
      </w:pPr>
    </w:p>
    <w:p w:rsidR="00BC2EE4" w:rsidRDefault="00BC2EE4">
      <w:pPr>
        <w:spacing w:line="360" w:lineRule="exact"/>
      </w:pPr>
    </w:p>
    <w:p w:rsidR="00BC2EE4" w:rsidRDefault="00BC2EE4">
      <w:pPr>
        <w:spacing w:line="360" w:lineRule="exact"/>
      </w:pPr>
    </w:p>
    <w:p w:rsidR="00BC2EE4" w:rsidRDefault="00BC2EE4">
      <w:pPr>
        <w:spacing w:line="360" w:lineRule="exact"/>
      </w:pPr>
    </w:p>
    <w:p w:rsidR="00BC2EE4" w:rsidRDefault="00BC2EE4">
      <w:pPr>
        <w:spacing w:line="360" w:lineRule="exact"/>
      </w:pPr>
    </w:p>
    <w:p w:rsidR="00BC2EE4" w:rsidRDefault="00BC2EE4">
      <w:pPr>
        <w:spacing w:line="360" w:lineRule="exact"/>
      </w:pPr>
    </w:p>
    <w:p w:rsidR="00BC2EE4" w:rsidRDefault="00BC2EE4">
      <w:pPr>
        <w:spacing w:line="360" w:lineRule="exact"/>
      </w:pPr>
    </w:p>
    <w:p w:rsidR="00BC2EE4" w:rsidRDefault="00BC2EE4">
      <w:pPr>
        <w:spacing w:line="360" w:lineRule="exact"/>
      </w:pPr>
    </w:p>
    <w:p w:rsidR="00BC2EE4" w:rsidRDefault="00BC2EE4">
      <w:pPr>
        <w:spacing w:after="578" w:line="1" w:lineRule="exact"/>
      </w:pPr>
    </w:p>
    <w:p w:rsidR="00BC2EE4" w:rsidRDefault="00BC2EE4">
      <w:pPr>
        <w:spacing w:line="1" w:lineRule="exact"/>
        <w:sectPr w:rsidR="00BC2EE4">
          <w:type w:val="continuous"/>
          <w:pgSz w:w="16840" w:h="11900" w:orient="landscape"/>
          <w:pgMar w:top="432" w:right="634" w:bottom="54" w:left="562" w:header="0" w:footer="3" w:gutter="0"/>
          <w:cols w:space="720"/>
          <w:noEndnote/>
          <w:docGrid w:linePitch="360"/>
        </w:sectPr>
      </w:pPr>
    </w:p>
    <w:p w:rsidR="00BC2EE4" w:rsidRDefault="007D5EEC">
      <w:pPr>
        <w:framePr w:w="15566" w:h="9586" w:hSpace="77" w:vSpace="312" w:wrap="notBeside" w:vAnchor="text" w:hAnchor="text" w:x="78" w:y="1119"/>
        <w:rPr>
          <w:sz w:val="2"/>
          <w:szCs w:val="2"/>
        </w:rPr>
      </w:pPr>
      <w:r>
        <w:rPr>
          <w:noProof/>
          <w:lang w:bidi="ar-SA"/>
        </w:rPr>
        <w:lastRenderedPageBreak/>
        <w:drawing>
          <wp:inline distT="0" distB="0" distL="0" distR="0">
            <wp:extent cx="9887585" cy="6089650"/>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pic:blipFill>
                  <pic:spPr>
                    <a:xfrm>
                      <a:off x="0" y="0"/>
                      <a:ext cx="9887585" cy="6089650"/>
                    </a:xfrm>
                    <a:prstGeom prst="rect">
                      <a:avLst/>
                    </a:prstGeom>
                  </pic:spPr>
                </pic:pic>
              </a:graphicData>
            </a:graphic>
          </wp:inline>
        </w:drawing>
      </w:r>
    </w:p>
    <w:p w:rsidR="00BC2EE4" w:rsidRDefault="007D5EEC">
      <w:pPr>
        <w:spacing w:line="1" w:lineRule="exact"/>
      </w:pPr>
      <w:r>
        <w:rPr>
          <w:noProof/>
          <w:lang w:bidi="ar-SA"/>
        </w:rPr>
        <mc:AlternateContent>
          <mc:Choice Requires="wps">
            <w:drawing>
              <wp:anchor distT="0" distB="0" distL="0" distR="5169535" simplePos="0" relativeHeight="125829385" behindDoc="0" locked="0" layoutInCell="1" allowOverlap="1">
                <wp:simplePos x="0" y="0"/>
                <wp:positionH relativeFrom="column">
                  <wp:posOffset>0</wp:posOffset>
                </wp:positionH>
                <wp:positionV relativeFrom="paragraph">
                  <wp:posOffset>0</wp:posOffset>
                </wp:positionV>
                <wp:extent cx="4763770" cy="67056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4763770" cy="670560"/>
                        </a:xfrm>
                        <a:prstGeom prst="rect">
                          <a:avLst/>
                        </a:prstGeom>
                        <a:noFill/>
                      </wps:spPr>
                      <wps:txbx>
                        <w:txbxContent>
                          <w:p w:rsidR="00BC2EE4" w:rsidRDefault="007D5EEC">
                            <w:pPr>
                              <w:pStyle w:val="Titulekobrzku0"/>
                              <w:shd w:val="clear" w:color="auto" w:fill="auto"/>
                              <w:spacing w:after="120"/>
                              <w:rPr>
                                <w:sz w:val="22"/>
                                <w:szCs w:val="22"/>
                              </w:rPr>
                            </w:pPr>
                            <w:r>
                              <w:rPr>
                                <w:sz w:val="22"/>
                                <w:szCs w:val="22"/>
                              </w:rPr>
                              <w:t>Zákres lokalizace opatření - NPP Janský vrch - výřez nežádoucího zmlazení</w:t>
                            </w:r>
                          </w:p>
                          <w:p w:rsidR="00BC2EE4" w:rsidRDefault="007D5EEC">
                            <w:pPr>
                              <w:pStyle w:val="Titulekobrzku0"/>
                              <w:shd w:val="clear" w:color="auto" w:fill="auto"/>
                              <w:spacing w:after="120"/>
                              <w:rPr>
                                <w:sz w:val="22"/>
                                <w:szCs w:val="22"/>
                              </w:rPr>
                            </w:pPr>
                            <w:r>
                              <w:rPr>
                                <w:sz w:val="22"/>
                                <w:szCs w:val="22"/>
                              </w:rPr>
                              <w:t>Příloha č. 2 ke smlouvě o dílo číslo PPK-138a/53/20</w:t>
                            </w:r>
                          </w:p>
                          <w:p w:rsidR="00BC2EE4" w:rsidRDefault="007D5EEC">
                            <w:pPr>
                              <w:pStyle w:val="Titulekobrzku0"/>
                              <w:shd w:val="clear" w:color="auto" w:fill="auto"/>
                              <w:spacing w:after="120"/>
                              <w:rPr>
                                <w:sz w:val="22"/>
                                <w:szCs w:val="22"/>
                              </w:rPr>
                            </w:pPr>
                            <w:r>
                              <w:rPr>
                                <w:sz w:val="22"/>
                                <w:szCs w:val="22"/>
                              </w:rPr>
                              <w:t>Vymezená plocha je 0,3349 ha</w:t>
                            </w:r>
                          </w:p>
                        </w:txbxContent>
                      </wps:txbx>
                      <wps:bodyPr lIns="0" tIns="0" rIns="0" bIns="0"/>
                    </wps:wsp>
                  </a:graphicData>
                </a:graphic>
              </wp:anchor>
            </w:drawing>
          </mc:Choice>
          <mc:Fallback>
            <w:pict>
              <v:shape id="_x0000_s1040" type="#_x0000_t202" style="position:absolute;margin-left:0;margin-top:0;width:375.10000000000002pt;height:52.799999999999997pt;z-index:-125829368;mso-wrap-distance-left:0;mso-wrap-distance-right:407.05000000000001pt" filled="f" stroked="f">
                <v:textbox inset="0,0,0,0">
                  <w:txbxContent>
                    <w:p>
                      <w:pPr>
                        <w:pStyle w:val="Style22"/>
                        <w:keepNext w:val="0"/>
                        <w:keepLines w:val="0"/>
                        <w:widowControl w:val="0"/>
                        <w:shd w:val="clear" w:color="auto" w:fill="auto"/>
                        <w:bidi w:val="0"/>
                        <w:spacing w:before="0" w:after="12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Zákres lokalizace opatření - NPP Janský vrch - výřez nežádoucího zmlazení</w:t>
                      </w:r>
                    </w:p>
                    <w:p>
                      <w:pPr>
                        <w:pStyle w:val="Style22"/>
                        <w:keepNext w:val="0"/>
                        <w:keepLines w:val="0"/>
                        <w:widowControl w:val="0"/>
                        <w:shd w:val="clear" w:color="auto" w:fill="auto"/>
                        <w:bidi w:val="0"/>
                        <w:spacing w:before="0" w:after="12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Příloha č. 2 ke smlouvě o dílo číslo PPK-138a/53/20</w:t>
                      </w:r>
                    </w:p>
                    <w:p>
                      <w:pPr>
                        <w:pStyle w:val="Style22"/>
                        <w:keepNext w:val="0"/>
                        <w:keepLines w:val="0"/>
                        <w:widowControl w:val="0"/>
                        <w:shd w:val="clear" w:color="auto" w:fill="auto"/>
                        <w:bidi w:val="0"/>
                        <w:spacing w:before="0" w:after="12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Vymezená plocha je 0,3349 ha</w:t>
                      </w:r>
                    </w:p>
                  </w:txbxContent>
                </v:textbox>
                <w10:wrap type="topAndBottom"/>
              </v:shape>
            </w:pict>
          </mc:Fallback>
        </mc:AlternateContent>
      </w:r>
      <w:r>
        <w:rPr>
          <w:noProof/>
          <w:lang w:bidi="ar-SA"/>
        </w:rPr>
        <mc:AlternateContent>
          <mc:Choice Requires="wps">
            <w:drawing>
              <wp:anchor distT="0" distB="0" distL="0" distR="5400675" simplePos="0" relativeHeight="125829387" behindDoc="0" locked="0" layoutInCell="1" allowOverlap="1">
                <wp:simplePos x="0" y="0"/>
                <wp:positionH relativeFrom="column">
                  <wp:posOffset>12065</wp:posOffset>
                </wp:positionH>
                <wp:positionV relativeFrom="paragraph">
                  <wp:posOffset>6830060</wp:posOffset>
                </wp:positionV>
                <wp:extent cx="4532630" cy="164465"/>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4532630" cy="164465"/>
                        </a:xfrm>
                        <a:prstGeom prst="rect">
                          <a:avLst/>
                        </a:prstGeom>
                        <a:noFill/>
                      </wps:spPr>
                      <wps:txbx>
                        <w:txbxContent>
                          <w:p w:rsidR="00BC2EE4" w:rsidRDefault="007D5EEC">
                            <w:pPr>
                              <w:pStyle w:val="Titulekobrzku0"/>
                              <w:shd w:val="clear" w:color="auto" w:fill="auto"/>
                            </w:pPr>
                            <w:r>
                              <w:t>Vydavatel: AOPK ČR, RP SCHKO České středohoří Autor: Vladislav Kopecký Rok: 2020</w:t>
                            </w:r>
                          </w:p>
                        </w:txbxContent>
                      </wps:txbx>
                      <wps:bodyPr lIns="0" tIns="0" rIns="0" bIns="0"/>
                    </wps:wsp>
                  </a:graphicData>
                </a:graphic>
              </wp:anchor>
            </w:drawing>
          </mc:Choice>
          <mc:Fallback>
            <w:pict>
              <v:shape id="_x0000_s1042" type="#_x0000_t202" style="position:absolute;margin-left:0.94999999999999996pt;margin-top:537.79999999999995pt;width:356.89999999999998pt;height:12.949999999999999pt;z-index:-125829366;mso-wrap-distance-left:0;mso-wrap-distance-right:425.25pt"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Vydavatel: AOPK ČR, RP SCHKO České středohoří Autor: Vladislav Kopecký Rok: 2020</w:t>
                      </w:r>
                    </w:p>
                  </w:txbxContent>
                </v:textbox>
                <w10:wrap type="topAndBottom"/>
              </v:shape>
            </w:pict>
          </mc:Fallback>
        </mc:AlternateContent>
      </w:r>
      <w:r>
        <w:rPr>
          <w:noProof/>
          <w:lang w:bidi="ar-SA"/>
        </w:rPr>
        <w:drawing>
          <wp:anchor distT="0" distB="0" distL="0" distR="0" simplePos="0" relativeHeight="125829389" behindDoc="0" locked="0" layoutInCell="1" allowOverlap="1">
            <wp:simplePos x="0" y="0"/>
            <wp:positionH relativeFrom="page">
              <wp:posOffset>10046970</wp:posOffset>
            </wp:positionH>
            <wp:positionV relativeFrom="margin">
              <wp:posOffset>6861175</wp:posOffset>
            </wp:positionV>
            <wp:extent cx="237490" cy="213360"/>
            <wp:effectExtent l="0" t="0" r="0" b="0"/>
            <wp:wrapTight wrapText="bothSides">
              <wp:wrapPolygon edited="0">
                <wp:start x="0" y="0"/>
                <wp:lineTo x="21600" y="0"/>
                <wp:lineTo x="21600" y="21600"/>
                <wp:lineTo x="0" y="21600"/>
                <wp:lineTo x="0" y="0"/>
              </wp:wrapPolygon>
            </wp:wrapTight>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2"/>
                    <a:stretch/>
                  </pic:blipFill>
                  <pic:spPr>
                    <a:xfrm>
                      <a:off x="0" y="0"/>
                      <a:ext cx="237490" cy="213360"/>
                    </a:xfrm>
                    <a:prstGeom prst="rect">
                      <a:avLst/>
                    </a:prstGeom>
                  </pic:spPr>
                </pic:pic>
              </a:graphicData>
            </a:graphic>
          </wp:anchor>
        </w:drawing>
      </w:r>
    </w:p>
    <w:sectPr w:rsidR="00BC2EE4">
      <w:pgSz w:w="16840" w:h="11900" w:orient="landscape"/>
      <w:pgMar w:top="432" w:right="634" w:bottom="131" w:left="562" w:header="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74F" w:rsidRDefault="006A574F">
      <w:r>
        <w:separator/>
      </w:r>
    </w:p>
  </w:endnote>
  <w:endnote w:type="continuationSeparator" w:id="0">
    <w:p w:rsidR="006A574F" w:rsidRDefault="006A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74F" w:rsidRDefault="006A574F"/>
  </w:footnote>
  <w:footnote w:type="continuationSeparator" w:id="0">
    <w:p w:rsidR="006A574F" w:rsidRDefault="006A574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EA4"/>
    <w:multiLevelType w:val="multilevel"/>
    <w:tmpl w:val="17265324"/>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926D9"/>
    <w:multiLevelType w:val="multilevel"/>
    <w:tmpl w:val="2E7A7FFA"/>
    <w:lvl w:ilvl="0">
      <w:start w:val="1"/>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620AB"/>
    <w:multiLevelType w:val="multilevel"/>
    <w:tmpl w:val="F3326E2A"/>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4431C3"/>
    <w:multiLevelType w:val="multilevel"/>
    <w:tmpl w:val="7F62364E"/>
    <w:lvl w:ilvl="0">
      <w:start w:val="1"/>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C434C7"/>
    <w:multiLevelType w:val="multilevel"/>
    <w:tmpl w:val="0D8E6AE2"/>
    <w:lvl w:ilvl="0">
      <w:start w:val="1"/>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E15EE8"/>
    <w:multiLevelType w:val="multilevel"/>
    <w:tmpl w:val="508EC56A"/>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D541D2"/>
    <w:multiLevelType w:val="multilevel"/>
    <w:tmpl w:val="BE148266"/>
    <w:lvl w:ilvl="0">
      <w:start w:val="1"/>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5B562F"/>
    <w:multiLevelType w:val="multilevel"/>
    <w:tmpl w:val="1576D292"/>
    <w:lvl w:ilvl="0">
      <w:start w:val="1"/>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511263"/>
    <w:multiLevelType w:val="multilevel"/>
    <w:tmpl w:val="32BA8DE4"/>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B82072"/>
    <w:multiLevelType w:val="multilevel"/>
    <w:tmpl w:val="F22ABC9A"/>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9"/>
  </w:num>
  <w:num w:numId="4">
    <w:abstractNumId w:val="2"/>
  </w:num>
  <w:num w:numId="5">
    <w:abstractNumId w:val="5"/>
  </w:num>
  <w:num w:numId="6">
    <w:abstractNumId w:val="1"/>
  </w:num>
  <w:num w:numId="7">
    <w:abstractNumId w:val="3"/>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E4"/>
    <w:rsid w:val="00271EE7"/>
    <w:rsid w:val="006A574F"/>
    <w:rsid w:val="007D5EEC"/>
    <w:rsid w:val="00BC2EE4"/>
    <w:rsid w:val="00FB6C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A2C4B-38DA-4563-8AAA-EB6A7A0D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bCs/>
      <w:i w:val="0"/>
      <w:iCs w:val="0"/>
      <w:smallCaps w:val="0"/>
      <w:strike w:val="0"/>
      <w:color w:val="1C7335"/>
      <w:sz w:val="16"/>
      <w:szCs w:val="1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2"/>
      <w:szCs w:val="2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8"/>
      <w:szCs w:val="18"/>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8"/>
      <w:szCs w:val="18"/>
      <w:u w:val="none"/>
    </w:rPr>
  </w:style>
  <w:style w:type="paragraph" w:customStyle="1" w:styleId="Zkladntext20">
    <w:name w:val="Základní text (2)"/>
    <w:basedOn w:val="Normln"/>
    <w:link w:val="Zkladntext2"/>
    <w:pPr>
      <w:shd w:val="clear" w:color="auto" w:fill="FFFFFF"/>
      <w:spacing w:line="288" w:lineRule="auto"/>
    </w:pPr>
    <w:rPr>
      <w:rFonts w:ascii="Arial" w:eastAsia="Arial" w:hAnsi="Arial" w:cs="Arial"/>
      <w:b/>
      <w:bCs/>
      <w:color w:val="1C7335"/>
      <w:sz w:val="16"/>
      <w:szCs w:val="16"/>
    </w:rPr>
  </w:style>
  <w:style w:type="paragraph" w:customStyle="1" w:styleId="Zkladntext1">
    <w:name w:val="Základní text1"/>
    <w:basedOn w:val="Normln"/>
    <w:link w:val="Zkladntext"/>
    <w:pPr>
      <w:shd w:val="clear" w:color="auto" w:fill="FFFFFF"/>
      <w:spacing w:after="100"/>
    </w:pPr>
    <w:rPr>
      <w:rFonts w:ascii="Arial" w:eastAsia="Arial" w:hAnsi="Arial" w:cs="Arial"/>
      <w:sz w:val="22"/>
      <w:szCs w:val="22"/>
    </w:rPr>
  </w:style>
  <w:style w:type="paragraph" w:customStyle="1" w:styleId="Nadpis10">
    <w:name w:val="Nadpis #1"/>
    <w:basedOn w:val="Normln"/>
    <w:link w:val="Nadpis1"/>
    <w:pPr>
      <w:shd w:val="clear" w:color="auto" w:fill="FFFFFF"/>
      <w:spacing w:after="230"/>
      <w:jc w:val="center"/>
      <w:outlineLvl w:val="0"/>
    </w:pPr>
    <w:rPr>
      <w:rFonts w:ascii="Arial" w:eastAsia="Arial" w:hAnsi="Arial" w:cs="Arial"/>
      <w:b/>
      <w:bCs/>
      <w:sz w:val="22"/>
      <w:szCs w:val="22"/>
    </w:rPr>
  </w:style>
  <w:style w:type="paragraph" w:customStyle="1" w:styleId="Jin0">
    <w:name w:val="Jiné"/>
    <w:basedOn w:val="Normln"/>
    <w:link w:val="Jin"/>
    <w:pPr>
      <w:shd w:val="clear" w:color="auto" w:fill="FFFFFF"/>
      <w:spacing w:after="100"/>
    </w:pPr>
    <w:rPr>
      <w:rFonts w:ascii="Arial" w:eastAsia="Arial" w:hAnsi="Arial" w:cs="Arial"/>
      <w:sz w:val="22"/>
      <w:szCs w:val="22"/>
    </w:rPr>
  </w:style>
  <w:style w:type="paragraph" w:customStyle="1" w:styleId="Zkladntext30">
    <w:name w:val="Základní text (3)"/>
    <w:basedOn w:val="Normln"/>
    <w:link w:val="Zkladntext3"/>
    <w:pPr>
      <w:shd w:val="clear" w:color="auto" w:fill="FFFFFF"/>
      <w:spacing w:before="820" w:after="280"/>
    </w:pPr>
    <w:rPr>
      <w:rFonts w:ascii="Arial" w:eastAsia="Arial" w:hAnsi="Arial" w:cs="Arial"/>
      <w:b/>
      <w:bCs/>
      <w:sz w:val="18"/>
      <w:szCs w:val="18"/>
    </w:rPr>
  </w:style>
  <w:style w:type="paragraph" w:customStyle="1" w:styleId="Titulektabulky0">
    <w:name w:val="Titulek tabulky"/>
    <w:basedOn w:val="Normln"/>
    <w:link w:val="Titulektabulky"/>
    <w:pPr>
      <w:shd w:val="clear" w:color="auto" w:fill="FFFFFF"/>
    </w:pPr>
    <w:rPr>
      <w:rFonts w:ascii="Arial" w:eastAsia="Arial" w:hAnsi="Arial" w:cs="Arial"/>
      <w:b/>
      <w:bCs/>
    </w:rPr>
  </w:style>
  <w:style w:type="paragraph" w:customStyle="1" w:styleId="Titulekobrzku0">
    <w:name w:val="Titulek obrázku"/>
    <w:basedOn w:val="Normln"/>
    <w:link w:val="Titulekobrzku"/>
    <w:pPr>
      <w:shd w:val="clear" w:color="auto" w:fill="FFFFFF"/>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ortal.nature.cz/publik_syst/files/oop_mngmonvyj.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1800</Words>
  <Characters>10626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Tabulka 1</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Tabulka 1</dc:title>
  <dc:subject/>
  <dc:creator>Pavel Moravec</dc:creator>
  <cp:keywords/>
  <cp:lastModifiedBy>Windows User</cp:lastModifiedBy>
  <cp:revision>2</cp:revision>
  <dcterms:created xsi:type="dcterms:W3CDTF">2020-10-08T04:31:00Z</dcterms:created>
  <dcterms:modified xsi:type="dcterms:W3CDTF">2020-10-08T04:31:00Z</dcterms:modified>
</cp:coreProperties>
</file>