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4E071723"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r w:rsidR="00B4097D">
        <w:rPr>
          <w:rFonts w:asciiTheme="minorHAnsi" w:hAnsiTheme="minorHAnsi" w:cstheme="minorHAnsi"/>
          <w:b/>
          <w:sz w:val="32"/>
          <w:szCs w:val="32"/>
        </w:rPr>
        <w:t>FIT-</w:t>
      </w:r>
      <w:r w:rsidR="00BB59C0">
        <w:rPr>
          <w:rFonts w:asciiTheme="minorHAnsi" w:hAnsiTheme="minorHAnsi" w:cstheme="minorHAnsi"/>
          <w:b/>
          <w:sz w:val="32"/>
          <w:szCs w:val="32"/>
        </w:rPr>
        <w:t>20</w:t>
      </w:r>
      <w:r w:rsidR="00B4097D">
        <w:rPr>
          <w:rFonts w:asciiTheme="minorHAnsi" w:hAnsiTheme="minorHAnsi" w:cstheme="minorHAnsi"/>
          <w:b/>
          <w:sz w:val="32"/>
          <w:szCs w:val="32"/>
        </w:rPr>
        <w:t>-</w:t>
      </w:r>
      <w:r w:rsidR="004061F3">
        <w:rPr>
          <w:rFonts w:asciiTheme="minorHAnsi" w:hAnsiTheme="minorHAnsi" w:cstheme="minorHAnsi"/>
          <w:b/>
          <w:sz w:val="32"/>
          <w:szCs w:val="32"/>
        </w:rPr>
        <w:t xml:space="preserve">050 – </w:t>
      </w:r>
      <w:r w:rsidR="00CD1255">
        <w:rPr>
          <w:rFonts w:asciiTheme="minorHAnsi" w:hAnsiTheme="minorHAnsi" w:cstheme="minorHAnsi"/>
          <w:b/>
          <w:sz w:val="32"/>
          <w:szCs w:val="32"/>
        </w:rPr>
        <w:t>R</w:t>
      </w:r>
      <w:r w:rsidR="004061F3">
        <w:rPr>
          <w:rFonts w:asciiTheme="minorHAnsi" w:hAnsiTheme="minorHAnsi" w:cstheme="minorHAnsi"/>
          <w:b/>
          <w:sz w:val="32"/>
          <w:szCs w:val="32"/>
        </w:rPr>
        <w:t xml:space="preserve">ozšíření </w:t>
      </w:r>
      <w:r w:rsidR="004061F3" w:rsidRPr="004061F3">
        <w:rPr>
          <w:rFonts w:asciiTheme="minorHAnsi" w:hAnsiTheme="minorHAnsi" w:cstheme="minorHAnsi"/>
          <w:b/>
          <w:sz w:val="32"/>
          <w:szCs w:val="32"/>
        </w:rPr>
        <w:t>operační paměti serverů</w:t>
      </w:r>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E4D2EB7" w14:textId="0670504E"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KS v </w:t>
      </w:r>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117341">
        <w:rPr>
          <w:rFonts w:asciiTheme="minorHAnsi" w:hAnsiTheme="minorHAnsi" w:cstheme="minorHAnsi"/>
          <w:sz w:val="22"/>
          <w:szCs w:val="22"/>
          <w:highlight w:val="yellow"/>
        </w:rPr>
        <w:t>..</w:t>
      </w:r>
      <w:proofErr w:type="gramEnd"/>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vložka </w:t>
      </w:r>
      <w:r w:rsidRPr="00117341">
        <w:rPr>
          <w:rFonts w:asciiTheme="minorHAnsi" w:hAnsiTheme="minorHAnsi" w:cstheme="minorHAnsi"/>
          <w:sz w:val="22"/>
          <w:szCs w:val="22"/>
          <w:highlight w:val="yellow"/>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5BEEC0B"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38726499" w14:textId="4A059511" w:rsidR="0005416C" w:rsidRDefault="0005416C"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4B186A">
        <w:rPr>
          <w:rFonts w:asciiTheme="minorHAnsi" w:hAnsiTheme="minorHAnsi" w:cstheme="minorHAnsi"/>
          <w:sz w:val="22"/>
          <w:szCs w:val="22"/>
        </w:rPr>
        <w:lastRenderedPageBreak/>
        <w:t xml:space="preserve">Tato smlouva je uzavřena na základě </w:t>
      </w:r>
      <w:r w:rsidR="00571D35">
        <w:rPr>
          <w:rFonts w:asciiTheme="minorHAnsi" w:hAnsiTheme="minorHAnsi" w:cstheme="minorHAnsi"/>
          <w:sz w:val="22"/>
          <w:szCs w:val="22"/>
        </w:rPr>
        <w:t>poptávk</w:t>
      </w:r>
      <w:r w:rsidRPr="004B186A">
        <w:rPr>
          <w:rFonts w:asciiTheme="minorHAnsi" w:hAnsiTheme="minorHAnsi" w:cstheme="minorHAnsi"/>
          <w:sz w:val="22"/>
          <w:szCs w:val="22"/>
        </w:rPr>
        <w:t>ového řízení veřejné zakázky realizovaného mimo režim zákona č. 134/2016 Sb., o zadávání veřejných zakázek, v platném znění. Veřejná</w:t>
      </w:r>
      <w:r w:rsidRPr="008C18A6">
        <w:rPr>
          <w:rFonts w:asciiTheme="minorHAnsi" w:hAnsiTheme="minorHAnsi" w:cstheme="minorHAnsi"/>
          <w:sz w:val="22"/>
          <w:szCs w:val="22"/>
        </w:rPr>
        <w:t xml:space="preserve"> zakázka je součástí projektu financovaného z prostředků Evropské unie v rámci Operačního programu Výzkum, vývoj a vzdělávání (OP VVV) s názvem „</w:t>
      </w:r>
      <w:r w:rsidR="00BB59C0" w:rsidRPr="00BB59C0">
        <w:rPr>
          <w:rFonts w:asciiTheme="minorHAnsi" w:hAnsiTheme="minorHAnsi" w:cstheme="minorHAnsi"/>
          <w:sz w:val="22"/>
          <w:szCs w:val="22"/>
        </w:rPr>
        <w:t>Laboratoře pro doktorský studijní program Bezpečnost a zabezpečení jaderných zařízení a forenzní analýzy jaderných materiálů</w:t>
      </w:r>
      <w:r w:rsidRPr="008C18A6">
        <w:rPr>
          <w:rFonts w:asciiTheme="minorHAnsi" w:hAnsiTheme="minorHAnsi" w:cstheme="minorHAnsi"/>
          <w:sz w:val="22"/>
          <w:szCs w:val="22"/>
        </w:rPr>
        <w:t xml:space="preserve">“, registrační č. projektu: </w:t>
      </w:r>
      <w:r w:rsidR="00BB59C0" w:rsidRPr="00BB59C0">
        <w:rPr>
          <w:rFonts w:asciiTheme="minorHAnsi" w:hAnsiTheme="minorHAnsi" w:cstheme="minorHAnsi"/>
          <w:sz w:val="22"/>
          <w:szCs w:val="22"/>
        </w:rPr>
        <w:t>CZ.02.1.01/0.0/0.0/16_017/0002370</w:t>
      </w:r>
      <w:r w:rsidRPr="008C18A6">
        <w:rPr>
          <w:rFonts w:asciiTheme="minorHAnsi" w:hAnsiTheme="minorHAnsi" w:cstheme="minorHAnsi"/>
          <w:sz w:val="22"/>
          <w:szCs w:val="22"/>
        </w:rPr>
        <w:t xml:space="preserve">. V této souvislosti se smluvní strany zavazují dodržovat </w:t>
      </w:r>
      <w:r w:rsidRPr="00655851">
        <w:rPr>
          <w:rFonts w:asciiTheme="minorHAnsi" w:hAnsiTheme="minorHAnsi" w:cstheme="minorHAnsi"/>
          <w:sz w:val="22"/>
          <w:szCs w:val="22"/>
        </w:rPr>
        <w:t>Pravidla pro žadatele a příjemce v platném znění;</w:t>
      </w:r>
      <w:r w:rsidRPr="008C18A6">
        <w:rPr>
          <w:rFonts w:asciiTheme="minorHAnsi" w:hAnsiTheme="minorHAnsi" w:cstheme="minorHAnsi"/>
          <w:sz w:val="22"/>
          <w:szCs w:val="22"/>
        </w:rPr>
        <w:t xml:space="preserve"> v tomto smyslu bude prodávající dle ustanovení § 2 písm. e) zák. č. 320/2001 Sb., o finanční kontrole ve veřejné správě, v platném znění, osobou povinnou spolupůsobit při výkonu finanční kontroly; prodávající se dále zavazuje k archivaci veškerých originálních dokumentů týkajících se plnění předmětu koupě dle </w:t>
      </w:r>
      <w:r>
        <w:rPr>
          <w:rFonts w:asciiTheme="minorHAnsi" w:hAnsiTheme="minorHAnsi" w:cstheme="minorHAnsi"/>
          <w:sz w:val="22"/>
          <w:szCs w:val="22"/>
        </w:rPr>
        <w:t xml:space="preserve">pravidel projektu, </w:t>
      </w:r>
      <w:r w:rsidRPr="00655851">
        <w:rPr>
          <w:rFonts w:asciiTheme="minorHAnsi" w:hAnsiTheme="minorHAnsi" w:cstheme="minorHAnsi"/>
          <w:sz w:val="22"/>
          <w:szCs w:val="22"/>
        </w:rPr>
        <w:t>pokud</w:t>
      </w:r>
      <w:r w:rsidRPr="008C18A6">
        <w:rPr>
          <w:rFonts w:asciiTheme="minorHAnsi" w:hAnsiTheme="minorHAnsi" w:cstheme="minorHAnsi"/>
          <w:sz w:val="22"/>
          <w:szCs w:val="22"/>
        </w:rPr>
        <w:t xml:space="preserve"> legislativa nestanovuje pro některé typy dokumentů dobu delší; prodávající je dále povinen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7E7571D4"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r w:rsidR="007B5588">
        <w:rPr>
          <w:rFonts w:asciiTheme="minorHAnsi" w:hAnsiTheme="minorHAnsi" w:cstheme="minorHAnsi"/>
          <w:b/>
          <w:sz w:val="22"/>
          <w:szCs w:val="22"/>
        </w:rPr>
        <w:t>rozšíření o</w:t>
      </w:r>
      <w:r w:rsidR="00AB6265">
        <w:rPr>
          <w:rFonts w:asciiTheme="minorHAnsi" w:hAnsiTheme="minorHAnsi" w:cstheme="minorHAnsi"/>
          <w:b/>
          <w:sz w:val="22"/>
          <w:szCs w:val="22"/>
        </w:rPr>
        <w:t>perační pamě</w:t>
      </w:r>
      <w:r w:rsidR="004A236D">
        <w:rPr>
          <w:rFonts w:asciiTheme="minorHAnsi" w:hAnsiTheme="minorHAnsi" w:cstheme="minorHAnsi"/>
          <w:b/>
          <w:sz w:val="22"/>
          <w:szCs w:val="22"/>
        </w:rPr>
        <w:t xml:space="preserve">ti </w:t>
      </w:r>
      <w:r w:rsidR="00AB6265">
        <w:rPr>
          <w:rFonts w:asciiTheme="minorHAnsi" w:hAnsiTheme="minorHAnsi" w:cstheme="minorHAnsi"/>
          <w:b/>
          <w:sz w:val="22"/>
          <w:szCs w:val="22"/>
        </w:rPr>
        <w:t xml:space="preserve">pro </w:t>
      </w:r>
      <w:r w:rsidR="00AB6265" w:rsidRPr="00AB6265">
        <w:rPr>
          <w:rFonts w:asciiTheme="minorHAnsi" w:hAnsiTheme="minorHAnsi" w:cstheme="minorHAnsi"/>
          <w:b/>
          <w:sz w:val="22"/>
          <w:szCs w:val="22"/>
        </w:rPr>
        <w:t>server</w:t>
      </w:r>
      <w:r w:rsidR="00AB6265">
        <w:rPr>
          <w:rFonts w:asciiTheme="minorHAnsi" w:hAnsiTheme="minorHAnsi" w:cstheme="minorHAnsi"/>
          <w:b/>
          <w:sz w:val="22"/>
          <w:szCs w:val="22"/>
        </w:rPr>
        <w:t>y</w:t>
      </w:r>
      <w:r w:rsidR="00B4097D" w:rsidRPr="00B4097D">
        <w:rPr>
          <w:rFonts w:asciiTheme="minorHAnsi" w:hAnsiTheme="minorHAnsi" w:cstheme="minorHAnsi"/>
          <w:b/>
          <w:sz w:val="22"/>
          <w:szCs w:val="22"/>
        </w:rPr>
        <w:t xml:space="preserve"> </w:t>
      </w:r>
      <w:r w:rsidR="009621C7" w:rsidRPr="00CA7012">
        <w:rPr>
          <w:rFonts w:asciiTheme="minorHAnsi" w:hAnsiTheme="minorHAnsi" w:cstheme="minorHAnsi"/>
          <w:sz w:val="22"/>
          <w:szCs w:val="22"/>
        </w:rPr>
        <w:t>(dále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8616F8" w:rsidRPr="00CA7012">
        <w:rPr>
          <w:rFonts w:asciiTheme="minorHAnsi" w:hAnsiTheme="minorHAnsi" w:cstheme="minorHAnsi"/>
          <w:sz w:val="22"/>
          <w:szCs w:val="22"/>
        </w:rPr>
        <w:t>poptávkového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mimo režim zákona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1768135"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w:t>
      </w:r>
      <w:r w:rsidR="00571D35">
        <w:rPr>
          <w:rFonts w:asciiTheme="minorHAnsi" w:hAnsiTheme="minorHAnsi" w:cstheme="minorHAnsi"/>
          <w:sz w:val="22"/>
          <w:szCs w:val="22"/>
        </w:rPr>
        <w:t>poptávk</w:t>
      </w:r>
      <w:r w:rsidR="00F97CF8" w:rsidRPr="00043100">
        <w:rPr>
          <w:rFonts w:asciiTheme="minorHAnsi" w:hAnsiTheme="minorHAnsi" w:cstheme="minorHAnsi"/>
          <w:sz w:val="22"/>
          <w:szCs w:val="22"/>
        </w:rPr>
        <w:t xml:space="preserve">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 xml:space="preserve">základě byla s prodávajícím, jakožto vybraným účastníkem </w:t>
      </w:r>
      <w:r w:rsidR="00571D35">
        <w:rPr>
          <w:rFonts w:asciiTheme="minorHAnsi" w:hAnsiTheme="minorHAnsi" w:cstheme="minorHAnsi"/>
          <w:sz w:val="22"/>
          <w:szCs w:val="22"/>
        </w:rPr>
        <w:t>poptávko</w:t>
      </w:r>
      <w:r w:rsidR="00F97CF8" w:rsidRPr="00043100">
        <w:rPr>
          <w:rFonts w:asciiTheme="minorHAnsi" w:hAnsiTheme="minorHAnsi" w:cstheme="minorHAnsi"/>
          <w:sz w:val="22"/>
          <w:szCs w:val="22"/>
        </w:rPr>
        <w:t xml:space="preserve">vého řízení, tato smlouva uzavřena. Prodávající je </w:t>
      </w:r>
      <w:r w:rsidR="00F97CF8" w:rsidRPr="00043100">
        <w:rPr>
          <w:rFonts w:asciiTheme="minorHAnsi" w:hAnsiTheme="minorHAnsi" w:cstheme="minorHAnsi"/>
          <w:sz w:val="22"/>
          <w:szCs w:val="22"/>
        </w:rPr>
        <w:lastRenderedPageBreak/>
        <w:t>povinen předložit 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039F911A" w:rsidR="009621C7"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1B8E4C71" w14:textId="0A0FC6AC" w:rsidR="00BF1FBB" w:rsidRPr="005567CC" w:rsidRDefault="00BF1FBB"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BF1FBB">
        <w:rPr>
          <w:rFonts w:asciiTheme="minorHAnsi" w:hAnsiTheme="minorHAnsi" w:cstheme="minorHAnsi"/>
          <w:sz w:val="22"/>
          <w:szCs w:val="22"/>
        </w:rPr>
        <w:t xml:space="preserve">veškerá montáž </w:t>
      </w:r>
      <w:r w:rsidRPr="00BF1FBB">
        <w:rPr>
          <w:rFonts w:asciiTheme="minorHAnsi" w:hAnsiTheme="minorHAnsi" w:cstheme="minorHAnsi"/>
          <w:sz w:val="22"/>
          <w:szCs w:val="22"/>
        </w:rPr>
        <w:t xml:space="preserve">potřebná </w:t>
      </w:r>
      <w:r w:rsidRPr="00BF1FBB">
        <w:rPr>
          <w:rFonts w:asciiTheme="minorHAnsi" w:hAnsiTheme="minorHAnsi" w:cstheme="minorHAnsi"/>
          <w:sz w:val="22"/>
          <w:szCs w:val="22"/>
        </w:rPr>
        <w:t>pro požadované rozšíření operační paměti pro servery</w:t>
      </w:r>
      <w:r>
        <w:rPr>
          <w:rFonts w:asciiTheme="minorHAnsi" w:hAnsiTheme="minorHAnsi" w:cstheme="minorHAnsi"/>
          <w:sz w:val="22"/>
          <w:szCs w:val="22"/>
        </w:rPr>
        <w:t>;</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CA359A" w:rsidR="008E2AAD" w:rsidRPr="005567CC"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418E0BC5" w:rsidR="006D6756" w:rsidRPr="005567CC" w:rsidRDefault="00C26097" w:rsidP="00BC675A">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5567CC">
        <w:rPr>
          <w:rFonts w:asciiTheme="minorHAnsi" w:hAnsiTheme="minorHAnsi" w:cstheme="minorHAnsi"/>
          <w:sz w:val="22"/>
          <w:szCs w:val="22"/>
        </w:rPr>
        <w:t>Prodávající</w:t>
      </w:r>
      <w:r w:rsidR="006D6756" w:rsidRPr="005567CC">
        <w:rPr>
          <w:rFonts w:asciiTheme="minorHAnsi" w:hAnsiTheme="minorHAnsi" w:cstheme="minorHAnsi"/>
          <w:sz w:val="22"/>
          <w:szCs w:val="22"/>
        </w:rPr>
        <w:t xml:space="preserve"> je povinen odevzdat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mu </w:t>
      </w:r>
      <w:r w:rsidR="006D6756" w:rsidRPr="00612CFC">
        <w:rPr>
          <w:rFonts w:asciiTheme="minorHAnsi" w:hAnsiTheme="minorHAnsi" w:cstheme="minorHAnsi"/>
          <w:sz w:val="22"/>
          <w:szCs w:val="22"/>
        </w:rPr>
        <w:t xml:space="preserve">nejpozději </w:t>
      </w:r>
      <w:r w:rsidR="006D6756" w:rsidRPr="00FF026D">
        <w:rPr>
          <w:rFonts w:asciiTheme="minorHAnsi" w:hAnsiTheme="minorHAnsi" w:cstheme="minorHAnsi"/>
          <w:sz w:val="22"/>
          <w:szCs w:val="22"/>
          <w:highlight w:val="yellow"/>
        </w:rPr>
        <w:t xml:space="preserve">do </w:t>
      </w:r>
      <w:r w:rsidR="00AB6265" w:rsidRPr="00FF026D">
        <w:rPr>
          <w:rFonts w:asciiTheme="minorHAnsi" w:hAnsiTheme="minorHAnsi" w:cstheme="minorHAnsi"/>
          <w:sz w:val="22"/>
          <w:szCs w:val="22"/>
          <w:highlight w:val="yellow"/>
        </w:rPr>
        <w:t>30</w:t>
      </w:r>
      <w:r w:rsidR="00043100" w:rsidRPr="00FF026D">
        <w:rPr>
          <w:rFonts w:asciiTheme="minorHAnsi" w:hAnsiTheme="minorHAnsi" w:cstheme="minorHAnsi"/>
          <w:sz w:val="22"/>
          <w:szCs w:val="22"/>
          <w:highlight w:val="yellow"/>
        </w:rPr>
        <w:t xml:space="preserve"> </w:t>
      </w:r>
      <w:r w:rsidR="006D6756" w:rsidRPr="00FF026D">
        <w:rPr>
          <w:rFonts w:asciiTheme="minorHAnsi" w:hAnsiTheme="minorHAnsi" w:cstheme="minorHAnsi"/>
          <w:sz w:val="22"/>
          <w:szCs w:val="22"/>
          <w:highlight w:val="yellow"/>
        </w:rPr>
        <w:t>kalendářních dnů od vyzvání</w:t>
      </w:r>
      <w:r w:rsidR="006D6756" w:rsidRPr="00612CFC">
        <w:rPr>
          <w:rFonts w:asciiTheme="minorHAnsi" w:hAnsiTheme="minorHAnsi" w:cstheme="minorHAnsi"/>
          <w:sz w:val="22"/>
          <w:szCs w:val="22"/>
        </w:rPr>
        <w:t xml:space="preserve"> ze strany </w:t>
      </w:r>
      <w:r w:rsidR="00BC675A" w:rsidRPr="00612CFC">
        <w:rPr>
          <w:rFonts w:asciiTheme="minorHAnsi" w:hAnsiTheme="minorHAnsi" w:cstheme="minorHAnsi"/>
          <w:sz w:val="22"/>
          <w:szCs w:val="22"/>
        </w:rPr>
        <w:t>k</w:t>
      </w:r>
      <w:r w:rsidR="00CD4B6C" w:rsidRPr="00612CFC">
        <w:rPr>
          <w:rFonts w:asciiTheme="minorHAnsi" w:hAnsiTheme="minorHAnsi" w:cstheme="minorHAnsi"/>
          <w:sz w:val="22"/>
          <w:szCs w:val="22"/>
        </w:rPr>
        <w:t>upujíc</w:t>
      </w:r>
      <w:r w:rsidRPr="00612CFC">
        <w:rPr>
          <w:rFonts w:asciiTheme="minorHAnsi" w:hAnsiTheme="minorHAnsi" w:cstheme="minorHAnsi"/>
          <w:sz w:val="22"/>
          <w:szCs w:val="22"/>
        </w:rPr>
        <w:t>í</w:t>
      </w:r>
      <w:r w:rsidR="006D6756" w:rsidRPr="00612CFC">
        <w:rPr>
          <w:rFonts w:asciiTheme="minorHAnsi" w:hAnsiTheme="minorHAnsi" w:cstheme="minorHAnsi"/>
          <w:sz w:val="22"/>
          <w:szCs w:val="22"/>
        </w:rPr>
        <w:t>ho</w:t>
      </w:r>
      <w:r w:rsidR="006D6756" w:rsidRPr="005567CC">
        <w:rPr>
          <w:rFonts w:asciiTheme="minorHAnsi" w:hAnsiTheme="minorHAnsi" w:cstheme="minorHAnsi"/>
          <w:sz w:val="22"/>
          <w:szCs w:val="22"/>
        </w:rPr>
        <w:t xml:space="preserve">. O odevzdání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w:t>
      </w:r>
      <w:r w:rsidR="00EE3D6A" w:rsidRPr="005567CC">
        <w:rPr>
          <w:rFonts w:asciiTheme="minorHAnsi" w:hAnsiTheme="minorHAnsi" w:cstheme="minorHAnsi"/>
          <w:sz w:val="22"/>
          <w:szCs w:val="22"/>
        </w:rPr>
        <w:t>četně veškerého příslušenství a </w:t>
      </w:r>
      <w:r w:rsidR="006D6756" w:rsidRPr="005567CC">
        <w:rPr>
          <w:rFonts w:asciiTheme="minorHAnsi" w:hAnsiTheme="minorHAnsi" w:cstheme="minorHAnsi"/>
          <w:sz w:val="22"/>
          <w:szCs w:val="22"/>
        </w:rPr>
        <w:t xml:space="preserve">související dokumentace sepíší smluvní strany datovaný předávací protokol, který podepíší </w:t>
      </w:r>
      <w:r w:rsidR="003E5B53">
        <w:rPr>
          <w:rFonts w:asciiTheme="minorHAnsi" w:hAnsiTheme="minorHAnsi" w:cstheme="minorHAnsi"/>
          <w:sz w:val="22"/>
          <w:szCs w:val="22"/>
        </w:rPr>
        <w:t xml:space="preserve">pověřené </w:t>
      </w:r>
      <w:r w:rsidR="006D6756" w:rsidRPr="005567CC">
        <w:rPr>
          <w:rFonts w:asciiTheme="minorHAnsi" w:hAnsiTheme="minorHAnsi" w:cstheme="minorHAnsi"/>
          <w:sz w:val="22"/>
          <w:szCs w:val="22"/>
        </w:rPr>
        <w:t xml:space="preserve">osoby </w:t>
      </w:r>
      <w:r w:rsidR="00BC675A" w:rsidRPr="005567CC">
        <w:rPr>
          <w:rFonts w:asciiTheme="minorHAnsi" w:hAnsiTheme="minorHAnsi" w:cstheme="minorHAnsi"/>
          <w:sz w:val="22"/>
          <w:szCs w:val="22"/>
        </w:rPr>
        <w:t>p</w:t>
      </w:r>
      <w:r w:rsidRPr="005567CC">
        <w:rPr>
          <w:rFonts w:asciiTheme="minorHAnsi" w:hAnsiTheme="minorHAnsi" w:cstheme="minorHAnsi"/>
          <w:sz w:val="22"/>
          <w:szCs w:val="22"/>
        </w:rPr>
        <w:t>rodávající</w:t>
      </w:r>
      <w:r w:rsidR="006D6756" w:rsidRPr="005567CC">
        <w:rPr>
          <w:rFonts w:asciiTheme="minorHAnsi" w:hAnsiTheme="minorHAnsi" w:cstheme="minorHAnsi"/>
          <w:sz w:val="22"/>
          <w:szCs w:val="22"/>
        </w:rPr>
        <w:t>ho i</w:t>
      </w:r>
      <w:r w:rsidR="003E5B53">
        <w:rPr>
          <w:rFonts w:asciiTheme="minorHAnsi" w:hAnsiTheme="minorHAnsi" w:cstheme="minorHAnsi"/>
          <w:sz w:val="22"/>
          <w:szCs w:val="22"/>
        </w:rPr>
        <w:t>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(dále jen „předávací protokol“). </w:t>
      </w:r>
      <w:r w:rsidR="00BC675A" w:rsidRPr="005567CC">
        <w:rPr>
          <w:rFonts w:asciiTheme="minorHAnsi" w:hAnsiTheme="minorHAnsi" w:cstheme="minorHAnsi"/>
          <w:sz w:val="22"/>
          <w:szCs w:val="22"/>
        </w:rPr>
        <w:t>Jedno vyhotovení předávacího protokolu si ponechá prodávající pro své potřeby a druhé vyhotovení zůstává kupujícímu. V případě, že pověřená osoba kupujícího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je kupující povinen bez zbytečného odkladu tuto skutečnost prodávajícímu písemně oznámit.</w:t>
      </w:r>
    </w:p>
    <w:p w14:paraId="03D6FFEE" w14:textId="798925B1"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2068BF">
        <w:rPr>
          <w:rFonts w:asciiTheme="minorHAnsi" w:hAnsiTheme="minorHAnsi" w:cstheme="minorHAnsi"/>
          <w:sz w:val="22"/>
          <w:szCs w:val="22"/>
        </w:rPr>
        <w:t xml:space="preserve">technologií, </w:t>
      </w:r>
      <w:r w:rsidR="00BC675A" w:rsidRPr="002068BF">
        <w:rPr>
          <w:rFonts w:asciiTheme="minorHAnsi" w:hAnsiTheme="minorHAnsi" w:cstheme="minorHAnsi"/>
          <w:sz w:val="22"/>
          <w:szCs w:val="22"/>
        </w:rPr>
        <w:t xml:space="preserve">Thákurova </w:t>
      </w:r>
      <w:r w:rsidR="000E57ED" w:rsidRPr="000E57ED">
        <w:rPr>
          <w:rFonts w:asciiTheme="minorHAnsi" w:hAnsiTheme="minorHAnsi" w:cstheme="minorHAnsi"/>
          <w:sz w:val="22"/>
          <w:szCs w:val="22"/>
        </w:rPr>
        <w:t>2700/9</w:t>
      </w:r>
      <w:r w:rsidRPr="005567CC">
        <w:rPr>
          <w:rFonts w:asciiTheme="minorHAnsi" w:hAnsiTheme="minorHAnsi" w:cstheme="minorHAnsi"/>
          <w:sz w:val="22"/>
          <w:szCs w:val="22"/>
        </w:rPr>
        <w:t>,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4B8ADB5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Výše DPH:</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90E49D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Celková cena vč. DPH:</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4347D47" w14:textId="77777777" w:rsidR="001B0804" w:rsidRPr="005567CC" w:rsidRDefault="001B0804" w:rsidP="00EE3D6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72455713" w14:textId="77777777" w:rsidR="0005416C" w:rsidRPr="005567CC" w:rsidRDefault="0005416C" w:rsidP="0005416C">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Vystavený daňový doklad musí být označen názvem smlouvy a jejím číslem, pokud je uvedeno</w:t>
      </w:r>
      <w:r w:rsidRPr="004F55BC">
        <w:rPr>
          <w:rFonts w:asciiTheme="minorHAnsi" w:hAnsiTheme="minorHAnsi" w:cstheme="minorHAnsi"/>
          <w:sz w:val="22"/>
          <w:szCs w:val="22"/>
        </w:rPr>
        <w:t>, a dále názvem a registračním číslem projektu uvedeným v čl. II odst. 2.</w:t>
      </w:r>
      <w:r w:rsidRPr="005567CC">
        <w:rPr>
          <w:rFonts w:asciiTheme="minorHAnsi" w:hAnsiTheme="minorHAnsi" w:cstheme="minorHAnsi"/>
          <w:sz w:val="22"/>
          <w:szCs w:val="22"/>
        </w:rPr>
        <w:t xml:space="preserve">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kupujícího uvedenou v čl. I této smlouvy.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 xml:space="preserve">úhradou. Zveřejnění bankovního účtu správcem daně oznámí prodávající bezodkladně kupujícímu. </w:t>
      </w:r>
      <w:r w:rsidRPr="005567CC">
        <w:rPr>
          <w:rFonts w:asciiTheme="minorHAnsi" w:hAnsiTheme="minorHAnsi" w:cstheme="minorHAnsi"/>
          <w:sz w:val="22"/>
          <w:szCs w:val="22"/>
        </w:rPr>
        <w:lastRenderedPageBreak/>
        <w:t>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w:t>
      </w:r>
      <w:r w:rsidRPr="00043100">
        <w:rPr>
          <w:rFonts w:asciiTheme="minorHAnsi" w:hAnsiTheme="minorHAnsi" w:cstheme="minorHAnsi"/>
          <w:sz w:val="22"/>
          <w:szCs w:val="22"/>
        </w:rPr>
        <w:lastRenderedPageBreak/>
        <w:t>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791080EC" w14:textId="66820C0D" w:rsidR="009C6793" w:rsidRPr="00043100" w:rsidRDefault="009C6793"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Na žádost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 xml:space="preserve">upujícího je </w:t>
      </w:r>
      <w:r w:rsidR="00CD2C3E" w:rsidRPr="00043100">
        <w:rPr>
          <w:rFonts w:asciiTheme="minorHAnsi" w:hAnsiTheme="minorHAnsi" w:cstheme="minorHAnsi"/>
          <w:sz w:val="22"/>
          <w:szCs w:val="22"/>
        </w:rPr>
        <w:t>p</w:t>
      </w:r>
      <w:r w:rsidRPr="00043100">
        <w:rPr>
          <w:rFonts w:asciiTheme="minorHAnsi" w:hAnsiTheme="minorHAnsi" w:cstheme="minorHAnsi"/>
          <w:sz w:val="22"/>
          <w:szCs w:val="22"/>
        </w:rPr>
        <w:t>rodávající povinen doložit písemné potvrzení výrobce nebo oficiálního</w:t>
      </w:r>
      <w:r w:rsidR="00CD2C3E" w:rsidRPr="00043100">
        <w:rPr>
          <w:rFonts w:asciiTheme="minorHAnsi" w:hAnsiTheme="minorHAnsi" w:cstheme="minorHAnsi"/>
          <w:sz w:val="22"/>
          <w:szCs w:val="22"/>
        </w:rPr>
        <w:t xml:space="preserve"> </w:t>
      </w:r>
      <w:r w:rsidRPr="00043100">
        <w:rPr>
          <w:rFonts w:asciiTheme="minorHAnsi" w:hAnsiTheme="minorHAnsi" w:cstheme="minorHAnsi"/>
          <w:sz w:val="22"/>
          <w:szCs w:val="22"/>
        </w:rPr>
        <w:t xml:space="preserve">distributora pro ČR, že dodávané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 xml:space="preserve">boží je určeno pro evropský trh a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upujícího (včetně soupisu výrobních/sériových čísel dodávaných zařízení).</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6789C20C" w14:textId="7CFC6A49" w:rsidR="00AB6265" w:rsidRPr="0094798C" w:rsidRDefault="0094798C" w:rsidP="007C1A7F">
      <w:pPr>
        <w:pStyle w:val="Odstavecseseznamem"/>
        <w:widowControl/>
        <w:numPr>
          <w:ilvl w:val="0"/>
          <w:numId w:val="25"/>
        </w:numPr>
        <w:spacing w:after="120" w:line="276" w:lineRule="auto"/>
        <w:ind w:left="357"/>
        <w:contextualSpacing w:val="0"/>
        <w:jc w:val="both"/>
        <w:rPr>
          <w:rFonts w:asciiTheme="minorHAnsi" w:hAnsiTheme="minorHAnsi" w:cstheme="minorHAnsi"/>
          <w:sz w:val="22"/>
          <w:szCs w:val="22"/>
        </w:rPr>
      </w:pPr>
      <w:r w:rsidRPr="0094798C">
        <w:rPr>
          <w:rFonts w:asciiTheme="minorHAnsi" w:hAnsiTheme="minorHAnsi" w:cstheme="minorHAnsi"/>
          <w:sz w:val="22"/>
          <w:szCs w:val="22"/>
        </w:rPr>
        <w:t>Prodávající poskytne na zboží záruku za jakost, jejíž rozsah a podmínky budou stanoveny nejméně na stejné úrovni jako v případě smluvní záruky dle čl. V kupní smlouvy uzavřené dne 28. 6. 2018 mezi kupujícím</w:t>
      </w:r>
      <w:r w:rsidR="0045105E" w:rsidRPr="0045105E">
        <w:t xml:space="preserve"> </w:t>
      </w:r>
      <w:proofErr w:type="spellStart"/>
      <w:r w:rsidR="0045105E" w:rsidRPr="0045105E">
        <w:rPr>
          <w:rFonts w:asciiTheme="minorHAnsi" w:hAnsiTheme="minorHAnsi" w:cstheme="minorHAnsi"/>
          <w:sz w:val="22"/>
          <w:szCs w:val="22"/>
        </w:rPr>
        <w:t>Abacus</w:t>
      </w:r>
      <w:proofErr w:type="spellEnd"/>
      <w:r w:rsidR="0045105E" w:rsidRPr="0045105E">
        <w:rPr>
          <w:rFonts w:asciiTheme="minorHAnsi" w:hAnsiTheme="minorHAnsi" w:cstheme="minorHAnsi"/>
          <w:sz w:val="22"/>
          <w:szCs w:val="22"/>
        </w:rPr>
        <w:t xml:space="preserve"> Electric, s.r.o.</w:t>
      </w:r>
      <w:r w:rsidRPr="0094798C">
        <w:rPr>
          <w:rFonts w:asciiTheme="minorHAnsi" w:hAnsiTheme="minorHAnsi" w:cstheme="minorHAnsi"/>
          <w:sz w:val="22"/>
          <w:szCs w:val="22"/>
        </w:rPr>
        <w:t xml:space="preserve">, IČO </w:t>
      </w:r>
      <w:r w:rsidR="0045105E" w:rsidRPr="0045105E">
        <w:rPr>
          <w:rFonts w:asciiTheme="minorHAnsi" w:hAnsiTheme="minorHAnsi" w:cstheme="minorHAnsi"/>
          <w:sz w:val="22"/>
          <w:szCs w:val="22"/>
        </w:rPr>
        <w:t xml:space="preserve">45022828 </w:t>
      </w:r>
      <w:r w:rsidRPr="0094798C">
        <w:rPr>
          <w:rFonts w:asciiTheme="minorHAnsi" w:hAnsiTheme="minorHAnsi" w:cstheme="minorHAnsi"/>
          <w:sz w:val="22"/>
          <w:szCs w:val="22"/>
        </w:rPr>
        <w:t xml:space="preserve">(viz </w:t>
      </w:r>
      <w:r w:rsidR="0045105E" w:rsidRPr="0045105E">
        <w:rPr>
          <w:rFonts w:asciiTheme="minorHAnsi" w:hAnsiTheme="minorHAnsi" w:cstheme="minorHAnsi"/>
          <w:sz w:val="22"/>
          <w:szCs w:val="22"/>
        </w:rPr>
        <w:t>https://smlouvy.gov.cz/smlouva/6023191</w:t>
      </w:r>
      <w:r w:rsidRPr="0094798C">
        <w:rPr>
          <w:rFonts w:asciiTheme="minorHAnsi" w:hAnsiTheme="minorHAnsi" w:cstheme="minorHAnsi"/>
          <w:sz w:val="22"/>
          <w:szCs w:val="22"/>
        </w:rPr>
        <w:t>). Záruka za jakost podle předchozí věty musí být vždy slučitelná se současnou zárukou od výrobce/dodavatele serveru v případě operační paměti s možností uplatnění záruky přímo u výrobce/dodavatele serveru v rámci rozšířené záruky jak současné, tak v rámci jejího možného budoucího rozšíření.</w:t>
      </w:r>
    </w:p>
    <w:p w14:paraId="13E4C26F" w14:textId="77777777" w:rsidR="00AF7EC4" w:rsidRPr="005A76A7"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A76A7">
        <w:rPr>
          <w:rFonts w:asciiTheme="minorHAnsi" w:hAnsiTheme="minorHAnsi" w:cstheme="minorHAnsi"/>
          <w:b/>
          <w:sz w:val="22"/>
          <w:szCs w:val="22"/>
        </w:rPr>
        <w:t>Sankce</w:t>
      </w:r>
    </w:p>
    <w:p w14:paraId="4A03E89A" w14:textId="72451FDA" w:rsidR="00AF7EC4" w:rsidRPr="005A76A7"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A76A7">
        <w:rPr>
          <w:rFonts w:asciiTheme="minorHAnsi" w:hAnsiTheme="minorHAnsi" w:cstheme="minorHAnsi"/>
          <w:sz w:val="22"/>
          <w:szCs w:val="22"/>
        </w:rPr>
        <w:t>Prodávající</w:t>
      </w:r>
      <w:r w:rsidR="00AF7EC4" w:rsidRPr="005A76A7">
        <w:rPr>
          <w:rFonts w:asciiTheme="minorHAnsi" w:hAnsiTheme="minorHAnsi" w:cstheme="minorHAnsi"/>
          <w:sz w:val="22"/>
          <w:szCs w:val="22"/>
        </w:rPr>
        <w:t xml:space="preserve"> je povinen uhradit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Pr="005A76A7">
        <w:rPr>
          <w:rFonts w:asciiTheme="minorHAnsi" w:hAnsiTheme="minorHAnsi" w:cstheme="minorHAnsi"/>
          <w:sz w:val="22"/>
          <w:szCs w:val="22"/>
        </w:rPr>
        <w:t>í</w:t>
      </w:r>
      <w:r w:rsidR="00AF7EC4" w:rsidRPr="005A76A7">
        <w:rPr>
          <w:rFonts w:asciiTheme="minorHAnsi" w:hAnsiTheme="minorHAnsi" w:cstheme="minorHAnsi"/>
          <w:sz w:val="22"/>
          <w:szCs w:val="22"/>
        </w:rPr>
        <w:t xml:space="preserve">mu smluvní pokutu ve výši 0,25 % z kupní ceny </w:t>
      </w:r>
      <w:r w:rsidRPr="005A76A7">
        <w:rPr>
          <w:rFonts w:asciiTheme="minorHAnsi" w:hAnsiTheme="minorHAnsi" w:cstheme="minorHAnsi"/>
          <w:sz w:val="22"/>
          <w:szCs w:val="22"/>
        </w:rPr>
        <w:t>Zboží</w:t>
      </w:r>
      <w:r w:rsidR="00AF7EC4" w:rsidRPr="005A76A7">
        <w:rPr>
          <w:rFonts w:asciiTheme="minorHAnsi" w:hAnsiTheme="minorHAnsi" w:cstheme="minorHAnsi"/>
          <w:sz w:val="22"/>
          <w:szCs w:val="22"/>
        </w:rPr>
        <w:t xml:space="preserve"> za každý započatý den prodlení s odevzdáním </w:t>
      </w:r>
      <w:r w:rsidR="0061712F" w:rsidRPr="005A76A7">
        <w:rPr>
          <w:rFonts w:asciiTheme="minorHAnsi" w:hAnsiTheme="minorHAnsi" w:cstheme="minorHAnsi"/>
          <w:sz w:val="22"/>
          <w:szCs w:val="22"/>
        </w:rPr>
        <w:t>z</w:t>
      </w:r>
      <w:r w:rsidRPr="005A76A7">
        <w:rPr>
          <w:rFonts w:asciiTheme="minorHAnsi" w:hAnsiTheme="minorHAnsi" w:cstheme="minorHAnsi"/>
          <w:sz w:val="22"/>
          <w:szCs w:val="22"/>
        </w:rPr>
        <w:t>boží</w:t>
      </w:r>
      <w:r w:rsidR="00AF7EC4" w:rsidRPr="005A76A7">
        <w:rPr>
          <w:rFonts w:asciiTheme="minorHAnsi" w:hAnsiTheme="minorHAnsi" w:cstheme="minorHAnsi"/>
          <w:sz w:val="22"/>
          <w:szCs w:val="22"/>
        </w:rPr>
        <w:t xml:space="preserve"> oproti lhůtě sjednané v čl. </w:t>
      </w:r>
      <w:r w:rsidR="003F3756" w:rsidRPr="005A76A7">
        <w:rPr>
          <w:rFonts w:asciiTheme="minorHAnsi" w:hAnsiTheme="minorHAnsi" w:cstheme="minorHAnsi"/>
          <w:sz w:val="22"/>
          <w:szCs w:val="22"/>
        </w:rPr>
        <w:t>I</w:t>
      </w:r>
      <w:r w:rsidR="00AF7EC4" w:rsidRPr="005A76A7">
        <w:rPr>
          <w:rFonts w:asciiTheme="minorHAnsi" w:hAnsiTheme="minorHAnsi" w:cstheme="minorHAnsi"/>
          <w:sz w:val="22"/>
          <w:szCs w:val="22"/>
        </w:rPr>
        <w:t xml:space="preserve">V odst. 1 této </w:t>
      </w:r>
      <w:r w:rsidR="0061712F" w:rsidRPr="005A76A7">
        <w:rPr>
          <w:rFonts w:asciiTheme="minorHAnsi" w:hAnsiTheme="minorHAnsi" w:cstheme="minorHAnsi"/>
          <w:sz w:val="22"/>
          <w:szCs w:val="22"/>
        </w:rPr>
        <w:t>s</w:t>
      </w:r>
      <w:r w:rsidRPr="005A76A7">
        <w:rPr>
          <w:rFonts w:asciiTheme="minorHAnsi" w:hAnsiTheme="minorHAnsi" w:cstheme="minorHAnsi"/>
          <w:sz w:val="22"/>
          <w:szCs w:val="22"/>
        </w:rPr>
        <w:t>mlouv</w:t>
      </w:r>
      <w:r w:rsidR="00AF7EC4" w:rsidRPr="005A76A7">
        <w:rPr>
          <w:rFonts w:asciiTheme="minorHAnsi" w:hAnsiTheme="minorHAnsi" w:cstheme="minorHAnsi"/>
          <w:sz w:val="22"/>
          <w:szCs w:val="22"/>
        </w:rPr>
        <w:t>y.</w:t>
      </w:r>
    </w:p>
    <w:p w14:paraId="12FF3257" w14:textId="4708FD56" w:rsidR="00AF7EC4" w:rsidRPr="005A76A7"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A76A7">
        <w:rPr>
          <w:rFonts w:asciiTheme="minorHAnsi" w:hAnsiTheme="minorHAnsi" w:cstheme="minorHAnsi"/>
          <w:sz w:val="22"/>
          <w:szCs w:val="22"/>
        </w:rPr>
        <w:t>Prodávající</w:t>
      </w:r>
      <w:r w:rsidR="00AF7EC4" w:rsidRPr="005A76A7">
        <w:rPr>
          <w:rFonts w:asciiTheme="minorHAnsi" w:hAnsiTheme="minorHAnsi" w:cstheme="minorHAnsi"/>
          <w:sz w:val="22"/>
          <w:szCs w:val="22"/>
        </w:rPr>
        <w:t xml:space="preserve"> je dále povinen uhradit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Pr="005A76A7">
        <w:rPr>
          <w:rFonts w:asciiTheme="minorHAnsi" w:hAnsiTheme="minorHAnsi" w:cstheme="minorHAnsi"/>
          <w:sz w:val="22"/>
          <w:szCs w:val="22"/>
        </w:rPr>
        <w:t>í</w:t>
      </w:r>
      <w:r w:rsidR="00AF7EC4" w:rsidRPr="005A76A7">
        <w:rPr>
          <w:rFonts w:asciiTheme="minorHAnsi" w:hAnsiTheme="minorHAnsi" w:cstheme="minorHAnsi"/>
          <w:sz w:val="22"/>
          <w:szCs w:val="22"/>
        </w:rPr>
        <w:t xml:space="preserve">mu smluvní pokutu za porušení kterékoli z dalších povinností </w:t>
      </w:r>
      <w:r w:rsidRPr="005A76A7">
        <w:rPr>
          <w:rFonts w:asciiTheme="minorHAnsi" w:hAnsiTheme="minorHAnsi" w:cstheme="minorHAnsi"/>
          <w:sz w:val="22"/>
          <w:szCs w:val="22"/>
        </w:rPr>
        <w:t>Prodávající</w:t>
      </w:r>
      <w:r w:rsidR="00AF7EC4" w:rsidRPr="005A76A7">
        <w:rPr>
          <w:rFonts w:asciiTheme="minorHAnsi" w:hAnsiTheme="minorHAnsi" w:cstheme="minorHAnsi"/>
          <w:sz w:val="22"/>
          <w:szCs w:val="22"/>
        </w:rPr>
        <w:t xml:space="preserve">ho stanovených v této </w:t>
      </w:r>
      <w:r w:rsidRPr="005A76A7">
        <w:rPr>
          <w:rFonts w:asciiTheme="minorHAnsi" w:hAnsiTheme="minorHAnsi" w:cstheme="minorHAnsi"/>
          <w:sz w:val="22"/>
          <w:szCs w:val="22"/>
        </w:rPr>
        <w:t>Smlouv</w:t>
      </w:r>
      <w:r w:rsidR="00AF7EC4" w:rsidRPr="005A76A7">
        <w:rPr>
          <w:rFonts w:asciiTheme="minorHAnsi" w:hAnsiTheme="minorHAnsi" w:cstheme="minorHAnsi"/>
          <w:sz w:val="22"/>
          <w:szCs w:val="22"/>
        </w:rPr>
        <w:t xml:space="preserve">ě, a to ve výši 0,25 % z kupní ceny </w:t>
      </w:r>
      <w:r w:rsidR="0061712F" w:rsidRPr="005A76A7">
        <w:rPr>
          <w:rFonts w:asciiTheme="minorHAnsi" w:hAnsiTheme="minorHAnsi" w:cstheme="minorHAnsi"/>
          <w:sz w:val="22"/>
          <w:szCs w:val="22"/>
        </w:rPr>
        <w:t>z</w:t>
      </w:r>
      <w:r w:rsidRPr="005A76A7">
        <w:rPr>
          <w:rFonts w:asciiTheme="minorHAnsi" w:hAnsiTheme="minorHAnsi" w:cstheme="minorHAnsi"/>
          <w:sz w:val="22"/>
          <w:szCs w:val="22"/>
        </w:rPr>
        <w:t>boží</w:t>
      </w:r>
      <w:r w:rsidR="00AF7EC4" w:rsidRPr="005A76A7">
        <w:rPr>
          <w:rFonts w:asciiTheme="minorHAnsi" w:hAnsiTheme="minorHAnsi" w:cstheme="minorHAnsi"/>
          <w:sz w:val="22"/>
          <w:szCs w:val="22"/>
        </w:rPr>
        <w:t xml:space="preserve"> za každý jednotlivý případ porušení smluvní povinnosti.</w:t>
      </w:r>
    </w:p>
    <w:p w14:paraId="633AF7A3" w14:textId="53FD504B" w:rsidR="00AF7EC4" w:rsidRPr="005A76A7" w:rsidRDefault="00AF7EC4"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A76A7">
        <w:rPr>
          <w:rFonts w:asciiTheme="minorHAnsi" w:hAnsiTheme="minorHAnsi" w:cstheme="minorHAnsi"/>
          <w:sz w:val="22"/>
          <w:szCs w:val="22"/>
        </w:rPr>
        <w:t xml:space="preserve">Při nedodržení sjednané úrovně SLA podpory hardware požadované dle této </w:t>
      </w:r>
      <w:r w:rsidR="00C26097" w:rsidRPr="005A76A7">
        <w:rPr>
          <w:rFonts w:asciiTheme="minorHAnsi" w:hAnsiTheme="minorHAnsi" w:cstheme="minorHAnsi"/>
          <w:sz w:val="22"/>
          <w:szCs w:val="22"/>
        </w:rPr>
        <w:t>Smlouv</w:t>
      </w:r>
      <w:r w:rsidRPr="005A76A7">
        <w:rPr>
          <w:rFonts w:asciiTheme="minorHAnsi" w:hAnsiTheme="minorHAnsi" w:cstheme="minorHAnsi"/>
          <w:sz w:val="22"/>
          <w:szCs w:val="22"/>
        </w:rPr>
        <w:t xml:space="preserve">y v rámci technické specifikace je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00C26097" w:rsidRPr="005A76A7">
        <w:rPr>
          <w:rFonts w:asciiTheme="minorHAnsi" w:hAnsiTheme="minorHAnsi" w:cstheme="minorHAnsi"/>
          <w:sz w:val="22"/>
          <w:szCs w:val="22"/>
        </w:rPr>
        <w:t>í</w:t>
      </w:r>
      <w:r w:rsidRPr="005A76A7">
        <w:rPr>
          <w:rFonts w:asciiTheme="minorHAnsi" w:hAnsiTheme="minorHAnsi" w:cstheme="minorHAnsi"/>
          <w:sz w:val="22"/>
          <w:szCs w:val="22"/>
        </w:rPr>
        <w:t xml:space="preserve"> oprávněn požadovat po </w:t>
      </w:r>
      <w:r w:rsidR="0061712F" w:rsidRPr="005A76A7">
        <w:rPr>
          <w:rFonts w:asciiTheme="minorHAnsi" w:hAnsiTheme="minorHAnsi" w:cstheme="minorHAnsi"/>
          <w:sz w:val="22"/>
          <w:szCs w:val="22"/>
        </w:rPr>
        <w:t>p</w:t>
      </w:r>
      <w:r w:rsidR="00C26097" w:rsidRPr="005A76A7">
        <w:rPr>
          <w:rFonts w:asciiTheme="minorHAnsi" w:hAnsiTheme="minorHAnsi" w:cstheme="minorHAnsi"/>
          <w:sz w:val="22"/>
          <w:szCs w:val="22"/>
        </w:rPr>
        <w:t>rodávající</w:t>
      </w:r>
      <w:r w:rsidRPr="005A76A7">
        <w:rPr>
          <w:rFonts w:asciiTheme="minorHAnsi" w:hAnsiTheme="minorHAnsi" w:cstheme="minorHAnsi"/>
          <w:sz w:val="22"/>
          <w:szCs w:val="22"/>
        </w:rPr>
        <w:t xml:space="preserve">m smluvní pokutu ve výši 0,5 % kupní ceny </w:t>
      </w:r>
      <w:r w:rsidR="0061712F" w:rsidRPr="005A76A7">
        <w:rPr>
          <w:rFonts w:asciiTheme="minorHAnsi" w:hAnsiTheme="minorHAnsi" w:cstheme="minorHAnsi"/>
          <w:sz w:val="22"/>
          <w:szCs w:val="22"/>
        </w:rPr>
        <w:t>z</w:t>
      </w:r>
      <w:r w:rsidR="00C26097" w:rsidRPr="005A76A7">
        <w:rPr>
          <w:rFonts w:asciiTheme="minorHAnsi" w:hAnsiTheme="minorHAnsi" w:cstheme="minorHAnsi"/>
          <w:sz w:val="22"/>
          <w:szCs w:val="22"/>
        </w:rPr>
        <w:t>boží</w:t>
      </w:r>
      <w:r w:rsidRPr="005A76A7">
        <w:rPr>
          <w:rFonts w:asciiTheme="minorHAnsi" w:hAnsiTheme="minorHAnsi" w:cstheme="minorHAnsi"/>
          <w:sz w:val="22"/>
          <w:szCs w:val="22"/>
        </w:rPr>
        <w:t xml:space="preserve"> za každý započatý den prodlení s dodržením úrovně SLA, a to za každý jednotlivý případ.</w:t>
      </w:r>
    </w:p>
    <w:p w14:paraId="683B25B8" w14:textId="2D3B94E5" w:rsidR="00AF7EC4" w:rsidRPr="005A76A7"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lastRenderedPageBreak/>
        <w:t xml:space="preserve">Sjednáním smluvní pokuty podle tohoto článku není dotčeno právo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00C26097" w:rsidRPr="005A76A7">
        <w:rPr>
          <w:rFonts w:asciiTheme="minorHAnsi" w:hAnsiTheme="minorHAnsi" w:cstheme="minorHAnsi"/>
          <w:sz w:val="22"/>
          <w:szCs w:val="22"/>
        </w:rPr>
        <w:t>í</w:t>
      </w:r>
      <w:r w:rsidRPr="005A76A7">
        <w:rPr>
          <w:rFonts w:asciiTheme="minorHAnsi" w:hAnsiTheme="minorHAnsi" w:cstheme="minorHAnsi"/>
          <w:sz w:val="22"/>
          <w:szCs w:val="22"/>
        </w:rPr>
        <w:t xml:space="preserve">ho na náhradu škody vzniklé z porušení utvrzovaných povinností. </w:t>
      </w:r>
    </w:p>
    <w:p w14:paraId="4022E733" w14:textId="412820DD" w:rsidR="00AF7EC4" w:rsidRPr="005A76A7"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Splatnost vyúčtovaných smluvních pokut je 30</w:t>
      </w:r>
      <w:r w:rsidR="0061712F" w:rsidRPr="005A76A7">
        <w:rPr>
          <w:rFonts w:asciiTheme="minorHAnsi" w:hAnsiTheme="minorHAnsi" w:cstheme="minorHAnsi"/>
          <w:sz w:val="22"/>
          <w:szCs w:val="22"/>
        </w:rPr>
        <w:t xml:space="preserve"> kalendářních</w:t>
      </w:r>
      <w:r w:rsidRPr="005A76A7">
        <w:rPr>
          <w:rFonts w:asciiTheme="minorHAnsi" w:hAnsiTheme="minorHAnsi" w:cstheme="minorHAnsi"/>
          <w:sz w:val="22"/>
          <w:szCs w:val="22"/>
        </w:rPr>
        <w:t xml:space="preserve"> dnů od doručení vyúčtování smluvní pokuty druhé smluvní straně.</w:t>
      </w:r>
      <w:r w:rsidR="0061712F" w:rsidRPr="005A76A7">
        <w:rPr>
          <w:rFonts w:asciiTheme="minorHAnsi" w:hAnsiTheme="minorHAnsi" w:cstheme="minorHAnsi"/>
          <w:sz w:val="22"/>
          <w:szCs w:val="22"/>
        </w:rPr>
        <w:t xml:space="preserve"> Kupující je oprávněn jakoukoli smluvní pokutu jednostranně započítat proti jakékoli pohledávce prodávajícího za kupujícím (včetně pohledávky prodávajícího na zaplacení </w:t>
      </w:r>
      <w:r w:rsidR="00E640CA" w:rsidRPr="005A76A7">
        <w:rPr>
          <w:rFonts w:asciiTheme="minorHAnsi" w:hAnsiTheme="minorHAnsi" w:cstheme="minorHAnsi"/>
          <w:sz w:val="22"/>
          <w:szCs w:val="22"/>
        </w:rPr>
        <w:t xml:space="preserve">kupní </w:t>
      </w:r>
      <w:r w:rsidR="0061712F" w:rsidRPr="005A76A7">
        <w:rPr>
          <w:rFonts w:asciiTheme="minorHAnsi" w:hAnsiTheme="minorHAnsi" w:cstheme="minorHAnsi"/>
          <w:sz w:val="22"/>
          <w:szCs w:val="22"/>
        </w:rPr>
        <w:t>ceny).</w:t>
      </w:r>
    </w:p>
    <w:p w14:paraId="160C63D3" w14:textId="77777777" w:rsidR="00AF7EC4" w:rsidRPr="005A76A7"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A76A7"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A76A7">
        <w:rPr>
          <w:rFonts w:asciiTheme="minorHAnsi" w:hAnsiTheme="minorHAnsi" w:cstheme="minorHAnsi"/>
          <w:b/>
          <w:sz w:val="22"/>
          <w:szCs w:val="22"/>
        </w:rPr>
        <w:t xml:space="preserve">Odstoupení od </w:t>
      </w:r>
      <w:r w:rsidR="00C26097" w:rsidRPr="005A76A7">
        <w:rPr>
          <w:rFonts w:asciiTheme="minorHAnsi" w:hAnsiTheme="minorHAnsi" w:cstheme="minorHAnsi"/>
          <w:b/>
          <w:sz w:val="22"/>
          <w:szCs w:val="22"/>
        </w:rPr>
        <w:t>Smlouv</w:t>
      </w:r>
      <w:r w:rsidRPr="005A76A7">
        <w:rPr>
          <w:rFonts w:asciiTheme="minorHAnsi" w:hAnsiTheme="minorHAnsi" w:cstheme="minorHAnsi"/>
          <w:b/>
          <w:sz w:val="22"/>
          <w:szCs w:val="22"/>
        </w:rPr>
        <w:t>y</w:t>
      </w:r>
    </w:p>
    <w:p w14:paraId="622511C5" w14:textId="2BB73856" w:rsidR="00AF7EC4" w:rsidRPr="005A76A7"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Kupujíc</w:t>
      </w:r>
      <w:r w:rsidR="00C26097" w:rsidRPr="005A76A7">
        <w:rPr>
          <w:rFonts w:asciiTheme="minorHAnsi" w:hAnsiTheme="minorHAnsi" w:cstheme="minorHAnsi"/>
          <w:sz w:val="22"/>
          <w:szCs w:val="22"/>
        </w:rPr>
        <w:t>í</w:t>
      </w:r>
      <w:r w:rsidR="00AF7EC4" w:rsidRPr="005A76A7">
        <w:rPr>
          <w:rFonts w:asciiTheme="minorHAnsi" w:hAnsiTheme="minorHAnsi" w:cstheme="minorHAnsi"/>
          <w:sz w:val="22"/>
          <w:szCs w:val="22"/>
        </w:rPr>
        <w:t xml:space="preserve"> je oprávněn od této </w:t>
      </w:r>
      <w:r w:rsidR="0061712F"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00AF7EC4" w:rsidRPr="005A76A7">
        <w:rPr>
          <w:rFonts w:asciiTheme="minorHAnsi" w:hAnsiTheme="minorHAnsi" w:cstheme="minorHAnsi"/>
          <w:sz w:val="22"/>
          <w:szCs w:val="22"/>
        </w:rPr>
        <w:t xml:space="preserve">y odstoupit v případě, že bude </w:t>
      </w:r>
      <w:r w:rsidR="00C26097" w:rsidRPr="005A76A7">
        <w:rPr>
          <w:rFonts w:asciiTheme="minorHAnsi" w:hAnsiTheme="minorHAnsi" w:cstheme="minorHAnsi"/>
          <w:sz w:val="22"/>
          <w:szCs w:val="22"/>
        </w:rPr>
        <w:t>Prodávající</w:t>
      </w:r>
      <w:r w:rsidR="00AF7EC4" w:rsidRPr="005A76A7">
        <w:rPr>
          <w:rFonts w:asciiTheme="minorHAnsi" w:hAnsiTheme="minorHAnsi" w:cstheme="minorHAnsi"/>
          <w:sz w:val="22"/>
          <w:szCs w:val="22"/>
        </w:rPr>
        <w:t xml:space="preserve"> v prodlení s dodáním </w:t>
      </w:r>
      <w:r w:rsidR="0061712F" w:rsidRPr="005A76A7">
        <w:rPr>
          <w:rFonts w:asciiTheme="minorHAnsi" w:hAnsiTheme="minorHAnsi" w:cstheme="minorHAnsi"/>
          <w:sz w:val="22"/>
          <w:szCs w:val="22"/>
        </w:rPr>
        <w:t>z</w:t>
      </w:r>
      <w:r w:rsidR="00C26097" w:rsidRPr="005A76A7">
        <w:rPr>
          <w:rFonts w:asciiTheme="minorHAnsi" w:hAnsiTheme="minorHAnsi" w:cstheme="minorHAnsi"/>
          <w:sz w:val="22"/>
          <w:szCs w:val="22"/>
        </w:rPr>
        <w:t>boží</w:t>
      </w:r>
      <w:r w:rsidR="00AF7EC4" w:rsidRPr="005A76A7">
        <w:rPr>
          <w:rFonts w:asciiTheme="minorHAnsi" w:hAnsiTheme="minorHAnsi" w:cstheme="minorHAnsi"/>
          <w:sz w:val="22"/>
          <w:szCs w:val="22"/>
        </w:rPr>
        <w:t xml:space="preserve"> v požadované kvalitě a množství dle této </w:t>
      </w:r>
      <w:r w:rsidR="0061712F"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00AF7EC4" w:rsidRPr="005A76A7">
        <w:rPr>
          <w:rFonts w:asciiTheme="minorHAnsi" w:hAnsiTheme="minorHAnsi" w:cstheme="minorHAnsi"/>
          <w:sz w:val="22"/>
          <w:szCs w:val="22"/>
        </w:rPr>
        <w:t xml:space="preserve">y a dle </w:t>
      </w:r>
      <w:r w:rsidR="0061712F" w:rsidRPr="005A76A7">
        <w:rPr>
          <w:rFonts w:asciiTheme="minorHAnsi" w:hAnsiTheme="minorHAnsi" w:cstheme="minorHAnsi"/>
          <w:sz w:val="22"/>
          <w:szCs w:val="22"/>
        </w:rPr>
        <w:t>p</w:t>
      </w:r>
      <w:r w:rsidR="00AF7EC4" w:rsidRPr="005A76A7">
        <w:rPr>
          <w:rFonts w:asciiTheme="minorHAnsi" w:hAnsiTheme="minorHAnsi" w:cstheme="minorHAnsi"/>
          <w:sz w:val="22"/>
          <w:szCs w:val="22"/>
        </w:rPr>
        <w:t xml:space="preserve">řílohy č. 1 v termínu dle čl. </w:t>
      </w:r>
      <w:r w:rsidR="003F3756" w:rsidRPr="005A76A7">
        <w:rPr>
          <w:rFonts w:asciiTheme="minorHAnsi" w:hAnsiTheme="minorHAnsi" w:cstheme="minorHAnsi"/>
          <w:sz w:val="22"/>
          <w:szCs w:val="22"/>
        </w:rPr>
        <w:t>I</w:t>
      </w:r>
      <w:r w:rsidR="00AF7EC4" w:rsidRPr="005A76A7">
        <w:rPr>
          <w:rFonts w:asciiTheme="minorHAnsi" w:hAnsiTheme="minorHAnsi" w:cstheme="minorHAnsi"/>
          <w:sz w:val="22"/>
          <w:szCs w:val="22"/>
        </w:rPr>
        <w:t xml:space="preserve">V odst. 1 této </w:t>
      </w:r>
      <w:r w:rsidR="0061712F"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00AF7EC4" w:rsidRPr="005A76A7">
        <w:rPr>
          <w:rFonts w:asciiTheme="minorHAnsi" w:hAnsiTheme="minorHAnsi" w:cstheme="minorHAnsi"/>
          <w:sz w:val="22"/>
          <w:szCs w:val="22"/>
        </w:rPr>
        <w:t>y o více než 5 pracovních dnů.</w:t>
      </w:r>
    </w:p>
    <w:p w14:paraId="43278B82" w14:textId="4D4937C2" w:rsidR="00AF7EC4" w:rsidRPr="005A76A7"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 xml:space="preserve">Smluvní strany se dohodly na tom, že § 2110 občanského zákoníku se na tuto </w:t>
      </w:r>
      <w:r w:rsidR="00C26097" w:rsidRPr="005A76A7">
        <w:rPr>
          <w:rFonts w:asciiTheme="minorHAnsi" w:hAnsiTheme="minorHAnsi" w:cstheme="minorHAnsi"/>
          <w:sz w:val="22"/>
          <w:szCs w:val="22"/>
        </w:rPr>
        <w:t>Smlouv</w:t>
      </w:r>
      <w:r w:rsidRPr="005A76A7">
        <w:rPr>
          <w:rFonts w:asciiTheme="minorHAnsi" w:hAnsiTheme="minorHAnsi" w:cstheme="minorHAnsi"/>
          <w:sz w:val="22"/>
          <w:szCs w:val="22"/>
        </w:rPr>
        <w:t xml:space="preserve">u nepoužije;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00C26097" w:rsidRPr="005A76A7">
        <w:rPr>
          <w:rFonts w:asciiTheme="minorHAnsi" w:hAnsiTheme="minorHAnsi" w:cstheme="minorHAnsi"/>
          <w:sz w:val="22"/>
          <w:szCs w:val="22"/>
        </w:rPr>
        <w:t>í</w:t>
      </w:r>
      <w:r w:rsidRPr="005A76A7">
        <w:rPr>
          <w:rFonts w:asciiTheme="minorHAnsi" w:hAnsiTheme="minorHAnsi" w:cstheme="minorHAnsi"/>
          <w:sz w:val="22"/>
          <w:szCs w:val="22"/>
        </w:rPr>
        <w:t xml:space="preserve"> je tedy oprávněn pro vady odstoupit od </w:t>
      </w:r>
      <w:r w:rsidR="0061712F"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Pr="005A76A7">
        <w:rPr>
          <w:rFonts w:asciiTheme="minorHAnsi" w:hAnsiTheme="minorHAnsi" w:cstheme="minorHAnsi"/>
          <w:sz w:val="22"/>
          <w:szCs w:val="22"/>
        </w:rPr>
        <w:t xml:space="preserve">y bez ohledu na skutečnost, zda může </w:t>
      </w:r>
      <w:r w:rsidR="0061712F" w:rsidRPr="005A76A7">
        <w:rPr>
          <w:rFonts w:asciiTheme="minorHAnsi" w:hAnsiTheme="minorHAnsi" w:cstheme="minorHAnsi"/>
          <w:sz w:val="22"/>
          <w:szCs w:val="22"/>
        </w:rPr>
        <w:t>z</w:t>
      </w:r>
      <w:r w:rsidR="00C26097" w:rsidRPr="005A76A7">
        <w:rPr>
          <w:rFonts w:asciiTheme="minorHAnsi" w:hAnsiTheme="minorHAnsi" w:cstheme="minorHAnsi"/>
          <w:sz w:val="22"/>
          <w:szCs w:val="22"/>
        </w:rPr>
        <w:t>boží</w:t>
      </w:r>
      <w:r w:rsidRPr="005A76A7">
        <w:rPr>
          <w:rFonts w:asciiTheme="minorHAnsi" w:hAnsiTheme="minorHAnsi" w:cstheme="minorHAnsi"/>
          <w:sz w:val="22"/>
          <w:szCs w:val="22"/>
        </w:rPr>
        <w:t xml:space="preserve"> vrátit, popř. vrátit je ve stavu, v jakém je obdržel. </w:t>
      </w:r>
    </w:p>
    <w:p w14:paraId="5F1FC501" w14:textId="4A8A1A53" w:rsidR="00AF7EC4" w:rsidRPr="005A76A7"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 xml:space="preserve">Právo odstoupit od této </w:t>
      </w:r>
      <w:r w:rsidR="0061712F"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Pr="005A76A7">
        <w:rPr>
          <w:rFonts w:asciiTheme="minorHAnsi" w:hAnsiTheme="minorHAnsi" w:cstheme="minorHAnsi"/>
          <w:sz w:val="22"/>
          <w:szCs w:val="22"/>
        </w:rPr>
        <w:t xml:space="preserve">y má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00C26097" w:rsidRPr="005A76A7">
        <w:rPr>
          <w:rFonts w:asciiTheme="minorHAnsi" w:hAnsiTheme="minorHAnsi" w:cstheme="minorHAnsi"/>
          <w:sz w:val="22"/>
          <w:szCs w:val="22"/>
        </w:rPr>
        <w:t>í</w:t>
      </w:r>
      <w:r w:rsidRPr="005A76A7">
        <w:rPr>
          <w:rFonts w:asciiTheme="minorHAnsi" w:hAnsiTheme="minorHAnsi" w:cstheme="minorHAnsi"/>
          <w:sz w:val="22"/>
          <w:szCs w:val="22"/>
        </w:rPr>
        <w:t xml:space="preserve"> i tehdy, jestliže jej </w:t>
      </w:r>
      <w:r w:rsidR="0061712F" w:rsidRPr="005A76A7">
        <w:rPr>
          <w:rFonts w:asciiTheme="minorHAnsi" w:hAnsiTheme="minorHAnsi" w:cstheme="minorHAnsi"/>
          <w:sz w:val="22"/>
          <w:szCs w:val="22"/>
        </w:rPr>
        <w:t>p</w:t>
      </w:r>
      <w:r w:rsidR="00C26097" w:rsidRPr="005A76A7">
        <w:rPr>
          <w:rFonts w:asciiTheme="minorHAnsi" w:hAnsiTheme="minorHAnsi" w:cstheme="minorHAnsi"/>
          <w:sz w:val="22"/>
          <w:szCs w:val="22"/>
        </w:rPr>
        <w:t>rodávající</w:t>
      </w:r>
      <w:r w:rsidRPr="005A76A7">
        <w:rPr>
          <w:rFonts w:asciiTheme="minorHAnsi" w:hAnsiTheme="minorHAnsi" w:cstheme="minorHAnsi"/>
          <w:sz w:val="22"/>
          <w:szCs w:val="22"/>
        </w:rPr>
        <w:t xml:space="preserve"> ujistil, že </w:t>
      </w:r>
      <w:r w:rsidR="0061712F" w:rsidRPr="005A76A7">
        <w:rPr>
          <w:rFonts w:asciiTheme="minorHAnsi" w:hAnsiTheme="minorHAnsi" w:cstheme="minorHAnsi"/>
          <w:sz w:val="22"/>
          <w:szCs w:val="22"/>
        </w:rPr>
        <w:t>z</w:t>
      </w:r>
      <w:r w:rsidR="00C26097" w:rsidRPr="005A76A7">
        <w:rPr>
          <w:rFonts w:asciiTheme="minorHAnsi" w:hAnsiTheme="minorHAnsi" w:cstheme="minorHAnsi"/>
          <w:sz w:val="22"/>
          <w:szCs w:val="22"/>
        </w:rPr>
        <w:t>boží</w:t>
      </w:r>
      <w:r w:rsidRPr="005A76A7">
        <w:rPr>
          <w:rFonts w:asciiTheme="minorHAnsi" w:hAnsiTheme="minorHAnsi" w:cstheme="minorHAnsi"/>
          <w:sz w:val="22"/>
          <w:szCs w:val="22"/>
        </w:rPr>
        <w:t xml:space="preserve"> má určité vlastnosti, zejména vlastnosti </w:t>
      </w:r>
      <w:r w:rsidR="0061712F"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00C26097" w:rsidRPr="005A76A7">
        <w:rPr>
          <w:rFonts w:asciiTheme="minorHAnsi" w:hAnsiTheme="minorHAnsi" w:cstheme="minorHAnsi"/>
          <w:sz w:val="22"/>
          <w:szCs w:val="22"/>
        </w:rPr>
        <w:t>í</w:t>
      </w:r>
      <w:r w:rsidRPr="005A76A7">
        <w:rPr>
          <w:rFonts w:asciiTheme="minorHAnsi" w:hAnsiTheme="minorHAnsi" w:cstheme="minorHAnsi"/>
          <w:sz w:val="22"/>
          <w:szCs w:val="22"/>
        </w:rPr>
        <w:t>m vymíněné, nebo že nemá žádné vady, a toto ujištění se ukáže nepravdivým.</w:t>
      </w:r>
    </w:p>
    <w:p w14:paraId="151B197C" w14:textId="77777777" w:rsidR="0005416C" w:rsidRPr="005A76A7" w:rsidRDefault="0005416C" w:rsidP="0005416C">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Kupující má dále právo bez předchozího písemného upozornění od smlouvy odstoupit v případě, že mu nebude poskytnuta dotace na projekt uvedený v čl. II odst. 2 této smlouvy nebo na jeho část odpovídající předmětu plnění této smlouvy.</w:t>
      </w:r>
    </w:p>
    <w:p w14:paraId="16725C1C" w14:textId="723D5159" w:rsidR="00BF377B" w:rsidRPr="005A76A7"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 xml:space="preserve">Odstoupení od této </w:t>
      </w:r>
      <w:r w:rsidR="00BF377B"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Pr="005A76A7">
        <w:rPr>
          <w:rFonts w:asciiTheme="minorHAnsi" w:hAnsiTheme="minorHAnsi" w:cstheme="minorHAnsi"/>
          <w:sz w:val="22"/>
          <w:szCs w:val="22"/>
        </w:rPr>
        <w:t xml:space="preserve">y musí být učiněno písemně a nabývá účinnosti dnem doručení písemného oznámení druhé smluvní straně </w:t>
      </w:r>
      <w:r w:rsidR="00BF377B" w:rsidRPr="005A76A7">
        <w:rPr>
          <w:rFonts w:asciiTheme="minorHAnsi" w:hAnsiTheme="minorHAnsi" w:cstheme="minorHAnsi"/>
          <w:sz w:val="22"/>
          <w:szCs w:val="22"/>
        </w:rPr>
        <w:t>na adresu kupujícího uvedenou v čl. I. této smlouvy, resp. na adresu prodávajícího uvedenou v čl. I. této smlouvy. V písemném oznámení o odstoupení musí být přesně a jednoznačně uveden důvod odstoupení, jinak je odstoupení neplatné.</w:t>
      </w:r>
    </w:p>
    <w:p w14:paraId="75CEF6BD" w14:textId="77777777" w:rsidR="00BF377B" w:rsidRPr="005A76A7"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A76A7"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A76A7">
        <w:rPr>
          <w:rFonts w:asciiTheme="minorHAnsi" w:hAnsiTheme="minorHAnsi" w:cstheme="minorHAnsi"/>
          <w:sz w:val="22"/>
          <w:szCs w:val="22"/>
        </w:rPr>
        <w:t xml:space="preserve">V případě odstoupení od této </w:t>
      </w:r>
      <w:r w:rsidR="00BF377B"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Pr="005A76A7">
        <w:rPr>
          <w:rFonts w:asciiTheme="minorHAnsi" w:hAnsiTheme="minorHAnsi" w:cstheme="minorHAnsi"/>
          <w:sz w:val="22"/>
          <w:szCs w:val="22"/>
        </w:rPr>
        <w:t xml:space="preserve">y </w:t>
      </w:r>
      <w:r w:rsidR="00BF377B" w:rsidRPr="005A76A7">
        <w:rPr>
          <w:rFonts w:asciiTheme="minorHAnsi" w:hAnsiTheme="minorHAnsi" w:cstheme="minorHAnsi"/>
          <w:sz w:val="22"/>
          <w:szCs w:val="22"/>
        </w:rPr>
        <w:t>k</w:t>
      </w:r>
      <w:r w:rsidR="00CD4B6C" w:rsidRPr="005A76A7">
        <w:rPr>
          <w:rFonts w:asciiTheme="minorHAnsi" w:hAnsiTheme="minorHAnsi" w:cstheme="minorHAnsi"/>
          <w:sz w:val="22"/>
          <w:szCs w:val="22"/>
        </w:rPr>
        <w:t>upujíc</w:t>
      </w:r>
      <w:r w:rsidR="00C26097" w:rsidRPr="005A76A7">
        <w:rPr>
          <w:rFonts w:asciiTheme="minorHAnsi" w:hAnsiTheme="minorHAnsi" w:cstheme="minorHAnsi"/>
          <w:sz w:val="22"/>
          <w:szCs w:val="22"/>
        </w:rPr>
        <w:t>í</w:t>
      </w:r>
      <w:r w:rsidRPr="005A76A7">
        <w:rPr>
          <w:rFonts w:asciiTheme="minorHAnsi" w:hAnsiTheme="minorHAnsi" w:cstheme="minorHAnsi"/>
          <w:sz w:val="22"/>
          <w:szCs w:val="22"/>
        </w:rPr>
        <w:t xml:space="preserve">m z důvodu výše uvedených podstatných porušení </w:t>
      </w:r>
      <w:r w:rsidR="00BF377B" w:rsidRPr="005A76A7">
        <w:rPr>
          <w:rFonts w:asciiTheme="minorHAnsi" w:hAnsiTheme="minorHAnsi" w:cstheme="minorHAnsi"/>
          <w:sz w:val="22"/>
          <w:szCs w:val="22"/>
        </w:rPr>
        <w:t>s</w:t>
      </w:r>
      <w:r w:rsidR="00C26097" w:rsidRPr="005A76A7">
        <w:rPr>
          <w:rFonts w:asciiTheme="minorHAnsi" w:hAnsiTheme="minorHAnsi" w:cstheme="minorHAnsi"/>
          <w:sz w:val="22"/>
          <w:szCs w:val="22"/>
        </w:rPr>
        <w:t>mlouv</w:t>
      </w:r>
      <w:r w:rsidRPr="005A76A7">
        <w:rPr>
          <w:rFonts w:asciiTheme="minorHAnsi" w:hAnsiTheme="minorHAnsi" w:cstheme="minorHAnsi"/>
          <w:sz w:val="22"/>
          <w:szCs w:val="22"/>
        </w:rPr>
        <w:t xml:space="preserve">y </w:t>
      </w:r>
      <w:r w:rsidR="00BF377B" w:rsidRPr="005A76A7">
        <w:rPr>
          <w:rFonts w:asciiTheme="minorHAnsi" w:hAnsiTheme="minorHAnsi" w:cstheme="minorHAnsi"/>
          <w:sz w:val="22"/>
          <w:szCs w:val="22"/>
        </w:rPr>
        <w:t>p</w:t>
      </w:r>
      <w:r w:rsidR="00C26097" w:rsidRPr="005A76A7">
        <w:rPr>
          <w:rFonts w:asciiTheme="minorHAnsi" w:hAnsiTheme="minorHAnsi" w:cstheme="minorHAnsi"/>
          <w:sz w:val="22"/>
          <w:szCs w:val="22"/>
        </w:rPr>
        <w:t>rodávající</w:t>
      </w:r>
      <w:r w:rsidRPr="005A76A7">
        <w:rPr>
          <w:rFonts w:asciiTheme="minorHAnsi" w:hAnsiTheme="minorHAnsi" w:cstheme="minorHAnsi"/>
          <w:sz w:val="22"/>
          <w:szCs w:val="22"/>
        </w:rPr>
        <w:t xml:space="preserve">m, nemá </w:t>
      </w:r>
      <w:r w:rsidR="00BF377B" w:rsidRPr="005A76A7">
        <w:rPr>
          <w:rFonts w:asciiTheme="minorHAnsi" w:hAnsiTheme="minorHAnsi" w:cstheme="minorHAnsi"/>
          <w:sz w:val="22"/>
          <w:szCs w:val="22"/>
        </w:rPr>
        <w:t>p</w:t>
      </w:r>
      <w:r w:rsidR="00C26097" w:rsidRPr="005A76A7">
        <w:rPr>
          <w:rFonts w:asciiTheme="minorHAnsi" w:hAnsiTheme="minorHAnsi" w:cstheme="minorHAnsi"/>
          <w:sz w:val="22"/>
          <w:szCs w:val="22"/>
        </w:rPr>
        <w:t>rodávající</w:t>
      </w:r>
      <w:r w:rsidRPr="005A76A7">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48C0E318"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BB59C0" w:rsidRPr="00BB59C0">
        <w:rPr>
          <w:rFonts w:asciiTheme="minorHAnsi" w:hAnsiTheme="minorHAnsi" w:cstheme="minorHAnsi"/>
          <w:sz w:val="22"/>
          <w:szCs w:val="22"/>
        </w:rPr>
        <w:t>Ing. Jiří Buček, Ph.D.</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043100">
        <w:rPr>
          <w:rFonts w:asciiTheme="minorHAnsi" w:hAnsiTheme="minorHAnsi" w:cstheme="minorHAnsi"/>
          <w:sz w:val="22"/>
          <w:szCs w:val="22"/>
          <w:highlight w:val="yellow"/>
        </w:rPr>
        <w:t>……………………………</w:t>
      </w:r>
    </w:p>
    <w:p w14:paraId="0E91AF2E" w14:textId="426947B3"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7965553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2"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456E1">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2"/>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2DFDDDBF"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3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dvě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3"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4" w:name="_Hlk1552016"/>
      <w:bookmarkEnd w:id="3"/>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4"/>
    </w:p>
    <w:p w14:paraId="677BC51D" w14:textId="77777777" w:rsidR="005E2629" w:rsidRPr="00BB125B" w:rsidRDefault="005E2629" w:rsidP="00E662A6">
      <w:pPr>
        <w:pStyle w:val="Odstavecseseznamem"/>
        <w:keepNext/>
        <w:widowControl/>
        <w:numPr>
          <w:ilvl w:val="0"/>
          <w:numId w:val="45"/>
        </w:numPr>
        <w:spacing w:after="240" w:line="276" w:lineRule="auto"/>
        <w:jc w:val="both"/>
        <w:rPr>
          <w:rFonts w:asciiTheme="minorHAnsi" w:hAnsiTheme="minorHAnsi" w:cstheme="minorHAnsi"/>
          <w:sz w:val="22"/>
          <w:szCs w:val="22"/>
        </w:rPr>
      </w:pPr>
      <w:r w:rsidRPr="00BB125B">
        <w:rPr>
          <w:rFonts w:asciiTheme="minorHAnsi" w:hAnsiTheme="minorHAnsi" w:cstheme="minorHAnsi"/>
          <w:sz w:val="22"/>
          <w:szCs w:val="22"/>
        </w:rPr>
        <w:t>Nedílnou součástí této smlouvy jsou následující přílohy:</w:t>
      </w:r>
    </w:p>
    <w:p w14:paraId="1245C686" w14:textId="57E8416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Příloha č. 1 – Technická specifikace</w:t>
      </w:r>
      <w:r w:rsidR="007E5BBA" w:rsidRPr="00BB125B">
        <w:rPr>
          <w:rFonts w:asciiTheme="minorHAnsi" w:hAnsiTheme="minorHAnsi" w:cstheme="minorHAnsi"/>
          <w:sz w:val="22"/>
          <w:szCs w:val="22"/>
        </w:rPr>
        <w:t xml:space="preserve"> a licence</w:t>
      </w:r>
      <w:r w:rsidRPr="00BB125B">
        <w:rPr>
          <w:rFonts w:asciiTheme="minorHAnsi" w:hAnsiTheme="minorHAnsi" w:cstheme="minorHAnsi"/>
          <w:sz w:val="22"/>
          <w:szCs w:val="22"/>
        </w:rPr>
        <w:t>;</w:t>
      </w:r>
    </w:p>
    <w:p w14:paraId="19DDC61E" w14:textId="1B9FB344" w:rsidR="005E2629"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 xml:space="preserve">Příloha č. 2 – Nabídka </w:t>
      </w:r>
      <w:r w:rsidR="00E640CA" w:rsidRPr="00BB125B">
        <w:rPr>
          <w:rFonts w:asciiTheme="minorHAnsi" w:hAnsiTheme="minorHAnsi" w:cstheme="minorHAnsi"/>
          <w:sz w:val="22"/>
          <w:szCs w:val="22"/>
        </w:rPr>
        <w:t>prodávajícího</w:t>
      </w:r>
      <w:r w:rsidRPr="00BB125B">
        <w:rPr>
          <w:rFonts w:asciiTheme="minorHAnsi" w:hAnsiTheme="minorHAnsi" w:cstheme="minorHAnsi"/>
          <w:sz w:val="22"/>
          <w:szCs w:val="22"/>
        </w:rPr>
        <w:t xml:space="preserve"> vč. seznamu poddodavatelů</w:t>
      </w:r>
      <w:r w:rsidR="00BB125B" w:rsidRPr="00BB125B">
        <w:rPr>
          <w:rFonts w:asciiTheme="minorHAnsi" w:hAnsiTheme="minorHAnsi" w:cstheme="minorHAnsi"/>
          <w:sz w:val="22"/>
          <w:szCs w:val="22"/>
        </w:rPr>
        <w:t>.</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043100">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043100">
        <w:rPr>
          <w:rFonts w:asciiTheme="minorHAnsi" w:hAnsiTheme="minorHAnsi" w:cstheme="minorHAnsi"/>
          <w:sz w:val="22"/>
          <w:szCs w:val="22"/>
          <w:highlight w:val="yellow"/>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0E57ED">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0E57ED">
        <w:rPr>
          <w:rFonts w:asciiTheme="minorHAnsi" w:hAnsiTheme="minorHAnsi" w:cstheme="minorHAnsi"/>
          <w:sz w:val="22"/>
          <w:szCs w:val="22"/>
          <w:highlight w:val="yellow"/>
        </w:rPr>
        <w:t>__________</w:t>
      </w:r>
    </w:p>
    <w:p w14:paraId="29501057" w14:textId="604FD60E" w:rsidR="00935876" w:rsidRDefault="004E2168" w:rsidP="004A236D">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0E57ED">
        <w:rPr>
          <w:rFonts w:asciiTheme="minorHAnsi" w:hAnsiTheme="minorHAnsi" w:cstheme="minorHAnsi"/>
          <w:sz w:val="22"/>
          <w:szCs w:val="22"/>
          <w:highlight w:val="yellow"/>
        </w:rPr>
        <w:t>__________</w:t>
      </w:r>
    </w:p>
    <w:p w14:paraId="45A1FC92" w14:textId="726347C6" w:rsidR="00935876" w:rsidRDefault="00935876" w:rsidP="004A236D">
      <w:pPr>
        <w:pStyle w:val="Bezmezer"/>
        <w:widowControl/>
        <w:spacing w:line="276" w:lineRule="auto"/>
        <w:rPr>
          <w:rFonts w:asciiTheme="minorHAnsi" w:hAnsiTheme="minorHAnsi" w:cstheme="minorHAnsi"/>
          <w:sz w:val="22"/>
          <w:szCs w:val="22"/>
        </w:rPr>
      </w:pPr>
    </w:p>
    <w:p w14:paraId="65C575DB" w14:textId="6347475F" w:rsidR="00935876" w:rsidRDefault="00935876" w:rsidP="004A236D">
      <w:pPr>
        <w:pStyle w:val="Bezmezer"/>
        <w:widowControl/>
        <w:spacing w:line="276" w:lineRule="auto"/>
        <w:rPr>
          <w:rFonts w:asciiTheme="minorHAnsi" w:hAnsiTheme="minorHAnsi" w:cstheme="minorHAnsi"/>
          <w:sz w:val="22"/>
          <w:szCs w:val="22"/>
        </w:rPr>
      </w:pPr>
    </w:p>
    <w:p w14:paraId="4089E82B" w14:textId="059C9F9A" w:rsidR="00935876" w:rsidRDefault="00935876" w:rsidP="004A236D">
      <w:pPr>
        <w:pStyle w:val="Bezmezer"/>
        <w:widowControl/>
        <w:spacing w:line="276" w:lineRule="auto"/>
        <w:rPr>
          <w:rFonts w:asciiTheme="minorHAnsi" w:hAnsiTheme="minorHAnsi" w:cstheme="minorHAnsi"/>
          <w:sz w:val="22"/>
          <w:szCs w:val="22"/>
        </w:rPr>
      </w:pPr>
      <w:bookmarkStart w:id="5" w:name="_GoBack"/>
      <w:bookmarkEnd w:id="5"/>
    </w:p>
    <w:p w14:paraId="64A39296" w14:textId="723B74CF" w:rsidR="00935876" w:rsidRDefault="00935876" w:rsidP="004A236D">
      <w:pPr>
        <w:pStyle w:val="Bezmezer"/>
        <w:widowControl/>
        <w:spacing w:line="276" w:lineRule="auto"/>
        <w:rPr>
          <w:rFonts w:asciiTheme="minorHAnsi" w:hAnsiTheme="minorHAnsi" w:cstheme="minorHAnsi"/>
          <w:sz w:val="22"/>
          <w:szCs w:val="22"/>
        </w:rPr>
      </w:pPr>
    </w:p>
    <w:p w14:paraId="6DFD0DC0" w14:textId="200575F7" w:rsidR="00935876" w:rsidRDefault="00935876" w:rsidP="004A236D">
      <w:pPr>
        <w:pStyle w:val="Bezmezer"/>
        <w:widowControl/>
        <w:spacing w:line="276" w:lineRule="auto"/>
        <w:rPr>
          <w:rFonts w:asciiTheme="minorHAnsi" w:hAnsiTheme="minorHAnsi" w:cstheme="minorHAnsi"/>
          <w:sz w:val="22"/>
          <w:szCs w:val="22"/>
        </w:rPr>
      </w:pPr>
    </w:p>
    <w:p w14:paraId="0C8B37E9" w14:textId="53EC9B71" w:rsidR="00935876" w:rsidRDefault="00935876" w:rsidP="004A236D">
      <w:pPr>
        <w:pStyle w:val="Bezmezer"/>
        <w:widowControl/>
        <w:spacing w:line="276" w:lineRule="auto"/>
        <w:rPr>
          <w:rFonts w:asciiTheme="minorHAnsi" w:hAnsiTheme="minorHAnsi" w:cstheme="minorHAnsi"/>
          <w:sz w:val="22"/>
          <w:szCs w:val="22"/>
        </w:rPr>
      </w:pPr>
    </w:p>
    <w:p w14:paraId="371427ED" w14:textId="1B4C7BD4" w:rsidR="00935876" w:rsidRDefault="00935876" w:rsidP="004A236D">
      <w:pPr>
        <w:pStyle w:val="Bezmezer"/>
        <w:widowControl/>
        <w:spacing w:line="276" w:lineRule="auto"/>
        <w:rPr>
          <w:rFonts w:asciiTheme="minorHAnsi" w:hAnsiTheme="minorHAnsi" w:cstheme="minorHAnsi"/>
          <w:sz w:val="22"/>
          <w:szCs w:val="22"/>
        </w:rPr>
      </w:pPr>
    </w:p>
    <w:p w14:paraId="6037277D" w14:textId="3EF2DE72" w:rsidR="00935876" w:rsidRDefault="00935876" w:rsidP="004A236D">
      <w:pPr>
        <w:pStyle w:val="Bezmezer"/>
        <w:widowControl/>
        <w:spacing w:line="276" w:lineRule="auto"/>
        <w:rPr>
          <w:rFonts w:asciiTheme="minorHAnsi" w:hAnsiTheme="minorHAnsi" w:cstheme="minorHAnsi"/>
          <w:sz w:val="22"/>
          <w:szCs w:val="22"/>
        </w:rPr>
      </w:pPr>
    </w:p>
    <w:p w14:paraId="064C94CF" w14:textId="42F57110" w:rsidR="00935876" w:rsidRDefault="00935876" w:rsidP="004A236D">
      <w:pPr>
        <w:pStyle w:val="Bezmezer"/>
        <w:widowControl/>
        <w:spacing w:line="276" w:lineRule="auto"/>
        <w:rPr>
          <w:rFonts w:asciiTheme="minorHAnsi" w:hAnsiTheme="minorHAnsi" w:cstheme="minorHAnsi"/>
          <w:sz w:val="22"/>
          <w:szCs w:val="22"/>
        </w:rPr>
      </w:pPr>
    </w:p>
    <w:p w14:paraId="5CFF3E90" w14:textId="47100CA7" w:rsidR="00935876" w:rsidRDefault="00935876" w:rsidP="004A236D">
      <w:pPr>
        <w:pStyle w:val="Bezmezer"/>
        <w:widowControl/>
        <w:spacing w:line="276" w:lineRule="auto"/>
        <w:rPr>
          <w:rFonts w:asciiTheme="minorHAnsi" w:hAnsiTheme="minorHAnsi" w:cstheme="minorHAnsi"/>
          <w:sz w:val="22"/>
          <w:szCs w:val="22"/>
        </w:rPr>
      </w:pPr>
    </w:p>
    <w:p w14:paraId="4DC2438D" w14:textId="30A64CBE" w:rsidR="00935876" w:rsidRDefault="00935876" w:rsidP="004A236D">
      <w:pPr>
        <w:pStyle w:val="Bezmezer"/>
        <w:widowControl/>
        <w:spacing w:line="276" w:lineRule="auto"/>
        <w:rPr>
          <w:rFonts w:asciiTheme="minorHAnsi" w:hAnsiTheme="minorHAnsi" w:cstheme="minorHAnsi"/>
          <w:sz w:val="22"/>
          <w:szCs w:val="22"/>
        </w:rPr>
      </w:pPr>
    </w:p>
    <w:p w14:paraId="76DAEAAA" w14:textId="47696D33" w:rsidR="00935876" w:rsidRDefault="00935876" w:rsidP="004A236D">
      <w:pPr>
        <w:pStyle w:val="Bezmezer"/>
        <w:widowControl/>
        <w:spacing w:line="276" w:lineRule="auto"/>
        <w:rPr>
          <w:rFonts w:asciiTheme="minorHAnsi" w:hAnsiTheme="minorHAnsi" w:cstheme="minorHAnsi"/>
          <w:sz w:val="22"/>
          <w:szCs w:val="22"/>
        </w:rPr>
      </w:pPr>
    </w:p>
    <w:p w14:paraId="328F17AB" w14:textId="368BC24E" w:rsidR="00935876" w:rsidRDefault="00935876" w:rsidP="004A236D">
      <w:pPr>
        <w:pStyle w:val="Bezmezer"/>
        <w:widowControl/>
        <w:spacing w:line="276" w:lineRule="auto"/>
        <w:rPr>
          <w:rFonts w:asciiTheme="minorHAnsi" w:hAnsiTheme="minorHAnsi" w:cstheme="minorHAnsi"/>
          <w:sz w:val="22"/>
          <w:szCs w:val="22"/>
        </w:rPr>
      </w:pPr>
    </w:p>
    <w:p w14:paraId="2AA9F33E" w14:textId="54E5613F" w:rsidR="00935876" w:rsidRDefault="00935876" w:rsidP="004A236D">
      <w:pPr>
        <w:pStyle w:val="Bezmezer"/>
        <w:widowControl/>
        <w:spacing w:line="276" w:lineRule="auto"/>
        <w:rPr>
          <w:rFonts w:asciiTheme="minorHAnsi" w:hAnsiTheme="minorHAnsi" w:cstheme="minorHAnsi"/>
          <w:sz w:val="22"/>
          <w:szCs w:val="22"/>
        </w:rPr>
      </w:pPr>
    </w:p>
    <w:p w14:paraId="7ED091EA" w14:textId="227AAAA8" w:rsidR="00935876" w:rsidRDefault="00935876" w:rsidP="004A236D">
      <w:pPr>
        <w:pStyle w:val="Bezmezer"/>
        <w:widowControl/>
        <w:spacing w:line="276" w:lineRule="auto"/>
        <w:rPr>
          <w:rFonts w:asciiTheme="minorHAnsi" w:hAnsiTheme="minorHAnsi" w:cstheme="minorHAnsi"/>
          <w:sz w:val="22"/>
          <w:szCs w:val="22"/>
        </w:rPr>
      </w:pPr>
    </w:p>
    <w:p w14:paraId="56F1B131" w14:textId="11278D8E" w:rsidR="00935876" w:rsidRDefault="00935876" w:rsidP="004A236D">
      <w:pPr>
        <w:pStyle w:val="Bezmezer"/>
        <w:widowControl/>
        <w:spacing w:line="276" w:lineRule="auto"/>
        <w:rPr>
          <w:rFonts w:asciiTheme="minorHAnsi" w:hAnsiTheme="minorHAnsi" w:cstheme="minorHAnsi"/>
          <w:sz w:val="22"/>
          <w:szCs w:val="22"/>
        </w:rPr>
      </w:pPr>
    </w:p>
    <w:p w14:paraId="3EE2A537" w14:textId="77777777" w:rsidR="00935876" w:rsidRPr="004A236D" w:rsidRDefault="00935876" w:rsidP="004A236D">
      <w:pPr>
        <w:pStyle w:val="Bezmezer"/>
        <w:widowControl/>
        <w:spacing w:line="276" w:lineRule="auto"/>
        <w:rPr>
          <w:rFonts w:asciiTheme="minorHAnsi" w:hAnsiTheme="minorHAnsi" w:cstheme="minorHAnsi"/>
          <w:sz w:val="22"/>
          <w:szCs w:val="22"/>
        </w:rPr>
      </w:pPr>
    </w:p>
    <w:sectPr w:rsidR="00935876" w:rsidRPr="004A236D"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8E61" w14:textId="77777777" w:rsidR="00056D40" w:rsidRDefault="00056D40">
      <w:r>
        <w:separator/>
      </w:r>
    </w:p>
  </w:endnote>
  <w:endnote w:type="continuationSeparator" w:id="0">
    <w:p w14:paraId="59B406C5" w14:textId="77777777" w:rsidR="00056D40" w:rsidRDefault="000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0FEC" w14:textId="77777777" w:rsidR="00056D40" w:rsidRDefault="00056D40">
      <w:r>
        <w:rPr>
          <w:color w:val="000000"/>
        </w:rPr>
        <w:separator/>
      </w:r>
    </w:p>
  </w:footnote>
  <w:footnote w:type="continuationSeparator" w:id="0">
    <w:p w14:paraId="053D74DF" w14:textId="77777777" w:rsidR="00056D40" w:rsidRDefault="0005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1282141"/>
    <w:multiLevelType w:val="hybridMultilevel"/>
    <w:tmpl w:val="FEF0CA6E"/>
    <w:lvl w:ilvl="0" w:tplc="04050001">
      <w:start w:val="1"/>
      <w:numFmt w:val="bullet"/>
      <w:lvlText w:val=""/>
      <w:lvlJc w:val="left"/>
      <w:pPr>
        <w:ind w:left="1126" w:hanging="360"/>
      </w:pPr>
      <w:rPr>
        <w:rFonts w:ascii="Symbol" w:hAnsi="Symbol" w:hint="default"/>
      </w:rPr>
    </w:lvl>
    <w:lvl w:ilvl="1" w:tplc="04050003" w:tentative="1">
      <w:start w:val="1"/>
      <w:numFmt w:val="bullet"/>
      <w:lvlText w:val="o"/>
      <w:lvlJc w:val="left"/>
      <w:pPr>
        <w:ind w:left="1846" w:hanging="360"/>
      </w:pPr>
      <w:rPr>
        <w:rFonts w:ascii="Courier New" w:hAnsi="Courier New" w:cs="Courier New" w:hint="default"/>
      </w:rPr>
    </w:lvl>
    <w:lvl w:ilvl="2" w:tplc="04050005" w:tentative="1">
      <w:start w:val="1"/>
      <w:numFmt w:val="bullet"/>
      <w:lvlText w:val=""/>
      <w:lvlJc w:val="left"/>
      <w:pPr>
        <w:ind w:left="2566" w:hanging="360"/>
      </w:pPr>
      <w:rPr>
        <w:rFonts w:ascii="Wingdings" w:hAnsi="Wingdings" w:hint="default"/>
      </w:rPr>
    </w:lvl>
    <w:lvl w:ilvl="3" w:tplc="04050001" w:tentative="1">
      <w:start w:val="1"/>
      <w:numFmt w:val="bullet"/>
      <w:lvlText w:val=""/>
      <w:lvlJc w:val="left"/>
      <w:pPr>
        <w:ind w:left="3286" w:hanging="360"/>
      </w:pPr>
      <w:rPr>
        <w:rFonts w:ascii="Symbol" w:hAnsi="Symbol" w:hint="default"/>
      </w:rPr>
    </w:lvl>
    <w:lvl w:ilvl="4" w:tplc="04050003" w:tentative="1">
      <w:start w:val="1"/>
      <w:numFmt w:val="bullet"/>
      <w:lvlText w:val="o"/>
      <w:lvlJc w:val="left"/>
      <w:pPr>
        <w:ind w:left="4006" w:hanging="360"/>
      </w:pPr>
      <w:rPr>
        <w:rFonts w:ascii="Courier New" w:hAnsi="Courier New" w:cs="Courier New" w:hint="default"/>
      </w:rPr>
    </w:lvl>
    <w:lvl w:ilvl="5" w:tplc="04050005" w:tentative="1">
      <w:start w:val="1"/>
      <w:numFmt w:val="bullet"/>
      <w:lvlText w:val=""/>
      <w:lvlJc w:val="left"/>
      <w:pPr>
        <w:ind w:left="4726" w:hanging="360"/>
      </w:pPr>
      <w:rPr>
        <w:rFonts w:ascii="Wingdings" w:hAnsi="Wingdings" w:hint="default"/>
      </w:rPr>
    </w:lvl>
    <w:lvl w:ilvl="6" w:tplc="04050001" w:tentative="1">
      <w:start w:val="1"/>
      <w:numFmt w:val="bullet"/>
      <w:lvlText w:val=""/>
      <w:lvlJc w:val="left"/>
      <w:pPr>
        <w:ind w:left="5446" w:hanging="360"/>
      </w:pPr>
      <w:rPr>
        <w:rFonts w:ascii="Symbol" w:hAnsi="Symbol" w:hint="default"/>
      </w:rPr>
    </w:lvl>
    <w:lvl w:ilvl="7" w:tplc="04050003" w:tentative="1">
      <w:start w:val="1"/>
      <w:numFmt w:val="bullet"/>
      <w:lvlText w:val="o"/>
      <w:lvlJc w:val="left"/>
      <w:pPr>
        <w:ind w:left="6166" w:hanging="360"/>
      </w:pPr>
      <w:rPr>
        <w:rFonts w:ascii="Courier New" w:hAnsi="Courier New" w:cs="Courier New" w:hint="default"/>
      </w:rPr>
    </w:lvl>
    <w:lvl w:ilvl="8" w:tplc="04050005" w:tentative="1">
      <w:start w:val="1"/>
      <w:numFmt w:val="bullet"/>
      <w:lvlText w:val=""/>
      <w:lvlJc w:val="left"/>
      <w:pPr>
        <w:ind w:left="6886" w:hanging="360"/>
      </w:pPr>
      <w:rPr>
        <w:rFonts w:ascii="Wingdings" w:hAnsi="Wingdings" w:hint="default"/>
      </w:rPr>
    </w:lvl>
  </w:abstractNum>
  <w:abstractNum w:abstractNumId="23"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0"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6"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5"/>
  </w:num>
  <w:num w:numId="3">
    <w:abstractNumId w:val="40"/>
  </w:num>
  <w:num w:numId="4">
    <w:abstractNumId w:val="2"/>
  </w:num>
  <w:num w:numId="5">
    <w:abstractNumId w:val="23"/>
  </w:num>
  <w:num w:numId="6">
    <w:abstractNumId w:val="4"/>
  </w:num>
  <w:num w:numId="7">
    <w:abstractNumId w:val="29"/>
  </w:num>
  <w:num w:numId="8">
    <w:abstractNumId w:val="8"/>
  </w:num>
  <w:num w:numId="9">
    <w:abstractNumId w:val="11"/>
  </w:num>
  <w:num w:numId="10">
    <w:abstractNumId w:val="45"/>
  </w:num>
  <w:num w:numId="11">
    <w:abstractNumId w:val="39"/>
  </w:num>
  <w:num w:numId="12">
    <w:abstractNumId w:val="48"/>
  </w:num>
  <w:num w:numId="13">
    <w:abstractNumId w:val="12"/>
  </w:num>
  <w:num w:numId="14">
    <w:abstractNumId w:val="0"/>
  </w:num>
  <w:num w:numId="15">
    <w:abstractNumId w:val="17"/>
  </w:num>
  <w:num w:numId="16">
    <w:abstractNumId w:val="16"/>
  </w:num>
  <w:num w:numId="17">
    <w:abstractNumId w:val="28"/>
  </w:num>
  <w:num w:numId="18">
    <w:abstractNumId w:val="3"/>
  </w:num>
  <w:num w:numId="19">
    <w:abstractNumId w:val="30"/>
  </w:num>
  <w:num w:numId="20">
    <w:abstractNumId w:val="27"/>
  </w:num>
  <w:num w:numId="21">
    <w:abstractNumId w:val="14"/>
  </w:num>
  <w:num w:numId="22">
    <w:abstractNumId w:val="7"/>
  </w:num>
  <w:num w:numId="23">
    <w:abstractNumId w:val="9"/>
  </w:num>
  <w:num w:numId="24">
    <w:abstractNumId w:val="19"/>
  </w:num>
  <w:num w:numId="25">
    <w:abstractNumId w:val="18"/>
  </w:num>
  <w:num w:numId="26">
    <w:abstractNumId w:val="32"/>
  </w:num>
  <w:num w:numId="27">
    <w:abstractNumId w:val="34"/>
  </w:num>
  <w:num w:numId="28">
    <w:abstractNumId w:val="1"/>
  </w:num>
  <w:num w:numId="29">
    <w:abstractNumId w:val="43"/>
  </w:num>
  <w:num w:numId="30">
    <w:abstractNumId w:val="24"/>
  </w:num>
  <w:num w:numId="31">
    <w:abstractNumId w:val="42"/>
  </w:num>
  <w:num w:numId="32">
    <w:abstractNumId w:val="33"/>
  </w:num>
  <w:num w:numId="33">
    <w:abstractNumId w:val="6"/>
  </w:num>
  <w:num w:numId="34">
    <w:abstractNumId w:val="36"/>
  </w:num>
  <w:num w:numId="35">
    <w:abstractNumId w:val="13"/>
  </w:num>
  <w:num w:numId="36">
    <w:abstractNumId w:val="15"/>
  </w:num>
  <w:num w:numId="37">
    <w:abstractNumId w:val="37"/>
  </w:num>
  <w:num w:numId="38">
    <w:abstractNumId w:val="46"/>
  </w:num>
  <w:num w:numId="39">
    <w:abstractNumId w:val="31"/>
  </w:num>
  <w:num w:numId="40">
    <w:abstractNumId w:val="5"/>
  </w:num>
  <w:num w:numId="41">
    <w:abstractNumId w:val="41"/>
  </w:num>
  <w:num w:numId="42">
    <w:abstractNumId w:val="47"/>
  </w:num>
  <w:num w:numId="43">
    <w:abstractNumId w:val="38"/>
  </w:num>
  <w:num w:numId="44">
    <w:abstractNumId w:val="26"/>
  </w:num>
  <w:num w:numId="45">
    <w:abstractNumId w:val="10"/>
  </w:num>
  <w:num w:numId="46">
    <w:abstractNumId w:val="44"/>
  </w:num>
  <w:num w:numId="47">
    <w:abstractNumId w:val="20"/>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43100"/>
    <w:rsid w:val="0005416C"/>
    <w:rsid w:val="00056D40"/>
    <w:rsid w:val="00057D76"/>
    <w:rsid w:val="000640F4"/>
    <w:rsid w:val="00064BCA"/>
    <w:rsid w:val="00065A91"/>
    <w:rsid w:val="00082DFA"/>
    <w:rsid w:val="0008603D"/>
    <w:rsid w:val="00091CE8"/>
    <w:rsid w:val="000A19FA"/>
    <w:rsid w:val="000B33A0"/>
    <w:rsid w:val="000B4514"/>
    <w:rsid w:val="000D7B30"/>
    <w:rsid w:val="000E1DD9"/>
    <w:rsid w:val="000E57ED"/>
    <w:rsid w:val="000E7646"/>
    <w:rsid w:val="000F455A"/>
    <w:rsid w:val="000F65C6"/>
    <w:rsid w:val="00116391"/>
    <w:rsid w:val="00117341"/>
    <w:rsid w:val="0011736B"/>
    <w:rsid w:val="00124956"/>
    <w:rsid w:val="001369DE"/>
    <w:rsid w:val="00140693"/>
    <w:rsid w:val="00152E63"/>
    <w:rsid w:val="00156505"/>
    <w:rsid w:val="00160898"/>
    <w:rsid w:val="0017385C"/>
    <w:rsid w:val="00175883"/>
    <w:rsid w:val="00181B53"/>
    <w:rsid w:val="001859D3"/>
    <w:rsid w:val="001947AE"/>
    <w:rsid w:val="001A4DA0"/>
    <w:rsid w:val="001A59E9"/>
    <w:rsid w:val="001A76F4"/>
    <w:rsid w:val="001B0804"/>
    <w:rsid w:val="001B1186"/>
    <w:rsid w:val="001B76F1"/>
    <w:rsid w:val="001C175D"/>
    <w:rsid w:val="001C3314"/>
    <w:rsid w:val="001D40CF"/>
    <w:rsid w:val="001E7EE2"/>
    <w:rsid w:val="002068BF"/>
    <w:rsid w:val="00225338"/>
    <w:rsid w:val="002520C7"/>
    <w:rsid w:val="0025467B"/>
    <w:rsid w:val="0027464E"/>
    <w:rsid w:val="00277F7E"/>
    <w:rsid w:val="00283584"/>
    <w:rsid w:val="0029454B"/>
    <w:rsid w:val="00295548"/>
    <w:rsid w:val="002A6F3D"/>
    <w:rsid w:val="002B1F9C"/>
    <w:rsid w:val="002B6862"/>
    <w:rsid w:val="002B6FCB"/>
    <w:rsid w:val="002B7F66"/>
    <w:rsid w:val="002D62A5"/>
    <w:rsid w:val="002F1981"/>
    <w:rsid w:val="002F3708"/>
    <w:rsid w:val="00312D82"/>
    <w:rsid w:val="003137B8"/>
    <w:rsid w:val="0031506E"/>
    <w:rsid w:val="0032202A"/>
    <w:rsid w:val="0032422A"/>
    <w:rsid w:val="00326BBA"/>
    <w:rsid w:val="0035107E"/>
    <w:rsid w:val="0035113D"/>
    <w:rsid w:val="0038685A"/>
    <w:rsid w:val="003E5B53"/>
    <w:rsid w:val="003E6193"/>
    <w:rsid w:val="003F0332"/>
    <w:rsid w:val="003F0F66"/>
    <w:rsid w:val="003F3756"/>
    <w:rsid w:val="0040079F"/>
    <w:rsid w:val="00402791"/>
    <w:rsid w:val="0040563B"/>
    <w:rsid w:val="004061F3"/>
    <w:rsid w:val="004473A0"/>
    <w:rsid w:val="00447E52"/>
    <w:rsid w:val="0045105E"/>
    <w:rsid w:val="004547F0"/>
    <w:rsid w:val="00457437"/>
    <w:rsid w:val="00461C11"/>
    <w:rsid w:val="0047509B"/>
    <w:rsid w:val="00481A41"/>
    <w:rsid w:val="004900C5"/>
    <w:rsid w:val="004A236D"/>
    <w:rsid w:val="004B4181"/>
    <w:rsid w:val="004C1D1C"/>
    <w:rsid w:val="004D064D"/>
    <w:rsid w:val="004D0794"/>
    <w:rsid w:val="004E2168"/>
    <w:rsid w:val="004E33CB"/>
    <w:rsid w:val="005130E4"/>
    <w:rsid w:val="00521552"/>
    <w:rsid w:val="00545D82"/>
    <w:rsid w:val="005567CC"/>
    <w:rsid w:val="00561419"/>
    <w:rsid w:val="00563493"/>
    <w:rsid w:val="00566751"/>
    <w:rsid w:val="00567C17"/>
    <w:rsid w:val="00571D35"/>
    <w:rsid w:val="00575CFA"/>
    <w:rsid w:val="00592D27"/>
    <w:rsid w:val="0059573A"/>
    <w:rsid w:val="005A048C"/>
    <w:rsid w:val="005A3953"/>
    <w:rsid w:val="005A65DD"/>
    <w:rsid w:val="005A76A7"/>
    <w:rsid w:val="005A7DDB"/>
    <w:rsid w:val="005B674F"/>
    <w:rsid w:val="005C6F83"/>
    <w:rsid w:val="005D06F8"/>
    <w:rsid w:val="005E2629"/>
    <w:rsid w:val="005E5B51"/>
    <w:rsid w:val="005F06B9"/>
    <w:rsid w:val="005F7181"/>
    <w:rsid w:val="00606BE0"/>
    <w:rsid w:val="00611350"/>
    <w:rsid w:val="00612CFC"/>
    <w:rsid w:val="00613A3C"/>
    <w:rsid w:val="0061712F"/>
    <w:rsid w:val="00624FD7"/>
    <w:rsid w:val="006304AF"/>
    <w:rsid w:val="00632BFA"/>
    <w:rsid w:val="00634596"/>
    <w:rsid w:val="006365B2"/>
    <w:rsid w:val="00663312"/>
    <w:rsid w:val="00664B22"/>
    <w:rsid w:val="006758B1"/>
    <w:rsid w:val="006D136A"/>
    <w:rsid w:val="006D13DC"/>
    <w:rsid w:val="006D6756"/>
    <w:rsid w:val="006E0040"/>
    <w:rsid w:val="006E1202"/>
    <w:rsid w:val="006F27E4"/>
    <w:rsid w:val="006F7658"/>
    <w:rsid w:val="007132FF"/>
    <w:rsid w:val="00732809"/>
    <w:rsid w:val="0073485F"/>
    <w:rsid w:val="00744D75"/>
    <w:rsid w:val="007523DC"/>
    <w:rsid w:val="00753959"/>
    <w:rsid w:val="00755E3C"/>
    <w:rsid w:val="00766632"/>
    <w:rsid w:val="007734D5"/>
    <w:rsid w:val="00783188"/>
    <w:rsid w:val="007859A4"/>
    <w:rsid w:val="007B4C77"/>
    <w:rsid w:val="007B5588"/>
    <w:rsid w:val="007C1283"/>
    <w:rsid w:val="007C13C4"/>
    <w:rsid w:val="007C78B9"/>
    <w:rsid w:val="007D511F"/>
    <w:rsid w:val="007E06FB"/>
    <w:rsid w:val="007E4C96"/>
    <w:rsid w:val="007E5BBA"/>
    <w:rsid w:val="00801794"/>
    <w:rsid w:val="00804B0F"/>
    <w:rsid w:val="008100E0"/>
    <w:rsid w:val="00810C3B"/>
    <w:rsid w:val="00812080"/>
    <w:rsid w:val="00815A9E"/>
    <w:rsid w:val="00822536"/>
    <w:rsid w:val="008346A0"/>
    <w:rsid w:val="00841AFE"/>
    <w:rsid w:val="00846907"/>
    <w:rsid w:val="00846DA7"/>
    <w:rsid w:val="00856EC7"/>
    <w:rsid w:val="0085768D"/>
    <w:rsid w:val="008616F8"/>
    <w:rsid w:val="00861792"/>
    <w:rsid w:val="00867503"/>
    <w:rsid w:val="008866C6"/>
    <w:rsid w:val="008A05E9"/>
    <w:rsid w:val="008A31CD"/>
    <w:rsid w:val="008C0D29"/>
    <w:rsid w:val="008C5AA0"/>
    <w:rsid w:val="008D7CB9"/>
    <w:rsid w:val="008E0033"/>
    <w:rsid w:val="008E2267"/>
    <w:rsid w:val="008E2AAD"/>
    <w:rsid w:val="008E34CD"/>
    <w:rsid w:val="008E594D"/>
    <w:rsid w:val="008E7B44"/>
    <w:rsid w:val="008F0627"/>
    <w:rsid w:val="00906E11"/>
    <w:rsid w:val="00921941"/>
    <w:rsid w:val="00924E78"/>
    <w:rsid w:val="009350E9"/>
    <w:rsid w:val="00935876"/>
    <w:rsid w:val="00945E7F"/>
    <w:rsid w:val="0094798C"/>
    <w:rsid w:val="0095721D"/>
    <w:rsid w:val="0096080B"/>
    <w:rsid w:val="009621C7"/>
    <w:rsid w:val="009678C1"/>
    <w:rsid w:val="00972844"/>
    <w:rsid w:val="00974E5C"/>
    <w:rsid w:val="00983462"/>
    <w:rsid w:val="00985EE0"/>
    <w:rsid w:val="00986BFE"/>
    <w:rsid w:val="00990811"/>
    <w:rsid w:val="009A0B43"/>
    <w:rsid w:val="009A7E4F"/>
    <w:rsid w:val="009C6793"/>
    <w:rsid w:val="009D0186"/>
    <w:rsid w:val="009E282A"/>
    <w:rsid w:val="009F3987"/>
    <w:rsid w:val="00A24EB2"/>
    <w:rsid w:val="00A270AD"/>
    <w:rsid w:val="00A33C06"/>
    <w:rsid w:val="00A53667"/>
    <w:rsid w:val="00A56A19"/>
    <w:rsid w:val="00A71DCD"/>
    <w:rsid w:val="00AA4A95"/>
    <w:rsid w:val="00AA6711"/>
    <w:rsid w:val="00AB27C0"/>
    <w:rsid w:val="00AB6265"/>
    <w:rsid w:val="00AC492B"/>
    <w:rsid w:val="00AC6D8F"/>
    <w:rsid w:val="00AC7A2E"/>
    <w:rsid w:val="00AD495E"/>
    <w:rsid w:val="00AD60A5"/>
    <w:rsid w:val="00AF7EC4"/>
    <w:rsid w:val="00B033FE"/>
    <w:rsid w:val="00B06CF5"/>
    <w:rsid w:val="00B06FD4"/>
    <w:rsid w:val="00B22AE5"/>
    <w:rsid w:val="00B332E1"/>
    <w:rsid w:val="00B37980"/>
    <w:rsid w:val="00B4097D"/>
    <w:rsid w:val="00B43790"/>
    <w:rsid w:val="00B440AE"/>
    <w:rsid w:val="00B7041E"/>
    <w:rsid w:val="00B7245B"/>
    <w:rsid w:val="00B7560C"/>
    <w:rsid w:val="00B87C58"/>
    <w:rsid w:val="00B930F6"/>
    <w:rsid w:val="00B93A3C"/>
    <w:rsid w:val="00BA1AE3"/>
    <w:rsid w:val="00BA7445"/>
    <w:rsid w:val="00BB125B"/>
    <w:rsid w:val="00BB59C0"/>
    <w:rsid w:val="00BC1658"/>
    <w:rsid w:val="00BC675A"/>
    <w:rsid w:val="00BD1FA6"/>
    <w:rsid w:val="00BE2EEC"/>
    <w:rsid w:val="00BF1FBB"/>
    <w:rsid w:val="00BF377B"/>
    <w:rsid w:val="00C01883"/>
    <w:rsid w:val="00C04435"/>
    <w:rsid w:val="00C04E3A"/>
    <w:rsid w:val="00C23433"/>
    <w:rsid w:val="00C26097"/>
    <w:rsid w:val="00C26CE3"/>
    <w:rsid w:val="00C50A77"/>
    <w:rsid w:val="00C54E2D"/>
    <w:rsid w:val="00C61851"/>
    <w:rsid w:val="00C63AAC"/>
    <w:rsid w:val="00C66F02"/>
    <w:rsid w:val="00C7022B"/>
    <w:rsid w:val="00C73E73"/>
    <w:rsid w:val="00C74A45"/>
    <w:rsid w:val="00CA7012"/>
    <w:rsid w:val="00CA76DB"/>
    <w:rsid w:val="00CB1802"/>
    <w:rsid w:val="00CC04E0"/>
    <w:rsid w:val="00CC49F7"/>
    <w:rsid w:val="00CD1255"/>
    <w:rsid w:val="00CD2C3E"/>
    <w:rsid w:val="00CD4B6C"/>
    <w:rsid w:val="00CE2DE5"/>
    <w:rsid w:val="00CE4D63"/>
    <w:rsid w:val="00CE63A8"/>
    <w:rsid w:val="00D110EC"/>
    <w:rsid w:val="00D33089"/>
    <w:rsid w:val="00D33B17"/>
    <w:rsid w:val="00D34987"/>
    <w:rsid w:val="00D40C9B"/>
    <w:rsid w:val="00D513AB"/>
    <w:rsid w:val="00D51AB9"/>
    <w:rsid w:val="00D6079A"/>
    <w:rsid w:val="00D871BA"/>
    <w:rsid w:val="00D91F4B"/>
    <w:rsid w:val="00D92165"/>
    <w:rsid w:val="00DA208D"/>
    <w:rsid w:val="00DB1465"/>
    <w:rsid w:val="00DC1044"/>
    <w:rsid w:val="00DD39A8"/>
    <w:rsid w:val="00DE08F1"/>
    <w:rsid w:val="00DE0F33"/>
    <w:rsid w:val="00DE1CA1"/>
    <w:rsid w:val="00DF0999"/>
    <w:rsid w:val="00DF2839"/>
    <w:rsid w:val="00E456E1"/>
    <w:rsid w:val="00E612B2"/>
    <w:rsid w:val="00E63EC5"/>
    <w:rsid w:val="00E640CA"/>
    <w:rsid w:val="00E662A6"/>
    <w:rsid w:val="00E66BFF"/>
    <w:rsid w:val="00E7254C"/>
    <w:rsid w:val="00E87A25"/>
    <w:rsid w:val="00E916E8"/>
    <w:rsid w:val="00EA6CA2"/>
    <w:rsid w:val="00EB59A6"/>
    <w:rsid w:val="00ED0092"/>
    <w:rsid w:val="00EE3D6A"/>
    <w:rsid w:val="00EE56CC"/>
    <w:rsid w:val="00F02651"/>
    <w:rsid w:val="00F02D2E"/>
    <w:rsid w:val="00F1488F"/>
    <w:rsid w:val="00F17B7D"/>
    <w:rsid w:val="00F249DA"/>
    <w:rsid w:val="00F31FE1"/>
    <w:rsid w:val="00F40050"/>
    <w:rsid w:val="00F44052"/>
    <w:rsid w:val="00F47462"/>
    <w:rsid w:val="00F73118"/>
    <w:rsid w:val="00F92F22"/>
    <w:rsid w:val="00F92FF4"/>
    <w:rsid w:val="00F95108"/>
    <w:rsid w:val="00F97CF8"/>
    <w:rsid w:val="00FA0BB3"/>
    <w:rsid w:val="00FA431C"/>
    <w:rsid w:val="00FE14C7"/>
    <w:rsid w:val="00FF026D"/>
    <w:rsid w:val="00FF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paragraph" w:styleId="Nadpis4">
    <w:name w:val="heading 4"/>
    <w:basedOn w:val="Normln"/>
    <w:next w:val="Normln"/>
    <w:link w:val="Nadpis4Char"/>
    <w:uiPriority w:val="9"/>
    <w:unhideWhenUsed/>
    <w:qFormat/>
    <w:rsid w:val="004A236D"/>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Podnadpis">
    <w:name w:val="Subtitle"/>
    <w:basedOn w:val="Normln"/>
    <w:next w:val="Normln"/>
    <w:link w:val="PodnadpisChar"/>
    <w:uiPriority w:val="11"/>
    <w:qFormat/>
    <w:rsid w:val="004A236D"/>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nadpisChar">
    <w:name w:val="Podnadpis Char"/>
    <w:basedOn w:val="Standardnpsmoodstavce"/>
    <w:link w:val="Podnadpis"/>
    <w:uiPriority w:val="11"/>
    <w:rsid w:val="004A236D"/>
    <w:rPr>
      <w:rFonts w:asciiTheme="minorHAnsi" w:eastAsiaTheme="minorEastAsia" w:hAnsiTheme="minorHAnsi" w:cs="Mangal"/>
      <w:color w:val="5A5A5A" w:themeColor="text1" w:themeTint="A5"/>
      <w:spacing w:val="15"/>
      <w:sz w:val="22"/>
      <w:szCs w:val="20"/>
    </w:rPr>
  </w:style>
  <w:style w:type="character" w:customStyle="1" w:styleId="Nadpis4Char">
    <w:name w:val="Nadpis 4 Char"/>
    <w:basedOn w:val="Standardnpsmoodstavce"/>
    <w:link w:val="Nadpis4"/>
    <w:uiPriority w:val="9"/>
    <w:rsid w:val="004A236D"/>
    <w:rPr>
      <w:rFonts w:asciiTheme="majorHAnsi" w:eastAsiaTheme="majorEastAsia" w:hAnsiTheme="majorHAnsi" w:cs="Mangal"/>
      <w:i/>
      <w:iCs/>
      <w:color w:val="2E74B5"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3157</Words>
  <Characters>18633</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2020-02-11T09:48:00Z</dcterms:created>
  <dcterms:modified xsi:type="dcterms:W3CDTF">2020-02-17T11:54:00Z</dcterms:modified>
</cp:coreProperties>
</file>