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33" w:rsidRPr="00A37760" w:rsidRDefault="00601A14" w:rsidP="008D243A">
      <w:pPr>
        <w:jc w:val="center"/>
        <w:rPr>
          <w:b/>
          <w:sz w:val="28"/>
          <w:szCs w:val="28"/>
        </w:rPr>
      </w:pPr>
      <w:r w:rsidRPr="00A37760">
        <w:rPr>
          <w:b/>
          <w:sz w:val="28"/>
          <w:szCs w:val="28"/>
        </w:rPr>
        <w:t>Požadavky na zpracování nezávazného průzkumu trhu</w:t>
      </w:r>
    </w:p>
    <w:p w:rsidR="00601A14" w:rsidRDefault="00601A14"/>
    <w:p w:rsidR="00601A14" w:rsidRDefault="00601A14"/>
    <w:p w:rsidR="008D243A" w:rsidRPr="00A37760" w:rsidRDefault="009C6190" w:rsidP="009C6190">
      <w:pPr>
        <w:pStyle w:val="Odstavecseseznamem"/>
        <w:numPr>
          <w:ilvl w:val="0"/>
          <w:numId w:val="5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r w:rsidRPr="00A37760">
        <w:rPr>
          <w:rFonts w:ascii="Arial" w:hAnsi="Arial" w:cs="Arial"/>
          <w:color w:val="548DD4" w:themeColor="text2" w:themeTint="99"/>
          <w:sz w:val="24"/>
          <w:szCs w:val="24"/>
        </w:rPr>
        <w:t>Základní popis požadavků</w:t>
      </w:r>
    </w:p>
    <w:p w:rsidR="009C6190" w:rsidRDefault="009C6190"/>
    <w:p w:rsidR="00601A14" w:rsidRPr="00D53ADB" w:rsidRDefault="00601A14" w:rsidP="00601A14">
      <w:pPr>
        <w:autoSpaceDE w:val="0"/>
        <w:autoSpaceDN w:val="0"/>
        <w:adjustRightInd w:val="0"/>
        <w:spacing w:after="60"/>
        <w:jc w:val="both"/>
        <w:rPr>
          <w:rFonts w:eastAsia="Calibri" w:cs="Arial"/>
          <w:color w:val="000000"/>
          <w:sz w:val="20"/>
          <w:szCs w:val="20"/>
          <w:lang w:eastAsia="cs-CZ"/>
        </w:rPr>
      </w:pPr>
      <w:r w:rsidRPr="00D53ADB">
        <w:rPr>
          <w:rFonts w:eastAsia="Calibri" w:cs="Arial"/>
          <w:color w:val="000000"/>
          <w:sz w:val="20"/>
          <w:szCs w:val="20"/>
          <w:lang w:eastAsia="cs-CZ"/>
        </w:rPr>
        <w:t xml:space="preserve">Ministerstvo zemědělství požaduje </w:t>
      </w:r>
      <w:r w:rsidR="004B65E9">
        <w:rPr>
          <w:rFonts w:eastAsia="Calibri" w:cs="Arial"/>
          <w:color w:val="000000"/>
          <w:sz w:val="20"/>
          <w:szCs w:val="20"/>
          <w:lang w:eastAsia="cs-CZ"/>
        </w:rPr>
        <w:t xml:space="preserve">dodání </w:t>
      </w:r>
      <w:r w:rsidR="008E7A8A">
        <w:rPr>
          <w:rFonts w:eastAsia="Calibri" w:cs="Arial"/>
          <w:color w:val="000000"/>
          <w:sz w:val="20"/>
          <w:szCs w:val="20"/>
          <w:lang w:eastAsia="cs-CZ"/>
        </w:rPr>
        <w:t>webové</w:t>
      </w:r>
      <w:r w:rsidRPr="00D53ADB">
        <w:rPr>
          <w:rFonts w:eastAsia="Calibri" w:cs="Arial"/>
          <w:color w:val="000000"/>
          <w:sz w:val="20"/>
          <w:szCs w:val="20"/>
          <w:lang w:eastAsia="cs-CZ"/>
        </w:rPr>
        <w:t xml:space="preserve"> aplikace</w:t>
      </w:r>
      <w:r w:rsidR="004B65E9">
        <w:rPr>
          <w:rFonts w:eastAsia="Calibri" w:cs="Arial"/>
          <w:color w:val="000000"/>
          <w:sz w:val="20"/>
          <w:szCs w:val="20"/>
          <w:lang w:eastAsia="cs-CZ"/>
        </w:rPr>
        <w:t xml:space="preserve"> (nevýhradní licence)</w:t>
      </w:r>
      <w:r w:rsidRPr="00D53ADB">
        <w:rPr>
          <w:rFonts w:eastAsia="Calibri" w:cs="Arial"/>
          <w:color w:val="000000"/>
          <w:sz w:val="20"/>
          <w:szCs w:val="20"/>
          <w:lang w:eastAsia="cs-CZ"/>
        </w:rPr>
        <w:t>, jejíž náplní bude elektronická Správa agend EU</w:t>
      </w:r>
      <w:r w:rsidR="009C6190">
        <w:rPr>
          <w:rFonts w:eastAsia="Calibri" w:cs="Arial"/>
          <w:color w:val="000000"/>
          <w:sz w:val="20"/>
          <w:szCs w:val="20"/>
          <w:lang w:eastAsia="cs-CZ"/>
        </w:rPr>
        <w:t xml:space="preserve"> „dále jen SAEU)</w:t>
      </w:r>
      <w:r w:rsidRPr="00D53ADB">
        <w:rPr>
          <w:rFonts w:eastAsia="Calibri" w:cs="Arial"/>
          <w:color w:val="000000"/>
          <w:sz w:val="20"/>
          <w:szCs w:val="20"/>
          <w:lang w:eastAsia="cs-CZ"/>
        </w:rPr>
        <w:t>.</w:t>
      </w:r>
    </w:p>
    <w:p w:rsidR="00601A14" w:rsidRPr="00D53ADB" w:rsidRDefault="00601A14" w:rsidP="00601A14">
      <w:pPr>
        <w:autoSpaceDE w:val="0"/>
        <w:autoSpaceDN w:val="0"/>
        <w:adjustRightInd w:val="0"/>
        <w:spacing w:after="60"/>
        <w:rPr>
          <w:rFonts w:eastAsia="Calibri" w:cs="Arial"/>
          <w:color w:val="000000"/>
          <w:sz w:val="20"/>
          <w:szCs w:val="20"/>
          <w:lang w:eastAsia="cs-CZ"/>
        </w:rPr>
      </w:pPr>
    </w:p>
    <w:p w:rsidR="00601A14" w:rsidRPr="00D53ADB" w:rsidRDefault="00601A14" w:rsidP="00601A14">
      <w:pPr>
        <w:autoSpaceDE w:val="0"/>
        <w:autoSpaceDN w:val="0"/>
        <w:adjustRightInd w:val="0"/>
        <w:spacing w:after="60"/>
        <w:rPr>
          <w:rFonts w:cs="Arial"/>
          <w:color w:val="000000"/>
          <w:sz w:val="20"/>
          <w:szCs w:val="20"/>
        </w:rPr>
      </w:pPr>
      <w:r w:rsidRPr="00D53ADB">
        <w:rPr>
          <w:rFonts w:cs="Arial"/>
          <w:color w:val="000000"/>
          <w:sz w:val="20"/>
          <w:szCs w:val="20"/>
        </w:rPr>
        <w:t xml:space="preserve">Hlavním účelem aplikace je: </w:t>
      </w:r>
    </w:p>
    <w:p w:rsidR="00601A14" w:rsidRPr="00D53ADB" w:rsidRDefault="00601A14" w:rsidP="00601A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Centralizovat podklady pro jednání orgánů Evropské unie 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v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otázkách 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spadajících do působnosti resortu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zemědělství 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.</w:t>
      </w:r>
    </w:p>
    <w:p w:rsidR="00601A14" w:rsidRPr="00D53ADB" w:rsidRDefault="00601A14" w:rsidP="00601A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Umožnit registrovaným uživatelům přístup ke všem potřebným informacím a dokumentům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 xml:space="preserve"> </w:t>
      </w:r>
      <w:r w:rsidR="008D243A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br/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a tvorbu stanovisek.</w:t>
      </w:r>
    </w:p>
    <w:p w:rsidR="00601A14" w:rsidRPr="00D53ADB" w:rsidRDefault="00601A14" w:rsidP="00601A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ADB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Zajistit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podporu procesů pro správu pozic České republiky pro jednání orgánů Evropské unie 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/>
        <w:t>a správy zpráv z těchto jednání.</w:t>
      </w:r>
    </w:p>
    <w:p w:rsidR="00601A14" w:rsidRPr="00D53ADB" w:rsidRDefault="00601A14" w:rsidP="00601A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Zajistit včasné vyhotovení potřebných dokumentů v jednotné šabloně 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(viz. Příloha šablony dokumentů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.</w:t>
      </w:r>
    </w:p>
    <w:p w:rsidR="00601A14" w:rsidRPr="00D53ADB" w:rsidRDefault="00601A14" w:rsidP="00601A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D53ADB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Odeslání vypracovaných dokumentu do systému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 xml:space="preserve"> Databáze politik EU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(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DAP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)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 xml:space="preserve"> Úřadu Vlády ČR prostřednictvím webových služeb</w:t>
      </w: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.</w:t>
      </w:r>
    </w:p>
    <w:p w:rsidR="00601A14" w:rsidRPr="00D53ADB" w:rsidRDefault="00601A14" w:rsidP="00601A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cs-CZ" w:eastAsia="en-US"/>
        </w:rPr>
        <w:t>Zajistit</w:t>
      </w:r>
      <w:r w:rsidRPr="00D53AD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centrální evidenci a archivaci všech podkladových dokumentů vztahujících se k jednání v pracovních orgánech Evropské unie.</w:t>
      </w:r>
    </w:p>
    <w:p w:rsidR="00601A14" w:rsidRPr="00D53ADB" w:rsidRDefault="00601A14" w:rsidP="00601A14">
      <w:pPr>
        <w:rPr>
          <w:rFonts w:cs="Arial"/>
          <w:sz w:val="20"/>
          <w:szCs w:val="20"/>
        </w:rPr>
      </w:pPr>
    </w:p>
    <w:p w:rsidR="00601A14" w:rsidRDefault="00601A14" w:rsidP="00601A14">
      <w:pPr>
        <w:rPr>
          <w:rFonts w:cs="Arial"/>
          <w:sz w:val="20"/>
          <w:szCs w:val="20"/>
        </w:rPr>
      </w:pPr>
    </w:p>
    <w:p w:rsidR="00601A14" w:rsidRPr="00D53ADB" w:rsidRDefault="00601A14" w:rsidP="00601A14">
      <w:pPr>
        <w:keepNext/>
        <w:rPr>
          <w:rFonts w:eastAsia="Calibri" w:cs="Arial"/>
          <w:color w:val="000000"/>
          <w:sz w:val="20"/>
          <w:szCs w:val="20"/>
          <w:lang w:eastAsia="cs-CZ"/>
        </w:rPr>
      </w:pPr>
      <w:r>
        <w:rPr>
          <w:rFonts w:eastAsia="Calibri" w:cs="Arial"/>
          <w:color w:val="000000"/>
          <w:sz w:val="20"/>
          <w:szCs w:val="20"/>
          <w:lang w:eastAsia="cs-CZ"/>
        </w:rPr>
        <w:t xml:space="preserve">Dostupnost / </w:t>
      </w:r>
      <w:r w:rsidRPr="00D53ADB">
        <w:rPr>
          <w:rFonts w:eastAsia="Calibri" w:cs="Arial"/>
          <w:color w:val="000000"/>
          <w:sz w:val="20"/>
          <w:szCs w:val="20"/>
          <w:lang w:eastAsia="cs-CZ"/>
        </w:rPr>
        <w:t xml:space="preserve">Podpora aplikace v pracovních dnech 5 x 10 = od 8:00 do 18:00, při SLA 99% </w:t>
      </w:r>
    </w:p>
    <w:p w:rsidR="00601A14" w:rsidRPr="009016DD" w:rsidRDefault="00601A14" w:rsidP="00601A14">
      <w:pPr>
        <w:keepNext/>
        <w:rPr>
          <w:rFonts w:eastAsia="Calibri" w:cs="Arial"/>
        </w:rPr>
      </w:pP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813"/>
        <w:gridCol w:w="2304"/>
      </w:tblGrid>
      <w:tr w:rsidR="00601A14" w:rsidRPr="009016DD" w:rsidTr="006262AA">
        <w:trPr>
          <w:tblHeader/>
          <w:jc w:val="center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A14" w:rsidRPr="00D53ADB" w:rsidRDefault="00601A14" w:rsidP="006262AA">
            <w:pPr>
              <w:keepNext/>
              <w:jc w:val="both"/>
              <w:textAlignment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D53ADB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 xml:space="preserve">Priorita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A14" w:rsidRPr="00D53ADB" w:rsidRDefault="00601A14" w:rsidP="006262AA">
            <w:pPr>
              <w:keepNext/>
              <w:jc w:val="both"/>
              <w:textAlignment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D53ADB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>Definice priority požadavku</w:t>
            </w:r>
          </w:p>
        </w:tc>
        <w:tc>
          <w:tcPr>
            <w:tcW w:w="2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A14" w:rsidRPr="00D53ADB" w:rsidRDefault="00601A14" w:rsidP="006262AA">
            <w:pPr>
              <w:keepNext/>
              <w:jc w:val="both"/>
              <w:textAlignment w:val="center"/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</w:pPr>
            <w:r w:rsidRPr="00D53ADB">
              <w:rPr>
                <w:rFonts w:eastAsia="Calibri" w:cs="Arial"/>
                <w:b/>
                <w:bCs/>
                <w:i/>
                <w:iCs/>
                <w:sz w:val="20"/>
                <w:szCs w:val="20"/>
              </w:rPr>
              <w:t xml:space="preserve">Parametry řešení požadavku </w:t>
            </w:r>
          </w:p>
        </w:tc>
      </w:tr>
      <w:tr w:rsidR="00601A14" w:rsidRPr="009016DD" w:rsidTr="006262AA">
        <w:trPr>
          <w:tblHeader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Priorita 1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Kritická 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A14" w:rsidRPr="00D53ADB" w:rsidRDefault="00601A14" w:rsidP="006262AA">
            <w:pPr>
              <w:keepNext/>
              <w:jc w:val="both"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Některé nebo všechny části plnění selhaly a jsou zcela nefunkční nebo je jejich funkčnost omezena, zároveň je kritickým způsobem ovlivněna činnost Systému.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Odezva: 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1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hodin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a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8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hodin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01A14" w:rsidRPr="009016DD" w:rsidTr="006262AA">
        <w:trPr>
          <w:tblHeader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Priorita 2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Vysoká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1A14" w:rsidRPr="00D53ADB" w:rsidRDefault="00601A14" w:rsidP="006262AA">
            <w:pPr>
              <w:keepNext/>
              <w:jc w:val="both"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Plnění je funkční pouze částečně, zároveň je Systém ovlivněn selháním nebo omezením některé z komponent nebo funkcí podporujících důležité činnosti Systému.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Odezva: 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4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hodin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y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Obnovení </w:t>
            </w:r>
            <w:bookmarkStart w:id="0" w:name="_GoBack"/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služb</w:t>
            </w:r>
            <w:bookmarkEnd w:id="0"/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y: 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5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pracovních dnů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01A14" w:rsidRPr="009016DD" w:rsidTr="006262AA">
        <w:trPr>
          <w:tblHeader/>
          <w:jc w:val="center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Priorita 3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Střední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Vyskytují se nedostatky nepodstatné povahy, které způsobují například nekomfortnost obsluhy nebo zvyšující pracnost činností než v běžném provozu plnění.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Odezva: 1 pracovní den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Obnovení služby: </w:t>
            </w:r>
            <w:r w:rsidR="007250D9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>15</w:t>
            </w:r>
            <w:r w:rsidRPr="00D53ADB"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  <w:t xml:space="preserve"> pracovních dnů</w:t>
            </w:r>
          </w:p>
          <w:p w:rsidR="00601A14" w:rsidRPr="00D53ADB" w:rsidRDefault="00601A14" w:rsidP="006262AA">
            <w:pPr>
              <w:keepNext/>
              <w:rPr>
                <w:rFonts w:eastAsia="Calibri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01A14" w:rsidRDefault="00601A14" w:rsidP="00601A14">
      <w:pPr>
        <w:autoSpaceDE w:val="0"/>
        <w:autoSpaceDN w:val="0"/>
        <w:adjustRightInd w:val="0"/>
        <w:spacing w:after="60"/>
        <w:jc w:val="both"/>
        <w:rPr>
          <w:rFonts w:eastAsia="Calibri" w:cs="Arial"/>
          <w:color w:val="000000"/>
          <w:sz w:val="20"/>
          <w:szCs w:val="20"/>
          <w:lang w:eastAsia="cs-CZ"/>
        </w:rPr>
      </w:pPr>
    </w:p>
    <w:p w:rsidR="008D243A" w:rsidRPr="00D53ADB" w:rsidRDefault="008D243A" w:rsidP="00601A14">
      <w:pPr>
        <w:autoSpaceDE w:val="0"/>
        <w:autoSpaceDN w:val="0"/>
        <w:adjustRightInd w:val="0"/>
        <w:spacing w:after="60"/>
        <w:jc w:val="both"/>
        <w:rPr>
          <w:rFonts w:eastAsia="Calibri" w:cs="Arial"/>
          <w:color w:val="000000"/>
          <w:sz w:val="20"/>
          <w:szCs w:val="20"/>
          <w:lang w:eastAsia="cs-CZ"/>
        </w:rPr>
      </w:pPr>
    </w:p>
    <w:p w:rsidR="00A87EA9" w:rsidRDefault="00601A14" w:rsidP="00A87EA9">
      <w:pPr>
        <w:jc w:val="both"/>
        <w:rPr>
          <w:rFonts w:cs="Arial"/>
          <w:sz w:val="20"/>
          <w:szCs w:val="20"/>
        </w:rPr>
      </w:pPr>
      <w:r w:rsidRPr="00A87EA9">
        <w:rPr>
          <w:rFonts w:cs="Arial"/>
          <w:sz w:val="20"/>
          <w:szCs w:val="20"/>
        </w:rPr>
        <w:t xml:space="preserve">Je požadováno, aby vybraný dodavatel z důvodu </w:t>
      </w:r>
      <w:r w:rsidR="00000B8D">
        <w:rPr>
          <w:rFonts w:cs="Arial"/>
          <w:sz w:val="20"/>
          <w:szCs w:val="20"/>
        </w:rPr>
        <w:t xml:space="preserve">zachování kontinuálního procesu zpracování stanovisek </w:t>
      </w:r>
      <w:proofErr w:type="spellStart"/>
      <w:r w:rsidR="00000B8D">
        <w:rPr>
          <w:rFonts w:cs="Arial"/>
          <w:sz w:val="20"/>
          <w:szCs w:val="20"/>
        </w:rPr>
        <w:t>MZe</w:t>
      </w:r>
      <w:proofErr w:type="spellEnd"/>
      <w:r w:rsidR="00000B8D">
        <w:rPr>
          <w:rFonts w:cs="Arial"/>
          <w:sz w:val="20"/>
          <w:szCs w:val="20"/>
        </w:rPr>
        <w:t xml:space="preserve"> pro EU</w:t>
      </w:r>
      <w:r w:rsidR="008E7A8A" w:rsidRPr="00A87EA9">
        <w:rPr>
          <w:rFonts w:cs="Arial"/>
          <w:sz w:val="20"/>
          <w:szCs w:val="20"/>
        </w:rPr>
        <w:t xml:space="preserve"> ve</w:t>
      </w:r>
      <w:r w:rsidRPr="00A87EA9">
        <w:rPr>
          <w:rFonts w:cs="Arial"/>
          <w:sz w:val="20"/>
          <w:szCs w:val="20"/>
        </w:rPr>
        <w:t xml:space="preserve"> stávající</w:t>
      </w:r>
      <w:r w:rsidR="008E7A8A" w:rsidRPr="00A87EA9">
        <w:rPr>
          <w:rFonts w:cs="Arial"/>
          <w:sz w:val="20"/>
          <w:szCs w:val="20"/>
        </w:rPr>
        <w:t>m</w:t>
      </w:r>
      <w:r w:rsidRPr="00A87EA9">
        <w:rPr>
          <w:rFonts w:cs="Arial"/>
          <w:sz w:val="20"/>
          <w:szCs w:val="20"/>
        </w:rPr>
        <w:t xml:space="preserve"> systému (IS SA EU) zpracoval rozdílovou analýzu pro implementaci jím navržené aplikace a již provozovan</w:t>
      </w:r>
      <w:r w:rsidR="00000B8D">
        <w:rPr>
          <w:rFonts w:cs="Arial"/>
          <w:sz w:val="20"/>
          <w:szCs w:val="20"/>
        </w:rPr>
        <w:t>ým</w:t>
      </w:r>
      <w:r w:rsidRPr="00A87EA9">
        <w:rPr>
          <w:rFonts w:cs="Arial"/>
          <w:sz w:val="20"/>
          <w:szCs w:val="20"/>
        </w:rPr>
        <w:t xml:space="preserve"> systém </w:t>
      </w:r>
      <w:proofErr w:type="spellStart"/>
      <w:r w:rsidRPr="00A87EA9">
        <w:rPr>
          <w:rFonts w:cs="Arial"/>
          <w:sz w:val="20"/>
          <w:szCs w:val="20"/>
        </w:rPr>
        <w:t>MZe</w:t>
      </w:r>
      <w:proofErr w:type="spellEnd"/>
      <w:r w:rsidRPr="00A87EA9">
        <w:rPr>
          <w:rFonts w:cs="Arial"/>
          <w:sz w:val="20"/>
          <w:szCs w:val="20"/>
        </w:rPr>
        <w:t xml:space="preserve"> IS SA EU, ve které boudou popsány oblasti funkcionalit a procesů </w:t>
      </w:r>
      <w:r w:rsidR="008E7A8A" w:rsidRPr="00A87EA9">
        <w:rPr>
          <w:rFonts w:cs="Arial"/>
          <w:sz w:val="20"/>
          <w:szCs w:val="20"/>
        </w:rPr>
        <w:t>systému stávajícího a systému navrženého dodavatelem</w:t>
      </w:r>
      <w:r w:rsidR="00A87EA9" w:rsidRPr="00A87EA9">
        <w:rPr>
          <w:rFonts w:cs="Arial"/>
          <w:sz w:val="20"/>
          <w:szCs w:val="20"/>
        </w:rPr>
        <w:t xml:space="preserve">, tak aby navržený systém pokryl funkcionality stávající a nově požadované (viz. </w:t>
      </w:r>
      <w:proofErr w:type="gramStart"/>
      <w:r w:rsidR="00A87EA9" w:rsidRPr="00A87EA9">
        <w:rPr>
          <w:rFonts w:cs="Arial"/>
          <w:sz w:val="20"/>
          <w:szCs w:val="20"/>
        </w:rPr>
        <w:t>příloha</w:t>
      </w:r>
      <w:proofErr w:type="gramEnd"/>
      <w:r w:rsidR="00A87EA9" w:rsidRPr="00A87EA9">
        <w:rPr>
          <w:rFonts w:cs="Arial"/>
          <w:sz w:val="20"/>
          <w:szCs w:val="20"/>
        </w:rPr>
        <w:t xml:space="preserve"> č.1 </w:t>
      </w:r>
      <w:r w:rsidR="00A87EA9">
        <w:rPr>
          <w:rFonts w:cs="Arial"/>
          <w:sz w:val="20"/>
          <w:szCs w:val="20"/>
        </w:rPr>
        <w:t xml:space="preserve">- </w:t>
      </w:r>
      <w:r w:rsidR="00A87EA9" w:rsidRPr="00A87EA9">
        <w:rPr>
          <w:sz w:val="20"/>
          <w:szCs w:val="20"/>
        </w:rPr>
        <w:t>Popis funkčních částí aplikace</w:t>
      </w:r>
      <w:r w:rsidR="00A87EA9" w:rsidRPr="00A87EA9">
        <w:rPr>
          <w:rFonts w:cs="Arial"/>
          <w:sz w:val="20"/>
          <w:szCs w:val="20"/>
        </w:rPr>
        <w:t>)</w:t>
      </w:r>
      <w:r w:rsidR="004B65E9">
        <w:rPr>
          <w:rFonts w:cs="Arial"/>
          <w:sz w:val="20"/>
          <w:szCs w:val="20"/>
        </w:rPr>
        <w:t>. Finální návrh funkcionalit bude výsledkem iteračních kroků realizovaných na základě předložené rozdílové analýzy</w:t>
      </w:r>
      <w:r w:rsidR="00A87EA9">
        <w:rPr>
          <w:rFonts w:cs="Arial"/>
          <w:sz w:val="20"/>
          <w:szCs w:val="20"/>
        </w:rPr>
        <w:t xml:space="preserve">. Další klíčovou oblastí analýzy bude návrh migrace dat ze stávajícího systému včetně </w:t>
      </w:r>
      <w:r w:rsidR="00A87EA9" w:rsidRPr="00A87EA9">
        <w:rPr>
          <w:rFonts w:cs="Arial"/>
          <w:sz w:val="20"/>
          <w:szCs w:val="20"/>
        </w:rPr>
        <w:t>popis</w:t>
      </w:r>
      <w:r w:rsidR="00A87EA9">
        <w:rPr>
          <w:rFonts w:cs="Arial"/>
          <w:sz w:val="20"/>
          <w:szCs w:val="20"/>
        </w:rPr>
        <w:t>u</w:t>
      </w:r>
      <w:r w:rsidR="00A87EA9" w:rsidRPr="00A87EA9">
        <w:rPr>
          <w:rFonts w:cs="Arial"/>
          <w:sz w:val="20"/>
          <w:szCs w:val="20"/>
        </w:rPr>
        <w:t xml:space="preserve"> databázového schématu zahrnující význam jednotlivých datových sloupců ve vazbě na data prezentovaná v</w:t>
      </w:r>
      <w:r w:rsidR="00A87EA9">
        <w:rPr>
          <w:rFonts w:cs="Arial"/>
          <w:sz w:val="20"/>
          <w:szCs w:val="20"/>
        </w:rPr>
        <w:t> </w:t>
      </w:r>
      <w:r w:rsidR="00A87EA9" w:rsidRPr="00A87EA9">
        <w:rPr>
          <w:rFonts w:cs="Arial"/>
          <w:sz w:val="20"/>
          <w:szCs w:val="20"/>
        </w:rPr>
        <w:t>aplikaci</w:t>
      </w:r>
      <w:r w:rsidR="00A87EA9">
        <w:rPr>
          <w:rFonts w:cs="Arial"/>
          <w:sz w:val="20"/>
          <w:szCs w:val="20"/>
        </w:rPr>
        <w:t>.</w:t>
      </w:r>
    </w:p>
    <w:p w:rsidR="00A87EA9" w:rsidRDefault="00A87EA9" w:rsidP="00A87EA9">
      <w:pPr>
        <w:jc w:val="both"/>
        <w:rPr>
          <w:rFonts w:cs="Arial"/>
          <w:sz w:val="20"/>
          <w:szCs w:val="20"/>
        </w:rPr>
      </w:pPr>
    </w:p>
    <w:p w:rsidR="00A87EA9" w:rsidRDefault="00A87EA9" w:rsidP="00A87EA9">
      <w:pPr>
        <w:jc w:val="both"/>
        <w:rPr>
          <w:rFonts w:cs="Arial"/>
          <w:sz w:val="20"/>
          <w:szCs w:val="20"/>
        </w:rPr>
      </w:pPr>
    </w:p>
    <w:p w:rsidR="00A87EA9" w:rsidRDefault="00A87EA9" w:rsidP="00A87EA9">
      <w:pPr>
        <w:jc w:val="both"/>
        <w:rPr>
          <w:rFonts w:cs="Arial"/>
          <w:sz w:val="20"/>
          <w:szCs w:val="20"/>
        </w:rPr>
      </w:pPr>
    </w:p>
    <w:p w:rsidR="000E62F9" w:rsidRDefault="000E62F9">
      <w:pPr>
        <w:rPr>
          <w:sz w:val="20"/>
          <w:szCs w:val="20"/>
        </w:rPr>
      </w:pPr>
    </w:p>
    <w:p w:rsidR="00A87ADC" w:rsidRPr="00A37760" w:rsidRDefault="000E672A" w:rsidP="009C6190">
      <w:pPr>
        <w:pStyle w:val="Nadpis2"/>
        <w:numPr>
          <w:ilvl w:val="0"/>
          <w:numId w:val="5"/>
        </w:num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bookmarkStart w:id="1" w:name="_Toc504426026"/>
      <w:r w:rsidRPr="00A37760">
        <w:rPr>
          <w:rFonts w:ascii="Arial" w:hAnsi="Arial" w:cs="Arial"/>
          <w:b w:val="0"/>
          <w:color w:val="548DD4" w:themeColor="text2" w:themeTint="99"/>
          <w:sz w:val="24"/>
          <w:szCs w:val="24"/>
        </w:rPr>
        <w:lastRenderedPageBreak/>
        <w:t>Technická infrastruktura (Software a hardware)</w:t>
      </w:r>
      <w:bookmarkEnd w:id="1"/>
    </w:p>
    <w:p w:rsidR="000E672A" w:rsidRPr="009C6190" w:rsidRDefault="000E672A" w:rsidP="00A87ADC">
      <w:pPr>
        <w:pStyle w:val="Nadpis2"/>
        <w:numPr>
          <w:ilvl w:val="0"/>
          <w:numId w:val="0"/>
        </w:numPr>
        <w:ind w:left="720"/>
        <w:rPr>
          <w:rFonts w:ascii="Arial" w:hAnsi="Arial" w:cs="Arial"/>
          <w:b w:val="0"/>
          <w:color w:val="548DD4" w:themeColor="text2" w:themeTint="99"/>
        </w:rPr>
      </w:pPr>
      <w:r w:rsidRPr="009C6190">
        <w:rPr>
          <w:rFonts w:ascii="Arial" w:hAnsi="Arial" w:cs="Arial"/>
          <w:b w:val="0"/>
          <w:color w:val="548DD4" w:themeColor="text2" w:themeTint="99"/>
        </w:rPr>
        <w:tab/>
      </w:r>
    </w:p>
    <w:p w:rsidR="008E7A8A" w:rsidRPr="008E7A8A" w:rsidRDefault="009C6190" w:rsidP="008E7A8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SAEU</w:t>
      </w:r>
      <w:r w:rsidR="000E672A" w:rsidRPr="008E7A8A">
        <w:rPr>
          <w:rFonts w:ascii="Arial" w:hAnsi="Arial" w:cs="Arial"/>
          <w:sz w:val="20"/>
          <w:szCs w:val="20"/>
        </w:rPr>
        <w:t xml:space="preserve"> bude provozován na virtuální infrastruktuře </w:t>
      </w:r>
      <w:proofErr w:type="spellStart"/>
      <w:r w:rsidR="000E672A" w:rsidRPr="008E7A8A">
        <w:rPr>
          <w:rFonts w:ascii="Arial" w:hAnsi="Arial" w:cs="Arial"/>
          <w:sz w:val="20"/>
          <w:szCs w:val="20"/>
        </w:rPr>
        <w:t>MZe</w:t>
      </w:r>
      <w:proofErr w:type="spellEnd"/>
      <w:r w:rsidR="000E672A" w:rsidRPr="008E7A8A">
        <w:rPr>
          <w:rFonts w:ascii="Arial" w:hAnsi="Arial" w:cs="Arial"/>
          <w:sz w:val="20"/>
          <w:szCs w:val="20"/>
        </w:rPr>
        <w:t xml:space="preserve"> </w:t>
      </w:r>
      <w:r w:rsidRPr="008E7A8A">
        <w:rPr>
          <w:rFonts w:ascii="Arial" w:hAnsi="Arial" w:cs="Arial"/>
          <w:sz w:val="20"/>
          <w:szCs w:val="20"/>
        </w:rPr>
        <w:t>–</w:t>
      </w:r>
      <w:r w:rsidR="000E672A" w:rsidRPr="008E7A8A">
        <w:rPr>
          <w:rFonts w:ascii="Arial" w:hAnsi="Arial" w:cs="Arial"/>
          <w:sz w:val="20"/>
          <w:szCs w:val="20"/>
        </w:rPr>
        <w:t xml:space="preserve"> </w:t>
      </w:r>
      <w:r w:rsidRPr="008E7A8A">
        <w:rPr>
          <w:rFonts w:ascii="Arial" w:hAnsi="Arial" w:cs="Arial"/>
          <w:sz w:val="20"/>
          <w:szCs w:val="20"/>
        </w:rPr>
        <w:t xml:space="preserve">v datovém centru. </w:t>
      </w:r>
    </w:p>
    <w:p w:rsidR="008E7A8A" w:rsidRPr="008E7A8A" w:rsidRDefault="000E672A" w:rsidP="008E7A8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 xml:space="preserve">Virtuální servery jsou zálohovány prostřednictvím </w:t>
      </w:r>
      <w:proofErr w:type="spellStart"/>
      <w:r w:rsidRPr="008E7A8A">
        <w:rPr>
          <w:rFonts w:ascii="Arial" w:hAnsi="Arial" w:cs="Arial"/>
          <w:sz w:val="20"/>
          <w:szCs w:val="20"/>
        </w:rPr>
        <w:t>VMware</w:t>
      </w:r>
      <w:proofErr w:type="spellEnd"/>
      <w:r w:rsidRPr="008E7A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A8A">
        <w:rPr>
          <w:rFonts w:ascii="Arial" w:hAnsi="Arial" w:cs="Arial"/>
          <w:sz w:val="20"/>
          <w:szCs w:val="20"/>
        </w:rPr>
        <w:t>vSphere</w:t>
      </w:r>
      <w:proofErr w:type="spellEnd"/>
      <w:r w:rsidRPr="008E7A8A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8E7A8A">
        <w:rPr>
          <w:rFonts w:ascii="Arial" w:hAnsi="Arial" w:cs="Arial"/>
          <w:sz w:val="20"/>
          <w:szCs w:val="20"/>
        </w:rPr>
        <w:t>Protection</w:t>
      </w:r>
      <w:proofErr w:type="spellEnd"/>
      <w:r w:rsidRPr="008E7A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A8A">
        <w:rPr>
          <w:rFonts w:ascii="Arial" w:hAnsi="Arial" w:cs="Arial"/>
          <w:sz w:val="20"/>
          <w:szCs w:val="20"/>
        </w:rPr>
        <w:t>Appliance</w:t>
      </w:r>
      <w:proofErr w:type="spellEnd"/>
      <w:r w:rsidRPr="008E7A8A">
        <w:rPr>
          <w:rFonts w:ascii="Arial" w:hAnsi="Arial" w:cs="Arial"/>
          <w:sz w:val="20"/>
          <w:szCs w:val="20"/>
        </w:rPr>
        <w:t xml:space="preserve">. </w:t>
      </w:r>
    </w:p>
    <w:p w:rsidR="008E7A8A" w:rsidRPr="008E7A8A" w:rsidRDefault="000E672A" w:rsidP="008E7A8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 xml:space="preserve">Přípravu virtuálního prostředí včetně instalace operačních systémů a databázových systémů zajistí Zadavatel. </w:t>
      </w:r>
    </w:p>
    <w:p w:rsidR="008E7A8A" w:rsidRDefault="000E672A" w:rsidP="008E7A8A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Dodavatel navrhne požadavky na architekturu a výkon</w:t>
      </w:r>
      <w:r w:rsidR="007A39D6">
        <w:rPr>
          <w:rFonts w:ascii="Arial" w:hAnsi="Arial" w:cs="Arial"/>
          <w:sz w:val="20"/>
          <w:szCs w:val="20"/>
          <w:lang w:val="cs-CZ"/>
        </w:rPr>
        <w:t xml:space="preserve"> a provede instalaci aplikace na připravený HW Zadavatele</w:t>
      </w:r>
      <w:r w:rsidRPr="008E7A8A">
        <w:rPr>
          <w:rFonts w:ascii="Arial" w:hAnsi="Arial" w:cs="Arial"/>
          <w:sz w:val="20"/>
          <w:szCs w:val="20"/>
        </w:rPr>
        <w:t xml:space="preserve">. </w:t>
      </w:r>
    </w:p>
    <w:p w:rsidR="008E7A8A" w:rsidRDefault="008E7A8A" w:rsidP="008E7A8A">
      <w:pPr>
        <w:pStyle w:val="Odstavecseseznamem"/>
        <w:jc w:val="both"/>
        <w:rPr>
          <w:sz w:val="20"/>
          <w:szCs w:val="20"/>
        </w:rPr>
      </w:pPr>
    </w:p>
    <w:p w:rsidR="003858CF" w:rsidRPr="008E7A8A" w:rsidRDefault="003858CF" w:rsidP="008E7A8A">
      <w:pPr>
        <w:pStyle w:val="Odstavecseseznamem"/>
        <w:jc w:val="both"/>
        <w:rPr>
          <w:sz w:val="20"/>
          <w:szCs w:val="20"/>
        </w:rPr>
      </w:pPr>
    </w:p>
    <w:p w:rsidR="000E672A" w:rsidRPr="009C6190" w:rsidRDefault="00A87ADC" w:rsidP="00A87ADC">
      <w:pPr>
        <w:jc w:val="both"/>
        <w:rPr>
          <w:sz w:val="20"/>
          <w:szCs w:val="20"/>
        </w:rPr>
      </w:pPr>
      <w:r>
        <w:rPr>
          <w:sz w:val="20"/>
          <w:szCs w:val="20"/>
        </w:rPr>
        <w:t>Je p</w:t>
      </w:r>
      <w:r w:rsidR="009C6190">
        <w:rPr>
          <w:sz w:val="20"/>
          <w:szCs w:val="20"/>
        </w:rPr>
        <w:t>referov</w:t>
      </w:r>
      <w:r>
        <w:rPr>
          <w:sz w:val="20"/>
          <w:szCs w:val="20"/>
        </w:rPr>
        <w:t>áno</w:t>
      </w:r>
      <w:r w:rsidR="009C6190">
        <w:rPr>
          <w:sz w:val="20"/>
          <w:szCs w:val="20"/>
        </w:rPr>
        <w:t xml:space="preserve"> řešení</w:t>
      </w:r>
      <w:r>
        <w:rPr>
          <w:sz w:val="20"/>
          <w:szCs w:val="20"/>
        </w:rPr>
        <w:t>,</w:t>
      </w:r>
      <w:r w:rsidR="009C6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při kterém budou využity licenční produkty pro operační systémy a databázové řešení, kterými již </w:t>
      </w:r>
      <w:proofErr w:type="spellStart"/>
      <w:r>
        <w:rPr>
          <w:sz w:val="20"/>
          <w:szCs w:val="20"/>
        </w:rPr>
        <w:t>MZe</w:t>
      </w:r>
      <w:proofErr w:type="spellEnd"/>
      <w:r>
        <w:rPr>
          <w:sz w:val="20"/>
          <w:szCs w:val="20"/>
        </w:rPr>
        <w:t xml:space="preserve"> disponuje, nebo </w:t>
      </w:r>
      <w:proofErr w:type="spellStart"/>
      <w:r>
        <w:rPr>
          <w:sz w:val="20"/>
          <w:szCs w:val="20"/>
        </w:rPr>
        <w:t>Opensorce</w:t>
      </w:r>
      <w:proofErr w:type="spellEnd"/>
      <w:r>
        <w:rPr>
          <w:sz w:val="20"/>
          <w:szCs w:val="20"/>
        </w:rPr>
        <w:t xml:space="preserve"> řešení. Tyto preference jsou </w:t>
      </w:r>
      <w:r w:rsidR="000E672A" w:rsidRPr="009C6190">
        <w:rPr>
          <w:sz w:val="20"/>
          <w:szCs w:val="20"/>
        </w:rPr>
        <w:t>uvedené v</w:t>
      </w:r>
      <w:r>
        <w:rPr>
          <w:sz w:val="20"/>
          <w:szCs w:val="20"/>
        </w:rPr>
        <w:t> </w:t>
      </w:r>
      <w:r w:rsidR="000E672A" w:rsidRPr="009C6190">
        <w:rPr>
          <w:sz w:val="20"/>
          <w:szCs w:val="20"/>
        </w:rPr>
        <w:t>tabulce</w:t>
      </w:r>
      <w:r>
        <w:rPr>
          <w:sz w:val="20"/>
          <w:szCs w:val="20"/>
        </w:rPr>
        <w:t xml:space="preserve"> pod textem</w:t>
      </w:r>
      <w:r w:rsidR="000E672A" w:rsidRPr="009C6190">
        <w:rPr>
          <w:sz w:val="20"/>
          <w:szCs w:val="20"/>
        </w:rPr>
        <w:t xml:space="preserve">. V případě, že by výrobce doporučoval použití nějakého dalšího software či skriptu, tak musí být </w:t>
      </w:r>
      <w:r>
        <w:rPr>
          <w:sz w:val="20"/>
          <w:szCs w:val="20"/>
        </w:rPr>
        <w:t xml:space="preserve">součástí </w:t>
      </w:r>
      <w:proofErr w:type="spellStart"/>
      <w:r>
        <w:rPr>
          <w:sz w:val="20"/>
          <w:szCs w:val="20"/>
        </w:rPr>
        <w:t>nacenění</w:t>
      </w:r>
      <w:proofErr w:type="spellEnd"/>
      <w:r>
        <w:rPr>
          <w:sz w:val="20"/>
          <w:szCs w:val="20"/>
        </w:rPr>
        <w:t xml:space="preserve"> na období min 3</w:t>
      </w:r>
      <w:r w:rsidR="003858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let včetně popisu jeho licencování. </w:t>
      </w:r>
    </w:p>
    <w:p w:rsidR="009C6190" w:rsidRDefault="009C6190" w:rsidP="000E672A"/>
    <w:p w:rsidR="003858CF" w:rsidRDefault="003858CF" w:rsidP="000E672A"/>
    <w:tbl>
      <w:tblPr>
        <w:tblW w:w="5073" w:type="pct"/>
        <w:tblBorders>
          <w:top w:val="single" w:sz="4" w:space="0" w:color="B2BC00"/>
          <w:left w:val="single" w:sz="4" w:space="0" w:color="B2BC00"/>
          <w:bottom w:val="single" w:sz="4" w:space="0" w:color="B2BC00"/>
          <w:right w:val="single" w:sz="4" w:space="0" w:color="B2BC00"/>
          <w:insideH w:val="single" w:sz="4" w:space="0" w:color="B2BC00"/>
          <w:insideV w:val="single" w:sz="4" w:space="0" w:color="B2BC00"/>
        </w:tblBorders>
        <w:tblLook w:val="00A0" w:firstRow="1" w:lastRow="0" w:firstColumn="1" w:lastColumn="0" w:noHBand="0" w:noVBand="0"/>
      </w:tblPr>
      <w:tblGrid>
        <w:gridCol w:w="2151"/>
        <w:gridCol w:w="7043"/>
      </w:tblGrid>
      <w:tr w:rsidR="000E672A" w:rsidTr="003858CF">
        <w:trPr>
          <w:trHeight w:val="452"/>
        </w:trPr>
        <w:tc>
          <w:tcPr>
            <w:tcW w:w="1170" w:type="pct"/>
            <w:shd w:val="clear" w:color="auto" w:fill="E2EFDA"/>
            <w:tcMar>
              <w:left w:w="108" w:type="dxa"/>
            </w:tcMar>
          </w:tcPr>
          <w:p w:rsidR="000E672A" w:rsidRPr="008E7A8A" w:rsidRDefault="000E672A" w:rsidP="006262A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Oblast</w:t>
            </w:r>
          </w:p>
        </w:tc>
        <w:tc>
          <w:tcPr>
            <w:tcW w:w="3830" w:type="pct"/>
            <w:shd w:val="clear" w:color="auto" w:fill="E2EFDA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Standardní technologie</w:t>
            </w:r>
          </w:p>
        </w:tc>
      </w:tr>
      <w:tr w:rsidR="000E672A" w:rsidTr="003858CF">
        <w:trPr>
          <w:trHeight w:val="612"/>
        </w:trPr>
        <w:tc>
          <w:tcPr>
            <w:tcW w:w="117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Aplikační server</w:t>
            </w:r>
          </w:p>
        </w:tc>
        <w:tc>
          <w:tcPr>
            <w:tcW w:w="383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Microsoft .NET</w:t>
            </w:r>
            <w:proofErr w:type="gram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– produkty v rámci MS Internet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Information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Server 7.0; J2EE Java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Enterprise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Edition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(JBOSS) – IIS 7.0 a vyšší nebo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Apache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na platformě Linux.</w:t>
            </w:r>
          </w:p>
        </w:tc>
      </w:tr>
      <w:tr w:rsidR="000E672A" w:rsidTr="003858CF">
        <w:trPr>
          <w:trHeight w:val="407"/>
        </w:trPr>
        <w:tc>
          <w:tcPr>
            <w:tcW w:w="117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Databázový server</w:t>
            </w:r>
          </w:p>
        </w:tc>
        <w:tc>
          <w:tcPr>
            <w:tcW w:w="383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MS SQL ve verzi 2012 a vyšší</w:t>
            </w:r>
          </w:p>
        </w:tc>
      </w:tr>
      <w:tr w:rsidR="000E672A" w:rsidTr="003858CF">
        <w:trPr>
          <w:trHeight w:val="555"/>
        </w:trPr>
        <w:tc>
          <w:tcPr>
            <w:tcW w:w="117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Operační systém</w:t>
            </w:r>
          </w:p>
        </w:tc>
        <w:tc>
          <w:tcPr>
            <w:tcW w:w="383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Windows server 2012 R2 standard;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Red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Hat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Enterprise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Linux AS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release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7 a vyšší (64 bit)</w:t>
            </w:r>
          </w:p>
        </w:tc>
      </w:tr>
      <w:tr w:rsidR="000E672A" w:rsidTr="003858CF">
        <w:trPr>
          <w:trHeight w:val="455"/>
        </w:trPr>
        <w:tc>
          <w:tcPr>
            <w:tcW w:w="117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Vývojové nástroje</w:t>
            </w:r>
          </w:p>
        </w:tc>
        <w:tc>
          <w:tcPr>
            <w:tcW w:w="3830" w:type="pct"/>
            <w:tcMar>
              <w:left w:w="108" w:type="dxa"/>
            </w:tcMar>
          </w:tcPr>
          <w:p w:rsidR="000E672A" w:rsidRPr="008E7A8A" w:rsidRDefault="000E672A" w:rsidP="006262AA">
            <w:pPr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IIS + </w:t>
            </w:r>
            <w:proofErr w:type="gram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Microsoft .NET</w:t>
            </w:r>
            <w:proofErr w:type="gram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; vývojové nástroje v rámci </w:t>
            </w:r>
            <w:proofErr w:type="spellStart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>Weblogic</w:t>
            </w:r>
            <w:proofErr w:type="spellEnd"/>
            <w:r w:rsidRPr="008E7A8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serveru; vývojové nástroje J2EE</w:t>
            </w:r>
          </w:p>
        </w:tc>
      </w:tr>
    </w:tbl>
    <w:p w:rsidR="003858CF" w:rsidRDefault="003858CF" w:rsidP="003858CF">
      <w:pPr>
        <w:pStyle w:val="Nadpis2"/>
        <w:numPr>
          <w:ilvl w:val="0"/>
          <w:numId w:val="0"/>
        </w:numPr>
        <w:ind w:left="720"/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bookmarkStart w:id="2" w:name="_Toc504426018"/>
    </w:p>
    <w:p w:rsidR="008E7A8A" w:rsidRPr="00A37760" w:rsidRDefault="008E7A8A" w:rsidP="008E7A8A">
      <w:pPr>
        <w:pStyle w:val="Nadpis2"/>
        <w:numPr>
          <w:ilvl w:val="0"/>
          <w:numId w:val="5"/>
        </w:numPr>
        <w:rPr>
          <w:rFonts w:ascii="Arial" w:hAnsi="Arial" w:cs="Arial"/>
          <w:b w:val="0"/>
          <w:color w:val="548DD4" w:themeColor="text2" w:themeTint="99"/>
          <w:sz w:val="24"/>
          <w:szCs w:val="24"/>
        </w:rPr>
      </w:pPr>
      <w:r w:rsidRPr="00A37760">
        <w:rPr>
          <w:rFonts w:ascii="Arial" w:hAnsi="Arial" w:cs="Arial"/>
          <w:b w:val="0"/>
          <w:color w:val="548DD4" w:themeColor="text2" w:themeTint="99"/>
          <w:sz w:val="24"/>
          <w:szCs w:val="24"/>
        </w:rPr>
        <w:t>Obecné funkcionality řešení</w:t>
      </w:r>
      <w:bookmarkEnd w:id="2"/>
    </w:p>
    <w:p w:rsidR="008E7A8A" w:rsidRPr="008E7A8A" w:rsidRDefault="008E7A8A" w:rsidP="008E7A8A"/>
    <w:p w:rsidR="008E7A8A" w:rsidRPr="008E7A8A" w:rsidRDefault="008E7A8A" w:rsidP="008E7A8A">
      <w:pPr>
        <w:rPr>
          <w:rFonts w:cs="Arial"/>
          <w:sz w:val="20"/>
          <w:szCs w:val="20"/>
        </w:rPr>
      </w:pPr>
      <w:r w:rsidRPr="008E7A8A">
        <w:rPr>
          <w:rFonts w:cs="Arial"/>
          <w:sz w:val="20"/>
          <w:szCs w:val="20"/>
        </w:rPr>
        <w:t>Jsou požadovány následující základní funkcionality:</w:t>
      </w:r>
    </w:p>
    <w:p w:rsidR="008E7A8A" w:rsidRPr="008E7A8A" w:rsidRDefault="008E7A8A" w:rsidP="008E7A8A">
      <w:pPr>
        <w:rPr>
          <w:rFonts w:cs="Arial"/>
          <w:sz w:val="20"/>
          <w:szCs w:val="20"/>
        </w:rPr>
      </w:pPr>
      <w:r w:rsidRPr="008E7A8A">
        <w:rPr>
          <w:rFonts w:cs="Arial"/>
          <w:sz w:val="20"/>
          <w:szCs w:val="20"/>
        </w:rPr>
        <w:t xml:space="preserve">Pro vše: 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optimalizace pro rychlé načítání,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HTTPS - SSL/TSL s ověřením serveru</w:t>
      </w:r>
    </w:p>
    <w:p w:rsidR="008E7A8A" w:rsidRPr="008E7A8A" w:rsidRDefault="008E7A8A" w:rsidP="008E7A8A">
      <w:pPr>
        <w:rPr>
          <w:rFonts w:cs="Arial"/>
          <w:sz w:val="20"/>
          <w:szCs w:val="20"/>
        </w:rPr>
      </w:pPr>
      <w:r w:rsidRPr="008E7A8A">
        <w:rPr>
          <w:rFonts w:cs="Arial"/>
          <w:sz w:val="20"/>
          <w:szCs w:val="20"/>
        </w:rPr>
        <w:t>Pro přihlášení a ověřování uživatelů: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přihlášení a odhlášení uživatele,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přístup prostřednictvím SSL,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lokalizace do českého jazyka,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správa uživatelského profilu a změna hesla,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>řešení zapomenutých hesel</w:t>
      </w:r>
    </w:p>
    <w:p w:rsidR="008E7A8A" w:rsidRPr="008E7A8A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 xml:space="preserve">webové rozhraní bude integrováno do portálového řešení </w:t>
      </w:r>
      <w:proofErr w:type="spellStart"/>
      <w:r w:rsidRPr="008E7A8A">
        <w:rPr>
          <w:rFonts w:ascii="Arial" w:hAnsi="Arial" w:cs="Arial"/>
          <w:sz w:val="20"/>
          <w:szCs w:val="20"/>
        </w:rPr>
        <w:t>MZe</w:t>
      </w:r>
      <w:proofErr w:type="spellEnd"/>
      <w:r w:rsidRPr="008E7A8A">
        <w:rPr>
          <w:rFonts w:ascii="Arial" w:hAnsi="Arial" w:cs="Arial"/>
          <w:sz w:val="20"/>
          <w:szCs w:val="20"/>
        </w:rPr>
        <w:t xml:space="preserve">. Autentizaci přistupujícího uživatele provede portálové řešení a jeho identitu předá webovému rozhraní žadatele prostřednictvím SSO hlavičky. Pro žadatele budou v Procesní platformě vydefinovány role omezující práva a tyto role zrcadleny v LDAP </w:t>
      </w:r>
      <w:proofErr w:type="spellStart"/>
      <w:r w:rsidRPr="008E7A8A">
        <w:rPr>
          <w:rFonts w:ascii="Arial" w:hAnsi="Arial" w:cs="Arial"/>
          <w:sz w:val="20"/>
          <w:szCs w:val="20"/>
        </w:rPr>
        <w:t>MZe</w:t>
      </w:r>
      <w:proofErr w:type="spellEnd"/>
      <w:r w:rsidRPr="008E7A8A">
        <w:rPr>
          <w:rFonts w:ascii="Arial" w:hAnsi="Arial" w:cs="Arial"/>
          <w:sz w:val="20"/>
          <w:szCs w:val="20"/>
        </w:rPr>
        <w:t>. Procesní platforma musí umožňovat impor</w:t>
      </w:r>
      <w:r w:rsidR="00511D20">
        <w:rPr>
          <w:rFonts w:ascii="Arial" w:hAnsi="Arial" w:cs="Arial"/>
          <w:sz w:val="20"/>
          <w:szCs w:val="20"/>
        </w:rPr>
        <w:t>t uživatelů a rolí z AD/LDAP</w:t>
      </w:r>
    </w:p>
    <w:p w:rsidR="003858CF" w:rsidRDefault="008E7A8A" w:rsidP="008E7A8A">
      <w:pPr>
        <w:pStyle w:val="Seznamsodrkami2"/>
        <w:rPr>
          <w:rFonts w:ascii="Arial" w:hAnsi="Arial" w:cs="Arial"/>
          <w:sz w:val="20"/>
          <w:szCs w:val="20"/>
        </w:rPr>
      </w:pPr>
      <w:r w:rsidRPr="008E7A8A">
        <w:rPr>
          <w:rFonts w:ascii="Arial" w:hAnsi="Arial" w:cs="Arial"/>
          <w:sz w:val="20"/>
          <w:szCs w:val="20"/>
        </w:rPr>
        <w:t xml:space="preserve">možnost nastavení notifikací, resp. kdy, jakou formou a kam mají být notifikace zasílány. </w:t>
      </w:r>
    </w:p>
    <w:p w:rsidR="008E7A8A" w:rsidRDefault="003858CF" w:rsidP="008E7A8A">
      <w:pPr>
        <w:pStyle w:val="Seznamsodrkami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možnost konfigurace aplikace (změny definovaných nastavení a procesů) ze strany dodavatele na základě požadavků Zadavatele</w:t>
      </w:r>
      <w:r w:rsidR="008E7A8A" w:rsidRPr="008E7A8A">
        <w:rPr>
          <w:rFonts w:ascii="Arial" w:hAnsi="Arial" w:cs="Arial"/>
          <w:sz w:val="20"/>
          <w:szCs w:val="20"/>
        </w:rPr>
        <w:t xml:space="preserve"> </w:t>
      </w:r>
    </w:p>
    <w:p w:rsidR="001543BF" w:rsidRDefault="001543BF" w:rsidP="001543BF">
      <w:pPr>
        <w:pStyle w:val="Seznamsodrkami2"/>
        <w:numPr>
          <w:ilvl w:val="0"/>
          <w:numId w:val="0"/>
        </w:numPr>
        <w:ind w:left="643" w:hanging="360"/>
        <w:rPr>
          <w:rFonts w:ascii="Arial" w:hAnsi="Arial" w:cs="Arial"/>
          <w:sz w:val="20"/>
          <w:szCs w:val="20"/>
        </w:rPr>
      </w:pPr>
    </w:p>
    <w:p w:rsidR="001543BF" w:rsidRDefault="001543BF" w:rsidP="001543BF">
      <w:pPr>
        <w:pStyle w:val="Seznamsodrkami2"/>
        <w:numPr>
          <w:ilvl w:val="0"/>
          <w:numId w:val="0"/>
        </w:numPr>
        <w:ind w:left="643" w:hanging="360"/>
        <w:rPr>
          <w:rFonts w:ascii="Arial" w:hAnsi="Arial" w:cs="Arial"/>
          <w:sz w:val="20"/>
          <w:szCs w:val="20"/>
        </w:rPr>
      </w:pPr>
    </w:p>
    <w:p w:rsidR="001543BF" w:rsidRPr="008E7A8A" w:rsidRDefault="001543BF" w:rsidP="001543BF">
      <w:pPr>
        <w:pStyle w:val="Seznamsodrkami2"/>
        <w:numPr>
          <w:ilvl w:val="0"/>
          <w:numId w:val="0"/>
        </w:numPr>
        <w:ind w:left="643" w:hanging="360"/>
        <w:rPr>
          <w:rFonts w:ascii="Arial" w:hAnsi="Arial" w:cs="Arial"/>
          <w:sz w:val="20"/>
          <w:szCs w:val="20"/>
        </w:rPr>
      </w:pPr>
    </w:p>
    <w:p w:rsidR="003858CF" w:rsidRDefault="003858CF">
      <w:pPr>
        <w:rPr>
          <w:sz w:val="20"/>
          <w:szCs w:val="20"/>
        </w:rPr>
      </w:pPr>
    </w:p>
    <w:p w:rsidR="003858CF" w:rsidRPr="004B65E9" w:rsidRDefault="004B65E9" w:rsidP="004B65E9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en-US"/>
        </w:rPr>
      </w:pPr>
      <w:r w:rsidRPr="004B65E9">
        <w:rPr>
          <w:rFonts w:ascii="Arial" w:eastAsia="Times New Roman" w:hAnsi="Arial" w:cs="Arial"/>
          <w:color w:val="548DD4" w:themeColor="text2" w:themeTint="99"/>
          <w:sz w:val="24"/>
          <w:szCs w:val="24"/>
          <w:lang w:val="cs-CZ" w:eastAsia="en-US"/>
        </w:rPr>
        <w:lastRenderedPageBreak/>
        <w:t>Licenční politika</w:t>
      </w:r>
    </w:p>
    <w:p w:rsidR="004B65E9" w:rsidRDefault="004B65E9" w:rsidP="004B65E9">
      <w:pPr>
        <w:rPr>
          <w:sz w:val="20"/>
          <w:szCs w:val="20"/>
        </w:rPr>
      </w:pPr>
    </w:p>
    <w:p w:rsidR="004B65E9" w:rsidRPr="00493150" w:rsidRDefault="004B65E9" w:rsidP="0049315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93150">
        <w:rPr>
          <w:rFonts w:ascii="Arial" w:hAnsi="Arial" w:cs="Arial"/>
          <w:sz w:val="20"/>
          <w:szCs w:val="20"/>
        </w:rPr>
        <w:t xml:space="preserve">Předmětem dodání je webová aplikace, ke které Dodavatele poskytne nevýhradní licenci, která </w:t>
      </w:r>
      <w:proofErr w:type="gramStart"/>
      <w:r w:rsidRPr="00493150">
        <w:rPr>
          <w:rFonts w:ascii="Arial" w:hAnsi="Arial" w:cs="Arial"/>
          <w:sz w:val="20"/>
          <w:szCs w:val="20"/>
        </w:rPr>
        <w:t>bude  časově</w:t>
      </w:r>
      <w:proofErr w:type="gramEnd"/>
      <w:r w:rsidRPr="00493150">
        <w:rPr>
          <w:rFonts w:ascii="Arial" w:hAnsi="Arial" w:cs="Arial"/>
          <w:sz w:val="20"/>
          <w:szCs w:val="20"/>
        </w:rPr>
        <w:t xml:space="preserve"> neomezená s umožněním přístupu neomezenému počtu uživatelů.</w:t>
      </w:r>
    </w:p>
    <w:p w:rsidR="004B65E9" w:rsidRPr="00493150" w:rsidRDefault="001543BF" w:rsidP="0049315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93150">
        <w:rPr>
          <w:rFonts w:ascii="Arial" w:hAnsi="Arial" w:cs="Arial"/>
          <w:sz w:val="20"/>
          <w:szCs w:val="20"/>
        </w:rPr>
        <w:t>Dodavatel také předa Z</w:t>
      </w:r>
      <w:r w:rsidR="004B65E9" w:rsidRPr="00493150">
        <w:rPr>
          <w:rFonts w:ascii="Arial" w:hAnsi="Arial" w:cs="Arial"/>
          <w:sz w:val="20"/>
          <w:szCs w:val="20"/>
        </w:rPr>
        <w:t xml:space="preserve">adavateli zdrojové kódy k dodávané aplikaci, které bude aktualizovat při realizovaných rozvojových činnostech, tak aby </w:t>
      </w:r>
      <w:r w:rsidRPr="00493150">
        <w:rPr>
          <w:rFonts w:ascii="Arial" w:hAnsi="Arial" w:cs="Arial"/>
          <w:sz w:val="20"/>
          <w:szCs w:val="20"/>
        </w:rPr>
        <w:t>zdrojové kódy a systémová dokumentace k aplikaci byli stále aktuální.</w:t>
      </w:r>
    </w:p>
    <w:p w:rsidR="001543BF" w:rsidRPr="00493150" w:rsidRDefault="001543BF" w:rsidP="0049315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93150">
        <w:rPr>
          <w:rFonts w:ascii="Arial" w:hAnsi="Arial" w:cs="Arial"/>
          <w:sz w:val="20"/>
          <w:szCs w:val="20"/>
        </w:rPr>
        <w:t>Dodavatel bude mít na vývoj aplikace a její dodání ve finálním stavu 6 měsíců od podpisu smlouvy.</w:t>
      </w:r>
    </w:p>
    <w:p w:rsidR="004B65E9" w:rsidRPr="004B65E9" w:rsidRDefault="004B65E9" w:rsidP="004B65E9">
      <w:pPr>
        <w:pStyle w:val="Odstavecseseznamem"/>
        <w:rPr>
          <w:sz w:val="20"/>
          <w:szCs w:val="20"/>
        </w:rPr>
      </w:pPr>
    </w:p>
    <w:p w:rsidR="00A87EA9" w:rsidRPr="00A37760" w:rsidRDefault="00A87EA9" w:rsidP="00A87EA9">
      <w:pPr>
        <w:pStyle w:val="Odstavecseseznamem"/>
        <w:numPr>
          <w:ilvl w:val="0"/>
          <w:numId w:val="5"/>
        </w:numPr>
        <w:rPr>
          <w:rFonts w:ascii="Arial" w:hAnsi="Arial" w:cs="Arial"/>
          <w:color w:val="548DD4" w:themeColor="text2" w:themeTint="99"/>
          <w:sz w:val="24"/>
          <w:szCs w:val="24"/>
        </w:rPr>
      </w:pPr>
      <w:proofErr w:type="spellStart"/>
      <w:r w:rsidRPr="00A37760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>Nacenění</w:t>
      </w:r>
      <w:proofErr w:type="spellEnd"/>
      <w:r w:rsidRPr="00A37760">
        <w:rPr>
          <w:rFonts w:ascii="Arial" w:hAnsi="Arial" w:cs="Arial"/>
          <w:color w:val="548DD4" w:themeColor="text2" w:themeTint="99"/>
          <w:sz w:val="24"/>
          <w:szCs w:val="24"/>
          <w:lang w:val="cs-CZ"/>
        </w:rPr>
        <w:t xml:space="preserve"> požadovaných požadavků</w:t>
      </w:r>
    </w:p>
    <w:p w:rsidR="00A37760" w:rsidRDefault="00A37760" w:rsidP="00A37760">
      <w:pPr>
        <w:rPr>
          <w:rFonts w:eastAsia="Calibri" w:cs="Arial"/>
          <w:color w:val="548DD4" w:themeColor="text2" w:themeTint="99"/>
          <w:sz w:val="28"/>
          <w:szCs w:val="28"/>
          <w:lang w:val="x-none" w:eastAsia="x-none"/>
        </w:rPr>
      </w:pPr>
    </w:p>
    <w:p w:rsidR="00A87EA9" w:rsidRPr="00553A35" w:rsidRDefault="00A87EA9" w:rsidP="00A3776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3A35">
        <w:rPr>
          <w:rFonts w:ascii="Arial" w:hAnsi="Arial" w:cs="Arial"/>
          <w:sz w:val="20"/>
          <w:szCs w:val="20"/>
        </w:rPr>
        <w:t>účastník průzkumu trhu vyplní přiložený .</w:t>
      </w:r>
      <w:proofErr w:type="spellStart"/>
      <w:r w:rsidRPr="00553A35">
        <w:rPr>
          <w:rFonts w:ascii="Arial" w:hAnsi="Arial" w:cs="Arial"/>
          <w:sz w:val="20"/>
          <w:szCs w:val="20"/>
        </w:rPr>
        <w:t>xlsx</w:t>
      </w:r>
      <w:proofErr w:type="spellEnd"/>
      <w:r w:rsidRPr="00553A35">
        <w:rPr>
          <w:rFonts w:ascii="Arial" w:hAnsi="Arial" w:cs="Arial"/>
          <w:sz w:val="20"/>
          <w:szCs w:val="20"/>
        </w:rPr>
        <w:t xml:space="preserve"> dokument „Naceneni_SAEU.xlsx“</w:t>
      </w:r>
    </w:p>
    <w:p w:rsidR="00A87EA9" w:rsidRPr="00553A35" w:rsidRDefault="00A87EA9" w:rsidP="00A37760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3A35">
        <w:rPr>
          <w:rFonts w:ascii="Arial" w:hAnsi="Arial" w:cs="Arial"/>
          <w:sz w:val="20"/>
          <w:szCs w:val="20"/>
        </w:rPr>
        <w:t xml:space="preserve">účastník průzkumu trhu vyplňuje POUZE zeleně podbarvené </w:t>
      </w:r>
      <w:r w:rsidR="00A37760" w:rsidRPr="00553A35">
        <w:rPr>
          <w:rFonts w:ascii="Arial" w:hAnsi="Arial" w:cs="Arial"/>
          <w:sz w:val="20"/>
          <w:szCs w:val="20"/>
        </w:rPr>
        <w:t>buňky</w:t>
      </w:r>
    </w:p>
    <w:p w:rsidR="00A87EA9" w:rsidRDefault="00A87EA9">
      <w:pPr>
        <w:rPr>
          <w:sz w:val="20"/>
          <w:szCs w:val="20"/>
        </w:rPr>
      </w:pPr>
    </w:p>
    <w:p w:rsidR="00A87EA9" w:rsidRDefault="00A87EA9">
      <w:pPr>
        <w:rPr>
          <w:sz w:val="20"/>
          <w:szCs w:val="20"/>
        </w:rPr>
      </w:pPr>
    </w:p>
    <w:p w:rsidR="00A87EA9" w:rsidRDefault="00A87EA9">
      <w:pPr>
        <w:rPr>
          <w:sz w:val="20"/>
          <w:szCs w:val="20"/>
        </w:rPr>
      </w:pPr>
    </w:p>
    <w:p w:rsidR="00A87EA9" w:rsidRDefault="00A37760" w:rsidP="003858CF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Přílohy: </w:t>
      </w:r>
      <w:r w:rsidR="003858CF">
        <w:rPr>
          <w:sz w:val="20"/>
          <w:szCs w:val="20"/>
        </w:rPr>
        <w:tab/>
      </w:r>
      <w:r>
        <w:rPr>
          <w:sz w:val="20"/>
          <w:szCs w:val="20"/>
        </w:rPr>
        <w:t xml:space="preserve">P1 – </w:t>
      </w:r>
      <w:r w:rsidRPr="00A87EA9">
        <w:rPr>
          <w:sz w:val="20"/>
          <w:szCs w:val="20"/>
        </w:rPr>
        <w:t>Popis funkčních částí aplikace</w:t>
      </w:r>
    </w:p>
    <w:p w:rsidR="000E62F9" w:rsidRPr="008D243A" w:rsidRDefault="003858C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37760">
        <w:rPr>
          <w:sz w:val="20"/>
          <w:szCs w:val="20"/>
        </w:rPr>
        <w:tab/>
        <w:t xml:space="preserve">P2 – </w:t>
      </w:r>
      <w:proofErr w:type="spellStart"/>
      <w:r w:rsidR="00A37760">
        <w:rPr>
          <w:sz w:val="20"/>
          <w:szCs w:val="20"/>
        </w:rPr>
        <w:t>Nacenění</w:t>
      </w:r>
      <w:proofErr w:type="spellEnd"/>
      <w:r w:rsidR="00A37760">
        <w:rPr>
          <w:sz w:val="20"/>
          <w:szCs w:val="20"/>
        </w:rPr>
        <w:t xml:space="preserve"> SAEU</w:t>
      </w:r>
    </w:p>
    <w:sectPr w:rsidR="000E62F9" w:rsidRPr="008D243A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ABEBB5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D557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00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3E3D4A"/>
    <w:multiLevelType w:val="hybridMultilevel"/>
    <w:tmpl w:val="0DDE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9AE"/>
    <w:multiLevelType w:val="hybridMultilevel"/>
    <w:tmpl w:val="CEEA7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304B"/>
    <w:multiLevelType w:val="hybridMultilevel"/>
    <w:tmpl w:val="E2D0C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5213"/>
    <w:multiLevelType w:val="hybridMultilevel"/>
    <w:tmpl w:val="CE90ED36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962B0F"/>
    <w:multiLevelType w:val="hybridMultilevel"/>
    <w:tmpl w:val="4280B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33C"/>
    <w:multiLevelType w:val="hybridMultilevel"/>
    <w:tmpl w:val="155AA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02A8F"/>
    <w:multiLevelType w:val="hybridMultilevel"/>
    <w:tmpl w:val="EBDCF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0EA4"/>
    <w:multiLevelType w:val="hybridMultilevel"/>
    <w:tmpl w:val="B38A3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15E72"/>
    <w:multiLevelType w:val="hybridMultilevel"/>
    <w:tmpl w:val="50D8D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4"/>
    <w:rsid w:val="00000B8D"/>
    <w:rsid w:val="000E2942"/>
    <w:rsid w:val="000E62F9"/>
    <w:rsid w:val="000E672A"/>
    <w:rsid w:val="001543BF"/>
    <w:rsid w:val="003858CF"/>
    <w:rsid w:val="00493150"/>
    <w:rsid w:val="004B65E9"/>
    <w:rsid w:val="00511D20"/>
    <w:rsid w:val="00553A35"/>
    <w:rsid w:val="005B78DC"/>
    <w:rsid w:val="005D6E3A"/>
    <w:rsid w:val="00601A14"/>
    <w:rsid w:val="006262AA"/>
    <w:rsid w:val="007250D9"/>
    <w:rsid w:val="007A39D6"/>
    <w:rsid w:val="007C4597"/>
    <w:rsid w:val="008D243A"/>
    <w:rsid w:val="008E7A8A"/>
    <w:rsid w:val="009C6190"/>
    <w:rsid w:val="00A37760"/>
    <w:rsid w:val="00A87ADC"/>
    <w:rsid w:val="00A87EA9"/>
    <w:rsid w:val="00B27E33"/>
    <w:rsid w:val="00B64788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41F7-348E-41C6-B684-7148EA66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0E672A"/>
    <w:pPr>
      <w:keepNext/>
      <w:keepLines/>
      <w:pageBreakBefore/>
      <w:numPr>
        <w:numId w:val="3"/>
      </w:numPr>
      <w:pBdr>
        <w:bottom w:val="single" w:sz="4" w:space="1" w:color="B2BC00"/>
      </w:pBdr>
      <w:tabs>
        <w:tab w:val="left" w:pos="540"/>
      </w:tabs>
      <w:spacing w:before="240" w:after="120"/>
      <w:ind w:left="431" w:hanging="431"/>
      <w:jc w:val="both"/>
      <w:outlineLvl w:val="0"/>
    </w:pPr>
    <w:rPr>
      <w:rFonts w:ascii="Gill Sans MT" w:eastAsia="Times New Roman" w:hAnsi="Gill Sans MT" w:cs="Times New Roman"/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0E672A"/>
    <w:pPr>
      <w:keepNext/>
      <w:keepLines/>
      <w:numPr>
        <w:ilvl w:val="1"/>
        <w:numId w:val="3"/>
      </w:numPr>
      <w:spacing w:before="360" w:after="120"/>
      <w:ind w:left="576"/>
      <w:contextualSpacing/>
      <w:jc w:val="both"/>
      <w:outlineLvl w:val="1"/>
    </w:pPr>
    <w:rPr>
      <w:rFonts w:ascii="Gill Sans MT" w:eastAsia="Times New Roman" w:hAnsi="Gill Sans MT" w:cs="Times New Roman"/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E672A"/>
    <w:pPr>
      <w:keepNext/>
      <w:keepLines/>
      <w:numPr>
        <w:ilvl w:val="2"/>
        <w:numId w:val="3"/>
      </w:numPr>
      <w:spacing w:before="360" w:after="120"/>
      <w:contextualSpacing/>
      <w:jc w:val="both"/>
      <w:outlineLvl w:val="2"/>
    </w:pPr>
    <w:rPr>
      <w:rFonts w:ascii="Gill Sans MT" w:eastAsia="Times New Roman" w:hAnsi="Gill Sans MT" w:cs="Times New Roman"/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E672A"/>
    <w:pPr>
      <w:keepNext/>
      <w:keepLines/>
      <w:numPr>
        <w:ilvl w:val="3"/>
        <w:numId w:val="3"/>
      </w:numPr>
      <w:spacing w:before="360" w:after="120" w:line="264" w:lineRule="auto"/>
      <w:ind w:left="862" w:hanging="862"/>
      <w:contextualSpacing/>
      <w:jc w:val="both"/>
      <w:outlineLvl w:val="3"/>
    </w:pPr>
    <w:rPr>
      <w:rFonts w:ascii="Gill Sans MT" w:eastAsia="Times New Roman" w:hAnsi="Gill Sans MT" w:cs="Times New Roman"/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E672A"/>
    <w:pPr>
      <w:keepNext/>
      <w:keepLines/>
      <w:numPr>
        <w:ilvl w:val="4"/>
        <w:numId w:val="3"/>
      </w:numPr>
      <w:spacing w:before="360" w:after="120" w:line="264" w:lineRule="auto"/>
      <w:ind w:left="1009" w:hanging="1009"/>
      <w:contextualSpacing/>
      <w:jc w:val="both"/>
      <w:outlineLvl w:val="4"/>
    </w:pPr>
    <w:rPr>
      <w:rFonts w:ascii="Gill Sans MT" w:eastAsia="Times New Roman" w:hAnsi="Gill Sans MT" w:cs="Times New Roman"/>
      <w:b/>
      <w:iCs/>
      <w:color w:val="B2BC00"/>
    </w:rPr>
  </w:style>
  <w:style w:type="paragraph" w:styleId="Nadpis6">
    <w:name w:val="heading 6"/>
    <w:basedOn w:val="Normln"/>
    <w:next w:val="Normln"/>
    <w:link w:val="Nadpis6Char"/>
    <w:unhideWhenUsed/>
    <w:rsid w:val="000E672A"/>
    <w:pPr>
      <w:keepNext/>
      <w:keepLines/>
      <w:numPr>
        <w:ilvl w:val="5"/>
        <w:numId w:val="3"/>
      </w:numPr>
      <w:spacing w:before="80" w:line="264" w:lineRule="auto"/>
      <w:jc w:val="both"/>
      <w:outlineLvl w:val="5"/>
    </w:pPr>
    <w:rPr>
      <w:rFonts w:ascii="Gill Sans MT" w:eastAsia="Times New Roman" w:hAnsi="Gill Sans MT" w:cs="Times New Roman"/>
      <w:color w:val="B2BC00"/>
      <w:szCs w:val="21"/>
    </w:rPr>
  </w:style>
  <w:style w:type="paragraph" w:styleId="Nadpis7">
    <w:name w:val="heading 7"/>
    <w:basedOn w:val="Normln"/>
    <w:next w:val="Normln"/>
    <w:link w:val="Nadpis7Char"/>
    <w:unhideWhenUsed/>
    <w:rsid w:val="000E672A"/>
    <w:pPr>
      <w:keepNext/>
      <w:keepLines/>
      <w:numPr>
        <w:ilvl w:val="6"/>
        <w:numId w:val="3"/>
      </w:numPr>
      <w:spacing w:before="80" w:line="264" w:lineRule="auto"/>
      <w:jc w:val="both"/>
      <w:outlineLvl w:val="6"/>
    </w:pPr>
    <w:rPr>
      <w:rFonts w:ascii="Gill Sans MT" w:eastAsia="Times New Roman" w:hAnsi="Gill Sans MT" w:cs="Times New Roman"/>
      <w:i/>
      <w:iCs/>
      <w:color w:val="F3FF2D"/>
      <w:szCs w:val="21"/>
    </w:rPr>
  </w:style>
  <w:style w:type="paragraph" w:styleId="Nadpis8">
    <w:name w:val="heading 8"/>
    <w:basedOn w:val="Normln"/>
    <w:next w:val="Normln"/>
    <w:link w:val="Nadpis8Char"/>
    <w:unhideWhenUsed/>
    <w:rsid w:val="000E672A"/>
    <w:pPr>
      <w:keepNext/>
      <w:keepLines/>
      <w:numPr>
        <w:ilvl w:val="7"/>
        <w:numId w:val="3"/>
      </w:numPr>
      <w:spacing w:before="80" w:line="264" w:lineRule="auto"/>
      <w:jc w:val="both"/>
      <w:outlineLvl w:val="7"/>
    </w:pPr>
    <w:rPr>
      <w:rFonts w:ascii="Gill Sans MT" w:eastAsia="Times New Roman" w:hAnsi="Gill Sans MT" w:cs="Times New Roman"/>
      <w:smallCaps/>
      <w:color w:val="F3FF2D"/>
      <w:szCs w:val="21"/>
    </w:rPr>
  </w:style>
  <w:style w:type="paragraph" w:styleId="Nadpis9">
    <w:name w:val="heading 9"/>
    <w:basedOn w:val="Normln"/>
    <w:next w:val="Normln"/>
    <w:link w:val="Nadpis9Char"/>
    <w:unhideWhenUsed/>
    <w:rsid w:val="000E672A"/>
    <w:pPr>
      <w:keepNext/>
      <w:keepLines/>
      <w:numPr>
        <w:ilvl w:val="8"/>
        <w:numId w:val="3"/>
      </w:numPr>
      <w:spacing w:before="80" w:line="264" w:lineRule="auto"/>
      <w:jc w:val="both"/>
      <w:outlineLvl w:val="8"/>
    </w:pPr>
    <w:rPr>
      <w:rFonts w:ascii="Gill Sans MT" w:eastAsia="Times New Roman" w:hAnsi="Gill Sans MT" w:cs="Times New Roman"/>
      <w:i/>
      <w:iCs/>
      <w:smallCaps/>
      <w:color w:val="F3FF2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01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1A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1A1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1"/>
    <w:qFormat/>
    <w:rsid w:val="00601A14"/>
    <w:pPr>
      <w:ind w:left="720"/>
    </w:pPr>
    <w:rPr>
      <w:rFonts w:ascii="Calibri" w:eastAsia="Calibri" w:hAnsi="Calibri" w:cs="Times New Roman"/>
      <w:sz w:val="16"/>
      <w:lang w:val="x-none" w:eastAsia="x-none"/>
    </w:rPr>
  </w:style>
  <w:style w:type="character" w:customStyle="1" w:styleId="OdstavecseseznamemChar">
    <w:name w:val="Odstavec se seznamem Char"/>
    <w:link w:val="Odstavecseseznamem"/>
    <w:uiPriority w:val="1"/>
    <w:rsid w:val="00601A14"/>
    <w:rPr>
      <w:rFonts w:ascii="Calibri" w:eastAsia="Calibri" w:hAnsi="Calibri" w:cs="Times New Roman"/>
      <w:sz w:val="1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A1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E672A"/>
    <w:rPr>
      <w:rFonts w:ascii="Gill Sans MT" w:eastAsia="Times New Roman" w:hAnsi="Gill Sans MT" w:cs="Times New Roman"/>
      <w:b/>
      <w:color w:val="B2BC00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0E672A"/>
    <w:rPr>
      <w:rFonts w:ascii="Gill Sans MT" w:eastAsia="Times New Roman" w:hAnsi="Gill Sans MT" w:cs="Times New Roman"/>
      <w:b/>
      <w:color w:val="B2BC0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0E672A"/>
    <w:rPr>
      <w:rFonts w:ascii="Gill Sans MT" w:eastAsia="Times New Roman" w:hAnsi="Gill Sans MT" w:cs="Times New Roman"/>
      <w:b/>
      <w:color w:val="B2BC00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0E672A"/>
    <w:rPr>
      <w:rFonts w:ascii="Gill Sans MT" w:eastAsia="Times New Roman" w:hAnsi="Gill Sans MT" w:cs="Times New Roman"/>
      <w:b/>
      <w:color w:val="B2BC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E672A"/>
    <w:rPr>
      <w:rFonts w:ascii="Gill Sans MT" w:eastAsia="Times New Roman" w:hAnsi="Gill Sans MT" w:cs="Times New Roman"/>
      <w:b/>
      <w:iCs/>
      <w:color w:val="B2BC00"/>
    </w:rPr>
  </w:style>
  <w:style w:type="character" w:customStyle="1" w:styleId="Nadpis6Char">
    <w:name w:val="Nadpis 6 Char"/>
    <w:basedOn w:val="Standardnpsmoodstavce"/>
    <w:link w:val="Nadpis6"/>
    <w:rsid w:val="000E672A"/>
    <w:rPr>
      <w:rFonts w:ascii="Gill Sans MT" w:eastAsia="Times New Roman" w:hAnsi="Gill Sans MT" w:cs="Times New Roman"/>
      <w:color w:val="B2BC00"/>
      <w:szCs w:val="21"/>
    </w:rPr>
  </w:style>
  <w:style w:type="character" w:customStyle="1" w:styleId="Nadpis7Char">
    <w:name w:val="Nadpis 7 Char"/>
    <w:basedOn w:val="Standardnpsmoodstavce"/>
    <w:link w:val="Nadpis7"/>
    <w:rsid w:val="000E672A"/>
    <w:rPr>
      <w:rFonts w:ascii="Gill Sans MT" w:eastAsia="Times New Roman" w:hAnsi="Gill Sans MT" w:cs="Times New Roman"/>
      <w:i/>
      <w:iCs/>
      <w:color w:val="F3FF2D"/>
      <w:szCs w:val="21"/>
    </w:rPr>
  </w:style>
  <w:style w:type="character" w:customStyle="1" w:styleId="Nadpis8Char">
    <w:name w:val="Nadpis 8 Char"/>
    <w:basedOn w:val="Standardnpsmoodstavce"/>
    <w:link w:val="Nadpis8"/>
    <w:rsid w:val="000E672A"/>
    <w:rPr>
      <w:rFonts w:ascii="Gill Sans MT" w:eastAsia="Times New Roman" w:hAnsi="Gill Sans MT" w:cs="Times New Roman"/>
      <w:smallCaps/>
      <w:color w:val="F3FF2D"/>
      <w:szCs w:val="21"/>
    </w:rPr>
  </w:style>
  <w:style w:type="character" w:customStyle="1" w:styleId="Nadpis9Char">
    <w:name w:val="Nadpis 9 Char"/>
    <w:basedOn w:val="Standardnpsmoodstavce"/>
    <w:link w:val="Nadpis9"/>
    <w:rsid w:val="000E672A"/>
    <w:rPr>
      <w:rFonts w:ascii="Gill Sans MT" w:eastAsia="Times New Roman" w:hAnsi="Gill Sans MT" w:cs="Times New Roman"/>
      <w:i/>
      <w:iCs/>
      <w:smallCaps/>
      <w:color w:val="F3FF2D"/>
      <w:szCs w:val="21"/>
    </w:rPr>
  </w:style>
  <w:style w:type="paragraph" w:customStyle="1" w:styleId="RLProhlensmluvnchstran">
    <w:name w:val="RL Prohlášení smluvních stran"/>
    <w:basedOn w:val="Normln"/>
    <w:link w:val="RLProhlensmluvnchstranChar"/>
    <w:rsid w:val="009C6190"/>
    <w:pPr>
      <w:spacing w:after="120" w:line="280" w:lineRule="exact"/>
      <w:jc w:val="center"/>
    </w:pPr>
    <w:rPr>
      <w:rFonts w:ascii="Calibri" w:eastAsia="Times New Roman" w:hAnsi="Calibri" w:cs="Times New Roman"/>
      <w:b/>
      <w:szCs w:val="24"/>
      <w:lang w:eastAsia="cs-CZ"/>
    </w:rPr>
  </w:style>
  <w:style w:type="character" w:customStyle="1" w:styleId="RLProhlensmluvnchstranChar">
    <w:name w:val="RL Prohlášení smluvních stran Char"/>
    <w:link w:val="RLProhlensmluvnchstran"/>
    <w:rsid w:val="009C6190"/>
    <w:rPr>
      <w:rFonts w:ascii="Calibri" w:eastAsia="Times New Roman" w:hAnsi="Calibri" w:cs="Times New Roman"/>
      <w:b/>
      <w:szCs w:val="24"/>
      <w:lang w:eastAsia="cs-CZ"/>
    </w:rPr>
  </w:style>
  <w:style w:type="paragraph" w:styleId="Seznamsodrkami2">
    <w:name w:val="List Bullet 2"/>
    <w:basedOn w:val="Normln"/>
    <w:uiPriority w:val="99"/>
    <w:unhideWhenUsed/>
    <w:rsid w:val="008E7A8A"/>
    <w:pPr>
      <w:numPr>
        <w:numId w:val="6"/>
      </w:numPr>
      <w:spacing w:after="120" w:line="264" w:lineRule="auto"/>
      <w:contextualSpacing/>
      <w:jc w:val="both"/>
    </w:pPr>
    <w:rPr>
      <w:rFonts w:ascii="Gill Sans MT" w:eastAsia="Times New Roman" w:hAnsi="Gill Sans MT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SCCM-PSS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 Vladimír</dc:creator>
  <cp:keywords/>
  <dc:description/>
  <cp:lastModifiedBy>Velas Vladimír</cp:lastModifiedBy>
  <cp:revision>3</cp:revision>
  <dcterms:created xsi:type="dcterms:W3CDTF">2018-03-22T12:56:00Z</dcterms:created>
  <dcterms:modified xsi:type="dcterms:W3CDTF">2018-03-22T12:57:00Z</dcterms:modified>
</cp:coreProperties>
</file>