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9C" w:rsidRDefault="00C45D9C" w:rsidP="00C45D9C">
      <w:pPr>
        <w:pStyle w:val="Zhlav"/>
        <w:jc w:val="right"/>
      </w:pPr>
      <w:r w:rsidRPr="00FB23DF">
        <w:t>Číslo v CES</w:t>
      </w:r>
      <w:r w:rsidRPr="00C45D9C">
        <w:t xml:space="preserve">: </w:t>
      </w:r>
      <w:r w:rsidRPr="00C45D9C">
        <w:rPr>
          <w:highlight w:val="green"/>
        </w:rPr>
        <w:t>BUDE DOPLNĚNO</w:t>
      </w:r>
    </w:p>
    <w:p w:rsidR="00080C92" w:rsidRDefault="00080C92" w:rsidP="00EB351A">
      <w:pPr>
        <w:pStyle w:val="Zhlav"/>
        <w:spacing w:after="0"/>
        <w:jc w:val="right"/>
      </w:pPr>
      <w:r>
        <w:t>Č. j.: MF-</w:t>
      </w:r>
      <w:r w:rsidRPr="00080C92">
        <w:rPr>
          <w:highlight w:val="green"/>
        </w:rPr>
        <w:t xml:space="preserve"> </w:t>
      </w:r>
      <w:r w:rsidRPr="00C45D9C">
        <w:rPr>
          <w:highlight w:val="green"/>
        </w:rPr>
        <w:t>BUDE DOPLNĚNO</w:t>
      </w:r>
    </w:p>
    <w:p w:rsidR="00CC7293" w:rsidRDefault="00CC7293" w:rsidP="00EB351A">
      <w:pPr>
        <w:pStyle w:val="Zhlav"/>
        <w:spacing w:after="0"/>
        <w:jc w:val="right"/>
      </w:pPr>
    </w:p>
    <w:p w:rsidR="00C45D9C" w:rsidRDefault="00C45D9C" w:rsidP="00C45D9C">
      <w:pPr>
        <w:pStyle w:val="Zhlav"/>
        <w:jc w:val="right"/>
      </w:pPr>
    </w:p>
    <w:p w:rsidR="00C45D9C" w:rsidRPr="00C45D9C" w:rsidRDefault="00C45D9C" w:rsidP="00C45D9C">
      <w:pPr>
        <w:pStyle w:val="Zhlav"/>
        <w:jc w:val="center"/>
        <w:rPr>
          <w:b/>
          <w:sz w:val="48"/>
          <w:szCs w:val="48"/>
        </w:rPr>
      </w:pPr>
      <w:r w:rsidRPr="00C45D9C">
        <w:rPr>
          <w:b/>
          <w:sz w:val="48"/>
          <w:szCs w:val="48"/>
        </w:rPr>
        <w:t>SMLOUVA O DÍLO</w:t>
      </w:r>
    </w:p>
    <w:p w:rsidR="00C45D9C" w:rsidRPr="00EB351A" w:rsidRDefault="00EB351A" w:rsidP="00C45D9C">
      <w:pPr>
        <w:pStyle w:val="Zhlav"/>
        <w:jc w:val="center"/>
        <w:rPr>
          <w:b/>
          <w:sz w:val="32"/>
          <w:szCs w:val="32"/>
        </w:rPr>
      </w:pPr>
      <w:r w:rsidRPr="00EB351A">
        <w:rPr>
          <w:b/>
          <w:sz w:val="32"/>
          <w:szCs w:val="32"/>
        </w:rPr>
        <w:t>na zajištění pravidelných pozáručních servisních prohlídek a havarijního servisu dveří, vrat, rolet a dalších zařízení s elektrickým pohonem</w:t>
      </w:r>
    </w:p>
    <w:p w:rsidR="00C45D9C" w:rsidRDefault="00C45D9C" w:rsidP="00C45D9C">
      <w:pPr>
        <w:pStyle w:val="Zhlav"/>
        <w:jc w:val="center"/>
      </w:pPr>
      <w:r w:rsidRPr="00C45D9C">
        <w:t xml:space="preserve">uzavřená </w:t>
      </w:r>
      <w:proofErr w:type="gramStart"/>
      <w:r w:rsidRPr="00C45D9C">
        <w:t>mezi</w:t>
      </w:r>
      <w:proofErr w:type="gramEnd"/>
    </w:p>
    <w:p w:rsidR="00C45D9C" w:rsidRDefault="00C45D9C" w:rsidP="00C45D9C">
      <w:pPr>
        <w:pStyle w:val="Zhlav"/>
        <w:jc w:val="center"/>
      </w:pPr>
    </w:p>
    <w:p w:rsidR="00C45D9C" w:rsidRDefault="00C45D9C" w:rsidP="00F51B34">
      <w:pPr>
        <w:pStyle w:val="Zhlav"/>
        <w:spacing w:after="0"/>
        <w:jc w:val="center"/>
      </w:pPr>
    </w:p>
    <w:p w:rsidR="00C45D9C" w:rsidRPr="00E352F7" w:rsidRDefault="00C45D9C" w:rsidP="00C45D9C">
      <w:pPr>
        <w:pStyle w:val="Odstavecseseznamem"/>
        <w:numPr>
          <w:ilvl w:val="0"/>
          <w:numId w:val="3"/>
        </w:numPr>
        <w:ind w:left="567" w:hanging="567"/>
        <w:rPr>
          <w:b/>
          <w:snapToGrid w:val="0"/>
        </w:rPr>
      </w:pPr>
      <w:r w:rsidRPr="00E352F7">
        <w:rPr>
          <w:b/>
          <w:snapToGrid w:val="0"/>
        </w:rPr>
        <w:t xml:space="preserve">Česká republika -  Ministerstvo financí </w:t>
      </w:r>
    </w:p>
    <w:p w:rsidR="00C45D9C" w:rsidRPr="007E62B8" w:rsidRDefault="00C45D9C" w:rsidP="00C45D9C">
      <w:pPr>
        <w:ind w:firstLine="567"/>
        <w:rPr>
          <w:snapToGrid w:val="0"/>
        </w:rPr>
      </w:pPr>
      <w:r>
        <w:rPr>
          <w:snapToGrid w:val="0"/>
        </w:rPr>
        <w:t>se sídlem</w:t>
      </w:r>
      <w:r w:rsidRPr="007E62B8">
        <w:rPr>
          <w:snapToGrid w:val="0"/>
        </w:rPr>
        <w:t xml:space="preserve">: Letenská 15, </w:t>
      </w:r>
      <w:r w:rsidRPr="007E62B8">
        <w:t>Praha 1</w:t>
      </w:r>
      <w:r>
        <w:t xml:space="preserve"> – Malá Strana, PSČ: 118 10</w:t>
      </w:r>
    </w:p>
    <w:p w:rsidR="00C45D9C" w:rsidRDefault="00C45D9C" w:rsidP="00C45D9C">
      <w:pPr>
        <w:ind w:firstLine="567"/>
        <w:rPr>
          <w:snapToGrid w:val="0"/>
        </w:rPr>
      </w:pPr>
      <w:r>
        <w:rPr>
          <w:snapToGrid w:val="0"/>
        </w:rPr>
        <w:t xml:space="preserve">zastoupená: </w:t>
      </w:r>
      <w:r w:rsidRPr="007E62B8">
        <w:rPr>
          <w:snapToGrid w:val="0"/>
        </w:rPr>
        <w:t>Michal</w:t>
      </w:r>
      <w:r>
        <w:rPr>
          <w:snapToGrid w:val="0"/>
        </w:rPr>
        <w:t>em</w:t>
      </w:r>
      <w:r w:rsidRPr="007E62B8">
        <w:rPr>
          <w:snapToGrid w:val="0"/>
        </w:rPr>
        <w:t xml:space="preserve"> Kříž</w:t>
      </w:r>
      <w:r>
        <w:rPr>
          <w:snapToGrid w:val="0"/>
        </w:rPr>
        <w:t xml:space="preserve">em, ředitelem </w:t>
      </w:r>
      <w:r w:rsidRPr="007E62B8">
        <w:rPr>
          <w:snapToGrid w:val="0"/>
        </w:rPr>
        <w:t xml:space="preserve">odboru </w:t>
      </w:r>
      <w:r>
        <w:rPr>
          <w:snapToGrid w:val="0"/>
        </w:rPr>
        <w:t>13 – H</w:t>
      </w:r>
      <w:r w:rsidRPr="007E62B8">
        <w:rPr>
          <w:snapToGrid w:val="0"/>
        </w:rPr>
        <w:t xml:space="preserve">ospodářská správa   </w:t>
      </w:r>
    </w:p>
    <w:p w:rsidR="00C45D9C" w:rsidRPr="007E62B8" w:rsidRDefault="00C45D9C" w:rsidP="00C45D9C">
      <w:pPr>
        <w:ind w:firstLine="567"/>
        <w:rPr>
          <w:snapToGrid w:val="0"/>
        </w:rPr>
      </w:pPr>
      <w:r w:rsidRPr="007E62B8">
        <w:rPr>
          <w:snapToGrid w:val="0"/>
        </w:rPr>
        <w:t>IČ</w:t>
      </w:r>
      <w:r w:rsidR="00810DA4">
        <w:rPr>
          <w:snapToGrid w:val="0"/>
        </w:rPr>
        <w:t>O</w:t>
      </w:r>
      <w:r w:rsidRPr="007E62B8">
        <w:rPr>
          <w:snapToGrid w:val="0"/>
        </w:rPr>
        <w:t>:  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sidRPr="007E62B8">
        <w:rPr>
          <w:snapToGrid w:val="0"/>
        </w:rPr>
        <w:t>DIČ: CZ</w:t>
      </w:r>
      <w:r>
        <w:rPr>
          <w:snapToGrid w:val="0"/>
        </w:rPr>
        <w:t xml:space="preserve"> </w:t>
      </w:r>
      <w:r w:rsidRPr="007E62B8">
        <w:rPr>
          <w:snapToGrid w:val="0"/>
        </w:rPr>
        <w:t>000</w:t>
      </w:r>
      <w:r>
        <w:rPr>
          <w:snapToGrid w:val="0"/>
        </w:rPr>
        <w:t xml:space="preserve"> </w:t>
      </w:r>
      <w:r w:rsidRPr="007E62B8">
        <w:rPr>
          <w:snapToGrid w:val="0"/>
        </w:rPr>
        <w:t>06</w:t>
      </w:r>
      <w:r>
        <w:rPr>
          <w:snapToGrid w:val="0"/>
        </w:rPr>
        <w:t xml:space="preserve"> </w:t>
      </w:r>
      <w:r w:rsidRPr="007E62B8">
        <w:rPr>
          <w:snapToGrid w:val="0"/>
        </w:rPr>
        <w:t>947</w:t>
      </w:r>
    </w:p>
    <w:p w:rsidR="00C45D9C" w:rsidRPr="007E62B8" w:rsidRDefault="00C45D9C" w:rsidP="00C45D9C">
      <w:pPr>
        <w:ind w:firstLine="567"/>
        <w:rPr>
          <w:snapToGrid w:val="0"/>
        </w:rPr>
      </w:pPr>
      <w:r>
        <w:rPr>
          <w:snapToGrid w:val="0"/>
        </w:rPr>
        <w:t>b</w:t>
      </w:r>
      <w:r w:rsidRPr="007E62B8">
        <w:rPr>
          <w:snapToGrid w:val="0"/>
        </w:rPr>
        <w:t>ankovní spojení: ČNB Praha 1, č</w:t>
      </w:r>
      <w:r>
        <w:rPr>
          <w:snapToGrid w:val="0"/>
        </w:rPr>
        <w:t>íslo</w:t>
      </w:r>
      <w:r w:rsidRPr="007E62B8">
        <w:rPr>
          <w:snapToGrid w:val="0"/>
        </w:rPr>
        <w:t xml:space="preserve"> ú</w:t>
      </w:r>
      <w:r>
        <w:rPr>
          <w:snapToGrid w:val="0"/>
        </w:rPr>
        <w:t>čtu:</w:t>
      </w:r>
      <w:r w:rsidRPr="007E62B8">
        <w:rPr>
          <w:snapToGrid w:val="0"/>
        </w:rPr>
        <w:t xml:space="preserve"> 3328001/0710</w:t>
      </w:r>
    </w:p>
    <w:p w:rsidR="00C45D9C" w:rsidRPr="007E62B8" w:rsidRDefault="00C45D9C" w:rsidP="00C45D9C">
      <w:pPr>
        <w:ind w:firstLine="567"/>
        <w:rPr>
          <w:snapToGrid w:val="0"/>
        </w:rPr>
      </w:pPr>
      <w:r>
        <w:rPr>
          <w:snapToGrid w:val="0"/>
        </w:rPr>
        <w:t xml:space="preserve">na straně jedné </w:t>
      </w:r>
      <w:r w:rsidRPr="007E62B8">
        <w:rPr>
          <w:snapToGrid w:val="0"/>
        </w:rPr>
        <w:t>(dále jen „</w:t>
      </w:r>
      <w:r w:rsidR="00EB351A">
        <w:rPr>
          <w:b/>
          <w:snapToGrid w:val="0"/>
        </w:rPr>
        <w:t>Objednatel</w:t>
      </w:r>
      <w:r w:rsidRPr="007E62B8">
        <w:rPr>
          <w:snapToGrid w:val="0"/>
        </w:rPr>
        <w:t>“)</w:t>
      </w:r>
    </w:p>
    <w:p w:rsidR="00C45D9C" w:rsidRPr="007E62B8" w:rsidRDefault="00C45D9C" w:rsidP="00EB351A">
      <w:pPr>
        <w:spacing w:after="0"/>
        <w:rPr>
          <w:snapToGrid w:val="0"/>
        </w:rPr>
      </w:pPr>
    </w:p>
    <w:p w:rsidR="00C45D9C" w:rsidRPr="007E62B8" w:rsidRDefault="00C45D9C" w:rsidP="00EB351A">
      <w:pPr>
        <w:spacing w:after="0"/>
        <w:ind w:firstLine="567"/>
        <w:rPr>
          <w:snapToGrid w:val="0"/>
        </w:rPr>
      </w:pPr>
      <w:r w:rsidRPr="007E62B8">
        <w:rPr>
          <w:snapToGrid w:val="0"/>
        </w:rPr>
        <w:t>a</w:t>
      </w:r>
    </w:p>
    <w:p w:rsidR="00C45D9C" w:rsidRPr="007E62B8" w:rsidRDefault="00C45D9C" w:rsidP="00EB351A">
      <w:pPr>
        <w:spacing w:after="0"/>
        <w:rPr>
          <w:snapToGrid w:val="0"/>
        </w:rPr>
      </w:pPr>
    </w:p>
    <w:p w:rsidR="00C45D9C" w:rsidRPr="00E352F7" w:rsidRDefault="00C45D9C" w:rsidP="00C45D9C">
      <w:pPr>
        <w:pStyle w:val="Odstavecseseznamem"/>
        <w:numPr>
          <w:ilvl w:val="0"/>
          <w:numId w:val="3"/>
        </w:numPr>
        <w:ind w:left="567" w:hanging="567"/>
        <w:rPr>
          <w:snapToGrid w:val="0"/>
          <w:highlight w:val="yellow"/>
        </w:rPr>
      </w:pPr>
      <w:r>
        <w:rPr>
          <w:b/>
          <w:snapToGrid w:val="0"/>
          <w:highlight w:val="yellow"/>
        </w:rPr>
        <w:t xml:space="preserve">Název; obchodní firma </w:t>
      </w:r>
      <w:r w:rsidR="00F51B34">
        <w:rPr>
          <w:rFonts w:cs="Arial"/>
          <w:b/>
          <w:snapToGrid w:val="0"/>
          <w:highlight w:val="yellow"/>
        </w:rPr>
        <w:t>[</w:t>
      </w:r>
      <w:r w:rsidR="00F51B34">
        <w:rPr>
          <w:b/>
          <w:snapToGrid w:val="0"/>
          <w:highlight w:val="yellow"/>
        </w:rPr>
        <w:t xml:space="preserve">DOPLNÍ </w:t>
      </w:r>
      <w:r w:rsidR="00EB351A">
        <w:rPr>
          <w:b/>
          <w:snapToGrid w:val="0"/>
          <w:highlight w:val="yellow"/>
        </w:rPr>
        <w:t>POSKYTOVA</w:t>
      </w:r>
      <w:r w:rsidR="00F51B34">
        <w:rPr>
          <w:b/>
          <w:snapToGrid w:val="0"/>
          <w:highlight w:val="yellow"/>
        </w:rPr>
        <w:t>TEL</w:t>
      </w:r>
      <w:r w:rsidR="00F51B34">
        <w:rPr>
          <w:rFonts w:cs="Arial"/>
          <w:b/>
          <w:snapToGrid w:val="0"/>
          <w:highlight w:val="yellow"/>
        </w:rPr>
        <w:t>]</w:t>
      </w:r>
    </w:p>
    <w:p w:rsidR="00F51B34" w:rsidRDefault="00C45D9C" w:rsidP="00F51B34">
      <w:pPr>
        <w:ind w:firstLine="567"/>
        <w:rPr>
          <w:rFonts w:cs="Arial"/>
          <w:snapToGrid w:val="0"/>
        </w:rPr>
      </w:pPr>
      <w:r>
        <w:rPr>
          <w:snapToGrid w:val="0"/>
        </w:rPr>
        <w:t>se sídlem</w:t>
      </w:r>
      <w:r w:rsidR="00810DA4">
        <w:rPr>
          <w:snapToGrid w:val="0"/>
        </w:rPr>
        <w:t>:</w:t>
      </w:r>
      <w:r w:rsidR="00CC7293">
        <w:rPr>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p>
    <w:p w:rsidR="00C45D9C" w:rsidRPr="00E352F7" w:rsidRDefault="00C45D9C" w:rsidP="00F51B34">
      <w:pPr>
        <w:ind w:left="567"/>
        <w:rPr>
          <w:snapToGrid w:val="0"/>
        </w:rPr>
      </w:pPr>
      <w:r>
        <w:rPr>
          <w:snapToGrid w:val="0"/>
        </w:rPr>
        <w:t xml:space="preserve">zapsaná v Obchodním rejstříku vedeném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r>
        <w:rPr>
          <w:snapToGrid w:val="0"/>
        </w:rPr>
        <w:t xml:space="preserve">, oddíl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r>
        <w:rPr>
          <w:snapToGrid w:val="0"/>
        </w:rPr>
        <w:t xml:space="preserve">, vložka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p>
    <w:p w:rsidR="00C45D9C" w:rsidRDefault="00C45D9C" w:rsidP="00C45D9C">
      <w:pPr>
        <w:ind w:firstLine="567"/>
        <w:rPr>
          <w:snapToGrid w:val="0"/>
        </w:rPr>
      </w:pPr>
      <w:r>
        <w:rPr>
          <w:snapToGrid w:val="0"/>
        </w:rPr>
        <w:t>zastoupená:</w:t>
      </w:r>
      <w:r w:rsidRPr="00CC7293">
        <w:rPr>
          <w:rFonts w:cs="Arial"/>
          <w:b/>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p>
    <w:p w:rsidR="00C45D9C" w:rsidRDefault="00C45D9C" w:rsidP="00C45D9C">
      <w:pPr>
        <w:ind w:firstLine="567"/>
        <w:rPr>
          <w:snapToGrid w:val="0"/>
        </w:rPr>
      </w:pPr>
      <w:r w:rsidRPr="007E62B8">
        <w:rPr>
          <w:snapToGrid w:val="0"/>
        </w:rPr>
        <w:t>IČ</w:t>
      </w:r>
      <w:r w:rsidR="00810DA4">
        <w:rPr>
          <w:snapToGrid w:val="0"/>
        </w:rPr>
        <w:t>O</w:t>
      </w:r>
      <w:r w:rsidRPr="007E62B8">
        <w:rPr>
          <w:snapToGrid w:val="0"/>
        </w:rPr>
        <w:t xml:space="preserve">: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r w:rsidRPr="007E62B8">
        <w:rPr>
          <w:snapToGrid w:val="0"/>
        </w:rPr>
        <w:t xml:space="preserve"> </w:t>
      </w:r>
    </w:p>
    <w:p w:rsidR="00C45D9C" w:rsidRPr="00E352F7" w:rsidRDefault="00C45D9C" w:rsidP="00C45D9C">
      <w:pPr>
        <w:ind w:firstLine="567"/>
        <w:rPr>
          <w:snapToGrid w:val="0"/>
        </w:rPr>
      </w:pPr>
      <w:r w:rsidRPr="007E62B8">
        <w:rPr>
          <w:snapToGrid w:val="0"/>
        </w:rPr>
        <w:t xml:space="preserve">DIČ: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p>
    <w:p w:rsidR="00C45D9C" w:rsidRDefault="00C45D9C" w:rsidP="00C45D9C">
      <w:pPr>
        <w:ind w:firstLine="567"/>
        <w:rPr>
          <w:rFonts w:cs="Arial"/>
          <w:snapToGrid w:val="0"/>
        </w:rPr>
      </w:pPr>
      <w:r>
        <w:rPr>
          <w:snapToGrid w:val="0"/>
        </w:rPr>
        <w:t>b</w:t>
      </w:r>
      <w:r w:rsidRPr="007E62B8">
        <w:rPr>
          <w:snapToGrid w:val="0"/>
        </w:rPr>
        <w:t xml:space="preserve">ankovní spojení: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r w:rsidR="00CC7293">
        <w:rPr>
          <w:rFonts w:cs="Arial"/>
          <w:snapToGrid w:val="0"/>
        </w:rPr>
        <w:t xml:space="preserve">, </w:t>
      </w:r>
      <w:r>
        <w:rPr>
          <w:rFonts w:cs="Arial"/>
          <w:snapToGrid w:val="0"/>
        </w:rPr>
        <w:t xml:space="preserve">číslo účtu: </w:t>
      </w:r>
      <w:r w:rsidR="00F51B34" w:rsidRPr="00F51B34">
        <w:rPr>
          <w:rFonts w:cs="Arial"/>
          <w:snapToGrid w:val="0"/>
        </w:rPr>
        <w:t>[</w:t>
      </w:r>
      <w:r w:rsidR="00F51B34" w:rsidRPr="00F51B34">
        <w:rPr>
          <w:rFonts w:cs="Arial"/>
          <w:snapToGrid w:val="0"/>
          <w:highlight w:val="yellow"/>
        </w:rPr>
        <w:t xml:space="preserve">DOPLNÍ </w:t>
      </w:r>
      <w:r w:rsidR="00EB351A">
        <w:rPr>
          <w:rFonts w:cs="Arial"/>
          <w:snapToGrid w:val="0"/>
          <w:highlight w:val="yellow"/>
        </w:rPr>
        <w:t>POSKYTO</w:t>
      </w:r>
      <w:r w:rsidR="00F51B34" w:rsidRPr="00F51B34">
        <w:rPr>
          <w:rFonts w:cs="Arial"/>
          <w:snapToGrid w:val="0"/>
          <w:highlight w:val="yellow"/>
        </w:rPr>
        <w:t>VATEL</w:t>
      </w:r>
      <w:r w:rsidR="00F51B34" w:rsidRPr="00F51B34">
        <w:rPr>
          <w:rFonts w:cs="Arial"/>
          <w:snapToGrid w:val="0"/>
        </w:rPr>
        <w:t>]</w:t>
      </w:r>
    </w:p>
    <w:p w:rsidR="00C45D9C" w:rsidRPr="007E62B8" w:rsidRDefault="00C45D9C" w:rsidP="00EB351A">
      <w:pPr>
        <w:spacing w:after="0"/>
        <w:ind w:firstLine="567"/>
        <w:rPr>
          <w:snapToGrid w:val="0"/>
        </w:rPr>
      </w:pPr>
      <w:r>
        <w:rPr>
          <w:snapToGrid w:val="0"/>
        </w:rPr>
        <w:t xml:space="preserve">na straně druhé </w:t>
      </w:r>
      <w:r w:rsidRPr="007E62B8">
        <w:rPr>
          <w:snapToGrid w:val="0"/>
        </w:rPr>
        <w:t>(dále jen „</w:t>
      </w:r>
      <w:r w:rsidR="00EB351A" w:rsidRPr="00EB351A">
        <w:rPr>
          <w:b/>
          <w:snapToGrid w:val="0"/>
        </w:rPr>
        <w:t>Poskytovatel</w:t>
      </w:r>
      <w:r w:rsidRPr="007E62B8">
        <w:rPr>
          <w:snapToGrid w:val="0"/>
        </w:rPr>
        <w:t>“)</w:t>
      </w:r>
    </w:p>
    <w:p w:rsidR="00C45D9C" w:rsidRDefault="00C45D9C" w:rsidP="00EB351A">
      <w:pPr>
        <w:spacing w:after="0"/>
        <w:rPr>
          <w:snapToGrid w:val="0"/>
          <w:sz w:val="24"/>
          <w:szCs w:val="24"/>
        </w:rPr>
      </w:pPr>
    </w:p>
    <w:p w:rsidR="00C45D9C" w:rsidRPr="00807F79" w:rsidRDefault="00C45D9C" w:rsidP="00EB351A">
      <w:pPr>
        <w:spacing w:after="0"/>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rsidR="00C45D9C" w:rsidRDefault="00C45D9C" w:rsidP="00EB351A">
      <w:pPr>
        <w:spacing w:after="0"/>
        <w:rPr>
          <w:snapToGrid w:val="0"/>
          <w:sz w:val="24"/>
          <w:szCs w:val="24"/>
        </w:rPr>
      </w:pPr>
    </w:p>
    <w:p w:rsidR="00C45D9C" w:rsidRDefault="00C45D9C" w:rsidP="00EB351A">
      <w:pPr>
        <w:spacing w:after="0"/>
        <w:rPr>
          <w:snapToGrid w:val="0"/>
        </w:rPr>
      </w:pPr>
      <w:r>
        <w:rPr>
          <w:snapToGrid w:val="0"/>
        </w:rPr>
        <w:t xml:space="preserve">Smluvní strany uzavřely níže uvedeného dne, měsíce a roku v souladu s § </w:t>
      </w:r>
      <w:r w:rsidRPr="00EB351A">
        <w:rPr>
          <w:snapToGrid w:val="0"/>
        </w:rPr>
        <w:t xml:space="preserve">2586 a násl. zákona </w:t>
      </w:r>
      <w:r w:rsidRPr="00EB351A">
        <w:rPr>
          <w:snapToGrid w:val="0"/>
        </w:rPr>
        <w:br/>
        <w:t>č. 89/2012 Sb., občanský zákoník (dále jen „</w:t>
      </w:r>
      <w:r w:rsidRPr="00EB351A">
        <w:rPr>
          <w:b/>
          <w:snapToGrid w:val="0"/>
        </w:rPr>
        <w:t>Občanský zákoník</w:t>
      </w:r>
      <w:r w:rsidRPr="00EB351A">
        <w:rPr>
          <w:snapToGrid w:val="0"/>
        </w:rPr>
        <w:t xml:space="preserve">“) a v návaznosti na zákon </w:t>
      </w:r>
      <w:r w:rsidRPr="00EB351A">
        <w:rPr>
          <w:snapToGrid w:val="0"/>
        </w:rPr>
        <w:br/>
        <w:t>č. 134/2016 Sb., o zadávání veřejných zakázek (dále jen „</w:t>
      </w:r>
      <w:r w:rsidRPr="00EB351A">
        <w:rPr>
          <w:b/>
          <w:snapToGrid w:val="0"/>
        </w:rPr>
        <w:t>Zákon o zadávání veřejných zakázek</w:t>
      </w:r>
      <w:r w:rsidRPr="00EB351A">
        <w:rPr>
          <w:snapToGrid w:val="0"/>
        </w:rPr>
        <w:t>“) tuto</w:t>
      </w:r>
      <w:r>
        <w:rPr>
          <w:snapToGrid w:val="0"/>
        </w:rPr>
        <w:t xml:space="preserve"> </w:t>
      </w:r>
    </w:p>
    <w:p w:rsidR="00D761B2" w:rsidRDefault="00C45D9C" w:rsidP="00833A80">
      <w:pPr>
        <w:spacing w:after="0"/>
        <w:jc w:val="center"/>
        <w:rPr>
          <w:snapToGrid w:val="0"/>
        </w:rPr>
      </w:pPr>
      <w:r>
        <w:rPr>
          <w:snapToGrid w:val="0"/>
        </w:rPr>
        <w:t xml:space="preserve">smlouvu </w:t>
      </w:r>
      <w:r w:rsidR="00EB351A">
        <w:rPr>
          <w:snapToGrid w:val="0"/>
        </w:rPr>
        <w:t>o dílo na zajištění pravidelných p</w:t>
      </w:r>
      <w:r w:rsidR="00D761B2">
        <w:rPr>
          <w:snapToGrid w:val="0"/>
        </w:rPr>
        <w:t>ozáručních servisních prohlídek</w:t>
      </w:r>
    </w:p>
    <w:p w:rsidR="00F51B34" w:rsidRDefault="00EB351A" w:rsidP="00833A80">
      <w:pPr>
        <w:spacing w:after="0"/>
        <w:jc w:val="center"/>
        <w:rPr>
          <w:snapToGrid w:val="0"/>
        </w:rPr>
      </w:pPr>
      <w:r>
        <w:rPr>
          <w:snapToGrid w:val="0"/>
        </w:rPr>
        <w:t>a havarijního servisu dveří, vrat, rolet a dalších zařízení s elektrickým pohonem</w:t>
      </w:r>
      <w:r w:rsidR="00833A80">
        <w:rPr>
          <w:snapToGrid w:val="0"/>
        </w:rPr>
        <w:t xml:space="preserve"> </w:t>
      </w:r>
    </w:p>
    <w:p w:rsidR="00C45D9C" w:rsidRDefault="00C45D9C" w:rsidP="00833A80">
      <w:pPr>
        <w:spacing w:after="0"/>
        <w:jc w:val="center"/>
        <w:rPr>
          <w:snapToGrid w:val="0"/>
        </w:rPr>
      </w:pPr>
      <w:r>
        <w:rPr>
          <w:snapToGrid w:val="0"/>
        </w:rPr>
        <w:t xml:space="preserve">(dále jen </w:t>
      </w:r>
      <w:r w:rsidRPr="00E352F7">
        <w:rPr>
          <w:b/>
          <w:snapToGrid w:val="0"/>
        </w:rPr>
        <w:t>Smlouva</w:t>
      </w:r>
      <w:r>
        <w:rPr>
          <w:snapToGrid w:val="0"/>
        </w:rPr>
        <w:t>“)</w:t>
      </w:r>
    </w:p>
    <w:p w:rsidR="00833A80" w:rsidRDefault="00833A80" w:rsidP="00833A80">
      <w:pPr>
        <w:spacing w:after="0"/>
        <w:jc w:val="center"/>
        <w:rPr>
          <w:snapToGrid w:val="0"/>
        </w:rPr>
        <w:sectPr w:rsidR="00833A80">
          <w:pgSz w:w="11906" w:h="16838"/>
          <w:pgMar w:top="1417" w:right="1417" w:bottom="1417" w:left="1417" w:header="708" w:footer="708" w:gutter="0"/>
          <w:cols w:space="708"/>
          <w:docGrid w:linePitch="360"/>
        </w:sectPr>
      </w:pPr>
    </w:p>
    <w:p w:rsidR="00833A80" w:rsidRDefault="00833A80" w:rsidP="00833A80">
      <w:pPr>
        <w:pStyle w:val="Nadpis1"/>
        <w:spacing w:before="0"/>
        <w:rPr>
          <w:snapToGrid w:val="0"/>
        </w:rPr>
      </w:pPr>
      <w:r>
        <w:rPr>
          <w:snapToGrid w:val="0"/>
        </w:rPr>
        <w:lastRenderedPageBreak/>
        <w:t>úvodní ustanovení</w:t>
      </w:r>
    </w:p>
    <w:p w:rsidR="0010308D" w:rsidRPr="007C4482" w:rsidRDefault="0010308D" w:rsidP="0010308D">
      <w:pPr>
        <w:pStyle w:val="Nadpis2"/>
      </w:pPr>
      <w:r w:rsidRPr="00EB351A">
        <w:t>Objednatel u</w:t>
      </w:r>
      <w:r w:rsidRPr="007C4482">
        <w:t>veřejnil informace o veřejné zakázce</w:t>
      </w:r>
      <w:r w:rsidR="00EB351A">
        <w:t xml:space="preserve"> malého rozsahu </w:t>
      </w:r>
      <w:r w:rsidRPr="007C4482">
        <w:t xml:space="preserve">na </w:t>
      </w:r>
      <w:r>
        <w:t>služby</w:t>
      </w:r>
      <w:r w:rsidRPr="007C4482">
        <w:t xml:space="preserve"> s názvem </w:t>
      </w:r>
      <w:r>
        <w:t>„</w:t>
      </w:r>
      <w:r w:rsidR="00910218" w:rsidRPr="00D761B2">
        <w:t>Servis a údržba zařízení s elektrickým pohonem v objektech MF</w:t>
      </w:r>
      <w:r w:rsidRPr="007C4482">
        <w:t>“ (dále jen „</w:t>
      </w:r>
      <w:r w:rsidRPr="00D471CC">
        <w:rPr>
          <w:b/>
        </w:rPr>
        <w:t>Veřejná zakázka</w:t>
      </w:r>
      <w:r w:rsidRPr="007C4482">
        <w:t xml:space="preserve">“), jejímž předmětem je </w:t>
      </w:r>
      <w:r w:rsidR="00910218">
        <w:t>p</w:t>
      </w:r>
      <w:r w:rsidR="00910218" w:rsidRPr="0091483A">
        <w:t xml:space="preserve">ravidelný servis a údržba zařízení s elektrickým pohonem (vrata, dveře, rolety), které jsou instalovány v objektech </w:t>
      </w:r>
      <w:r w:rsidR="00910218">
        <w:t>Objednatele</w:t>
      </w:r>
      <w:r w:rsidR="00910218" w:rsidRPr="0091483A">
        <w:t xml:space="preserve"> na území hl. města Prahy</w:t>
      </w:r>
      <w:r>
        <w:t>.</w:t>
      </w:r>
    </w:p>
    <w:p w:rsidR="0010308D" w:rsidRDefault="00EB351A" w:rsidP="0010308D">
      <w:pPr>
        <w:pStyle w:val="Nadpis2"/>
      </w:pPr>
      <w:r>
        <w:t xml:space="preserve">Poskytovatel </w:t>
      </w:r>
      <w:r w:rsidR="0010308D">
        <w:t xml:space="preserve">projevil zájem podílet se na </w:t>
      </w:r>
      <w:r>
        <w:t>zajišťování pravidelných pozáručních servisních prohlídek a havarijního servisu dveří, vrat, rolet a dalších zařízení s elektrickým pohonem</w:t>
      </w:r>
      <w:r w:rsidR="0010308D">
        <w:t xml:space="preserve"> </w:t>
      </w:r>
      <w:r w:rsidR="00910218">
        <w:br/>
      </w:r>
      <w:r w:rsidR="0010308D">
        <w:t xml:space="preserve">a podal nabídku v rámci Veřejné zakázky. </w:t>
      </w:r>
      <w:r>
        <w:t xml:space="preserve">Poskytovatel </w:t>
      </w:r>
      <w:r w:rsidR="0010308D">
        <w:t xml:space="preserve">splnil všechny požadované kvalifikační předpoklady a další požadavky vyplývající ze zadávacích podmínek. </w:t>
      </w:r>
      <w:r>
        <w:t xml:space="preserve">Objednatel </w:t>
      </w:r>
      <w:r w:rsidR="0010308D">
        <w:t xml:space="preserve">následně rozhodl o výběru </w:t>
      </w:r>
      <w:r>
        <w:t>Poskytovatele</w:t>
      </w:r>
      <w:r w:rsidR="0010308D">
        <w:t>, neboť jeho nabídka byla vybrána jako ekonomicky nejvýhodnější.</w:t>
      </w:r>
    </w:p>
    <w:p w:rsidR="00916B94" w:rsidRDefault="00916B94" w:rsidP="0010308D">
      <w:pPr>
        <w:pStyle w:val="Nadpis1"/>
      </w:pPr>
      <w:r>
        <w:t>PŘEDMĚT SMLOUVY</w:t>
      </w:r>
    </w:p>
    <w:p w:rsidR="00EB351A" w:rsidRPr="00EB351A" w:rsidRDefault="00EB351A" w:rsidP="00EB351A">
      <w:pPr>
        <w:pStyle w:val="Nadpis2"/>
      </w:pPr>
      <w:r w:rsidRPr="00EB351A">
        <w:t>Předmětem této Smlouvy</w:t>
      </w:r>
      <w:r w:rsidRPr="00EB351A" w:rsidDel="004725F9">
        <w:t xml:space="preserve"> </w:t>
      </w:r>
      <w:r w:rsidRPr="00EB351A">
        <w:t>je zajištění pravidelných servisních prohlídek, revizní činnosti a havarijního servisu (dále jen „</w:t>
      </w:r>
      <w:r w:rsidRPr="00EB351A">
        <w:rPr>
          <w:b/>
        </w:rPr>
        <w:t>Servisní činnost</w:t>
      </w:r>
      <w:r w:rsidRPr="00EB351A">
        <w:t>“) karuselových, turniketových a posuvných dveří, garážových vrat, rolet a dalších zařízení s elektrickým pohonem uvedených v </w:t>
      </w:r>
      <w:r w:rsidR="000C42DA">
        <w:t>P</w:t>
      </w:r>
      <w:r w:rsidRPr="00EB351A">
        <w:t>říloze č. 1 této Smlouvy (dále jen „</w:t>
      </w:r>
      <w:r w:rsidRPr="00EB351A">
        <w:rPr>
          <w:b/>
        </w:rPr>
        <w:t>Zařízení</w:t>
      </w:r>
      <w:r w:rsidRPr="00EB351A">
        <w:t>“).</w:t>
      </w:r>
    </w:p>
    <w:p w:rsidR="00EB351A" w:rsidRPr="00EB351A" w:rsidRDefault="00EB351A" w:rsidP="00EB351A">
      <w:pPr>
        <w:pStyle w:val="Nadpis2"/>
      </w:pPr>
      <w:r w:rsidRPr="00EB351A">
        <w:t xml:space="preserve">Poskytovatel se zavazuje provádět Servisní činnost na svůj náklad a nebezpečí, v souladu s touto Smlouvou a platnými a účinnými právními předpisy a závaznými i doporučujícími technickými a bezpečnostními normami.  </w:t>
      </w:r>
    </w:p>
    <w:p w:rsidR="00EB351A" w:rsidRPr="00EB351A" w:rsidRDefault="00EB351A" w:rsidP="00EB351A">
      <w:pPr>
        <w:pStyle w:val="Nadpis2"/>
      </w:pPr>
      <w:r w:rsidRPr="00EB351A">
        <w:t xml:space="preserve">Objednatel se zavazuje Poskytovateli za řádně provedenou Servisní činnost platit cenu </w:t>
      </w:r>
      <w:r w:rsidR="00910218">
        <w:t>dle nabídkového listu Poskytovatele, jež tvoří nedílnou součást této Smlouvy jako její Příloha č. 1 (dále jen „</w:t>
      </w:r>
      <w:r w:rsidR="00910218" w:rsidRPr="00D761B2">
        <w:rPr>
          <w:b/>
        </w:rPr>
        <w:t>Nabídkový list</w:t>
      </w:r>
      <w:r w:rsidR="00910218">
        <w:t>“)</w:t>
      </w:r>
      <w:r w:rsidRPr="00EB351A">
        <w:t xml:space="preserve">. </w:t>
      </w:r>
    </w:p>
    <w:p w:rsidR="002C1EA5" w:rsidRDefault="00FD0E6B" w:rsidP="002C1EA5">
      <w:pPr>
        <w:pStyle w:val="Nadpis1"/>
      </w:pPr>
      <w:r>
        <w:t>způsob plnění</w:t>
      </w:r>
    </w:p>
    <w:p w:rsidR="00FD0E6B" w:rsidRDefault="00FD0E6B" w:rsidP="00FD0E6B">
      <w:pPr>
        <w:pStyle w:val="Nadpis2"/>
      </w:pPr>
      <w:r>
        <w:t>Poskytovatel se zavazuje zahájit Servisní činnost ihned po uzavření této Smlouvy</w:t>
      </w:r>
      <w:r w:rsidR="00270263">
        <w:t>.</w:t>
      </w:r>
    </w:p>
    <w:p w:rsidR="00FD0E6B" w:rsidRDefault="00FD0E6B" w:rsidP="00FD0E6B">
      <w:pPr>
        <w:pStyle w:val="Nadpis2"/>
      </w:pPr>
      <w:r>
        <w:t xml:space="preserve">Poskytovatel je povinen do 7 </w:t>
      </w:r>
      <w:r w:rsidR="000C42DA">
        <w:t xml:space="preserve">(sedmi) </w:t>
      </w:r>
      <w:r>
        <w:t xml:space="preserve">pracovních dnů od podpisu </w:t>
      </w:r>
      <w:r w:rsidR="00910218">
        <w:t xml:space="preserve">této </w:t>
      </w:r>
      <w:r>
        <w:t xml:space="preserve">Smlouvy zaslat Objednateli návrh závazného harmonogramu pravidelných pozáručních servisních prohlídek Zařízení prováděných 2x ročně v intervalu nepřesahujícím 6 </w:t>
      </w:r>
      <w:r w:rsidR="000C42DA">
        <w:t xml:space="preserve">(šest) </w:t>
      </w:r>
      <w:r>
        <w:t>měsíců</w:t>
      </w:r>
      <w:r w:rsidR="00910218">
        <w:t xml:space="preserve"> a revizní činnosti Zařízení prováděných v souladu s platnými technickými normami a příslušnými právními předpisy</w:t>
      </w:r>
      <w:r>
        <w:t>.</w:t>
      </w:r>
    </w:p>
    <w:p w:rsidR="00FD0E6B" w:rsidRPr="00F11ADC" w:rsidRDefault="00FD0E6B" w:rsidP="00FD0E6B">
      <w:pPr>
        <w:pStyle w:val="Nadpis2"/>
      </w:pPr>
      <w:r w:rsidRPr="00F11ADC">
        <w:t xml:space="preserve">Poskytovatel je povinen minimálně 3 </w:t>
      </w:r>
      <w:r w:rsidR="000C42DA">
        <w:t xml:space="preserve">(tři) </w:t>
      </w:r>
      <w:r w:rsidRPr="00F11ADC">
        <w:t xml:space="preserve">pracovní dny před provedením pravidelné servisní prohlídky </w:t>
      </w:r>
      <w:r w:rsidR="00910218">
        <w:t xml:space="preserve">či revizní činnosti </w:t>
      </w:r>
      <w:r w:rsidRPr="00F11ADC">
        <w:t>podle závazného harmonogramu vyzvat Objednatele k zajištění součinnosti. Pravidelné servisní prohlídky budou prováděny v den stanovený Poskytovatelem po</w:t>
      </w:r>
      <w:r>
        <w:t> </w:t>
      </w:r>
      <w:r w:rsidRPr="00F11ADC">
        <w:t>dohodě s</w:t>
      </w:r>
      <w:r>
        <w:t> </w:t>
      </w:r>
      <w:r w:rsidRPr="00F11ADC">
        <w:t>Objednatelem</w:t>
      </w:r>
      <w:r>
        <w:t>.</w:t>
      </w:r>
    </w:p>
    <w:p w:rsidR="00270263" w:rsidRDefault="00270263" w:rsidP="00FD0E6B">
      <w:pPr>
        <w:pStyle w:val="Nadpis2"/>
      </w:pPr>
      <w:r>
        <w:t xml:space="preserve">Smluvní strany se dohodly, že Poskytovatel provede revizní činnosti všech Zařízení v souladu se závazným harmonogramem, nejpozději však do 30 (třiceti) </w:t>
      </w:r>
      <w:r w:rsidR="00E57720">
        <w:t>kalendářních dnů od podpisu této Smlouvy.</w:t>
      </w:r>
    </w:p>
    <w:p w:rsidR="00FD0E6B" w:rsidRDefault="00FD0E6B" w:rsidP="00FD0E6B">
      <w:pPr>
        <w:pStyle w:val="Nadpis2"/>
      </w:pPr>
      <w:r>
        <w:t xml:space="preserve">Poskytovatel bude provádět havarijní servis na základě </w:t>
      </w:r>
      <w:r w:rsidR="00910218">
        <w:t>samostatné objednávky</w:t>
      </w:r>
      <w:r>
        <w:t xml:space="preserve"> Objednatele. Nástup servisního technika při poruše Zařízení s následným zprovozněním Zařízení u poruch nahlášených v pracovní dny od 7:00 hod. do 1</w:t>
      </w:r>
      <w:r w:rsidR="006429C9">
        <w:t>7</w:t>
      </w:r>
      <w:r>
        <w:t xml:space="preserve">:00 hod. bude zajištěn téhož dne se započetím prací do 4 </w:t>
      </w:r>
      <w:r w:rsidR="000C42DA">
        <w:t xml:space="preserve">(čtyř) </w:t>
      </w:r>
      <w:r>
        <w:t>hodin od telefonického či písemného nahlášení</w:t>
      </w:r>
      <w:r w:rsidR="003B19D3">
        <w:t xml:space="preserve"> Objednatele</w:t>
      </w:r>
      <w:r>
        <w:t xml:space="preserve">, pokud nebude mezi účastníky dohodnuto jinak. Při nahlášení poruchy mimo uvedenou dobu bude zajištěna oprava Zařízení následující pracovní den. </w:t>
      </w:r>
    </w:p>
    <w:p w:rsidR="00833A80" w:rsidRPr="00833A80" w:rsidRDefault="00833A80" w:rsidP="00833A80">
      <w:pPr>
        <w:pStyle w:val="Nadpis1"/>
      </w:pPr>
      <w:r>
        <w:lastRenderedPageBreak/>
        <w:t>míst</w:t>
      </w:r>
      <w:r w:rsidR="00FD0E6B">
        <w:t>o</w:t>
      </w:r>
      <w:r>
        <w:t xml:space="preserve"> plnění</w:t>
      </w:r>
      <w:r w:rsidR="00FD0E6B">
        <w:t xml:space="preserve"> a prohlášení poskytovatele</w:t>
      </w:r>
    </w:p>
    <w:p w:rsidR="00FD0E6B" w:rsidRDefault="00FD0E6B" w:rsidP="00FD0E6B">
      <w:pPr>
        <w:pStyle w:val="Nadpis2"/>
      </w:pPr>
      <w:r w:rsidRPr="00FD0E6B">
        <w:t>Místem plnění jsou objekty Objednatele uvedené v </w:t>
      </w:r>
      <w:r w:rsidR="000C42DA">
        <w:t>P</w:t>
      </w:r>
      <w:r w:rsidRPr="00FD0E6B">
        <w:t>říloze č. 1 této Smlouvy (dále též „</w:t>
      </w:r>
      <w:r w:rsidRPr="00FD0E6B">
        <w:rPr>
          <w:b/>
        </w:rPr>
        <w:t>Místo plnění</w:t>
      </w:r>
      <w:r w:rsidRPr="00FD0E6B">
        <w:t>“), ve kterých se nacházejí předmětná Zařízení.</w:t>
      </w:r>
    </w:p>
    <w:p w:rsidR="003B19D3" w:rsidRPr="00C41467" w:rsidRDefault="003B19D3" w:rsidP="003B19D3">
      <w:pPr>
        <w:pStyle w:val="Nadpis2"/>
        <w:keepLines/>
        <w:ind w:left="567" w:hanging="567"/>
      </w:pPr>
      <w:r w:rsidRPr="00C41467">
        <w:t xml:space="preserve">Objednatel si vyhrazuje právo rozšířit </w:t>
      </w:r>
      <w:r>
        <w:t>či naopak zúžit počet Zařízení, jež jsou předmětem této Smlouvy, a to</w:t>
      </w:r>
      <w:r w:rsidRPr="00C41467">
        <w:t xml:space="preserve"> v případě, že během realizace této Smlouvy </w:t>
      </w:r>
      <w:r>
        <w:t xml:space="preserve">dojde k výměně Zařízení či Objednatel </w:t>
      </w:r>
      <w:r w:rsidRPr="00C41467">
        <w:t>získá právo hospodaření k dalšímu nemovitému majetku České republiky</w:t>
      </w:r>
      <w:r>
        <w:t>, v němž budou další Zařízení</w:t>
      </w:r>
      <w:r w:rsidR="00474097" w:rsidRPr="00474097">
        <w:t xml:space="preserve"> </w:t>
      </w:r>
      <w:r w:rsidR="00474097">
        <w:t>umístěna</w:t>
      </w:r>
      <w:r w:rsidRPr="00C41467">
        <w:t xml:space="preserve">. </w:t>
      </w:r>
      <w:r>
        <w:t>Objednatel je povinen r</w:t>
      </w:r>
      <w:r w:rsidRPr="00C41467">
        <w:t xml:space="preserve">ozšíření </w:t>
      </w:r>
      <w:r>
        <w:t>či zúžení počtu Zařízení</w:t>
      </w:r>
      <w:r w:rsidRPr="00C41467">
        <w:t xml:space="preserve"> </w:t>
      </w:r>
      <w:r>
        <w:t xml:space="preserve">Poskytovateli </w:t>
      </w:r>
      <w:r w:rsidRPr="00C41467">
        <w:t xml:space="preserve">písemně oznámit.  </w:t>
      </w:r>
    </w:p>
    <w:p w:rsidR="00FD0E6B" w:rsidRPr="00FD0E6B" w:rsidRDefault="00FD0E6B" w:rsidP="00FD0E6B">
      <w:pPr>
        <w:pStyle w:val="Nadpis2"/>
      </w:pPr>
      <w:r w:rsidRPr="00FD0E6B">
        <w:t>Poskytovatel prohlašuje, že má odbornost odpovídající předmětu plnění dle této Smlouvy, podrobně se seznámil se Smluvní dok</w:t>
      </w:r>
      <w:bookmarkStart w:id="0" w:name="_GoBack"/>
      <w:bookmarkEnd w:id="0"/>
      <w:r w:rsidRPr="00FD0E6B">
        <w:t>umentací a podklady předanými Objednatelem a provedl jejich kontrolu.</w:t>
      </w:r>
    </w:p>
    <w:p w:rsidR="00FD0E6B" w:rsidRPr="00FD0E6B" w:rsidRDefault="00FD0E6B" w:rsidP="00FD0E6B">
      <w:pPr>
        <w:pStyle w:val="Nadpis2"/>
      </w:pPr>
      <w:r w:rsidRPr="00FD0E6B">
        <w:t xml:space="preserve">Poskytovatel dále prohlašuje, že má k dispozici všechny podklady a informace potřebné k řádnému </w:t>
      </w:r>
      <w:r w:rsidR="00914CEB">
        <w:t>provedení Servisní činnosti</w:t>
      </w:r>
      <w:r w:rsidRPr="00FD0E6B">
        <w:t>, že si vyjasnil případné nejasnosti, zjištěné vady, rozpory a opomenutí a že neshledal ke dni uzavření této Smlouvy nedostatky, které by bránily řádnému zahájení a provádění Servisní činnosti.</w:t>
      </w:r>
    </w:p>
    <w:p w:rsidR="00FD0E6B" w:rsidRPr="00FD0E6B" w:rsidRDefault="00FD0E6B" w:rsidP="00FD0E6B">
      <w:pPr>
        <w:pStyle w:val="Nadpis2"/>
      </w:pPr>
      <w:r w:rsidRPr="00FD0E6B">
        <w:t>Poskytovatel prohlašuje, že měl možnost se seznámit se Zařízením</w:t>
      </w:r>
      <w:r w:rsidR="00474097">
        <w:t>i</w:t>
      </w:r>
      <w:r w:rsidRPr="00FD0E6B">
        <w:t xml:space="preserve"> v Místě plnění a důsledně prověřit je</w:t>
      </w:r>
      <w:r w:rsidR="00474097">
        <w:t>jich</w:t>
      </w:r>
      <w:r w:rsidRPr="00FD0E6B">
        <w:t xml:space="preserve"> stav.</w:t>
      </w:r>
    </w:p>
    <w:p w:rsidR="00833A80" w:rsidRDefault="00833A80" w:rsidP="00833A80">
      <w:pPr>
        <w:pStyle w:val="Nadpis1"/>
      </w:pPr>
      <w:r>
        <w:t>cena a platební podmínky</w:t>
      </w:r>
    </w:p>
    <w:p w:rsidR="00E57720" w:rsidRPr="00022F32" w:rsidRDefault="00E57720" w:rsidP="00D761B2">
      <w:pPr>
        <w:pStyle w:val="Nadpis2"/>
      </w:pPr>
      <w:r w:rsidRPr="00022F32">
        <w:t>Ceny za zajištění jednotlivých částí Servisní činnosti na jednotlivých Zařízeních jsou dány dohodou Smluvních stran jako ceny smluvní, odvíjí se od skutečně provedené Servisní činnosti a jsou blíže specifikovány v Nabídkovém listu, který tvoří nedílnou součást této Smlouvy jako její Příloha č. 1.</w:t>
      </w:r>
    </w:p>
    <w:p w:rsidR="00E57720" w:rsidRPr="00022F32" w:rsidRDefault="00E57720" w:rsidP="00D761B2">
      <w:pPr>
        <w:pStyle w:val="Nadpis2"/>
      </w:pPr>
      <w:r w:rsidRPr="00022F32">
        <w:t>Jednotkové ceny uvedené v Nabídkovém listu (dále jen „</w:t>
      </w:r>
      <w:r w:rsidRPr="00022F32">
        <w:rPr>
          <w:b/>
        </w:rPr>
        <w:t>Jednotkové ceny</w:t>
      </w:r>
      <w:r w:rsidRPr="00022F32">
        <w:t>“) zahrnují veškeré náklady Poskytovatele nezbytné k řádnému zajištění Servisní činnosti, jakož i veškeré náklady se zajištěním Servisní činnosti bezprostředně související (včetně dopravy do Místa plnění, práce a rozsahu Servisní činnosti dle Nabídkového listu apod.). Jednotkové ceny jsou stanoveny jako nejvýše přípustné a lze je měnit pouze v souvislosti se změnou příslušných daňových předpisů mající prokazatelný vliv na cenu předmětu plnění Smlouvy. Změny výše Jednotkových cen z jiných důvodů nejsou přípustné.</w:t>
      </w:r>
    </w:p>
    <w:p w:rsidR="00FD0E6B" w:rsidRPr="00022F32" w:rsidRDefault="00022F32" w:rsidP="00D761B2">
      <w:pPr>
        <w:pStyle w:val="Nadpis2"/>
      </w:pPr>
      <w:r w:rsidRPr="00022F32">
        <w:t>C</w:t>
      </w:r>
      <w:r w:rsidR="00FD0E6B" w:rsidRPr="00022F32">
        <w:t xml:space="preserve">ena za zabezpečení havarijního servisu </w:t>
      </w:r>
      <w:r w:rsidRPr="00022F32">
        <w:t xml:space="preserve">bude Poskytovatelem účtována hodinovou sazbou </w:t>
      </w:r>
      <w:r w:rsidR="00FD0E6B" w:rsidRPr="00022F32">
        <w:t>jednoho pracovníka</w:t>
      </w:r>
      <w:r w:rsidRPr="00022F32">
        <w:t xml:space="preserve"> Poskytovatele (dále jen „</w:t>
      </w:r>
      <w:r w:rsidRPr="00D761B2">
        <w:rPr>
          <w:b/>
        </w:rPr>
        <w:t>Hodinová sazba</w:t>
      </w:r>
      <w:r w:rsidRPr="00022F32">
        <w:t xml:space="preserve">“). Hodinová sazba činí </w:t>
      </w:r>
      <w:r w:rsidRPr="00D761B2">
        <w:t>[</w:t>
      </w:r>
      <w:r w:rsidRPr="00D761B2">
        <w:rPr>
          <w:highlight w:val="yellow"/>
        </w:rPr>
        <w:t>DOPLNÍ POSKYTOVATEL</w:t>
      </w:r>
      <w:r w:rsidRPr="00D761B2">
        <w:t>] Kč (slovy: [</w:t>
      </w:r>
      <w:r w:rsidRPr="00D761B2">
        <w:rPr>
          <w:highlight w:val="yellow"/>
        </w:rPr>
        <w:t>DOPLNÍ POSKYTOVATEL</w:t>
      </w:r>
      <w:r w:rsidRPr="00D761B2">
        <w:t>]</w:t>
      </w:r>
      <w:r w:rsidR="00FD0E6B" w:rsidRPr="00022F32">
        <w:t>. V </w:t>
      </w:r>
      <w:r w:rsidRPr="00022F32">
        <w:t>H</w:t>
      </w:r>
      <w:r w:rsidR="00FD0E6B" w:rsidRPr="00022F32">
        <w:t>odinové sazbě jsou zahrnuty veškeré náklady na požadované služby mimo ceny náhradních dílů, které budou účtovány v ceně uvedené v cenících Poskytovatele či za cenu obvyklou v místě a čase plnění.</w:t>
      </w:r>
    </w:p>
    <w:p w:rsidR="00FD0E6B" w:rsidRPr="00022F32" w:rsidRDefault="00FD0E6B">
      <w:pPr>
        <w:pStyle w:val="Nadpis2"/>
      </w:pPr>
      <w:r w:rsidRPr="00022F32">
        <w:t xml:space="preserve">Poskytovatel je oprávněn vystavit fakturu – daňový doklad až po řádném provedení a dokončení jednotlivých úkonů Servisní činnosti a na základě oboustranně potvrzených protokolů o skutečně provedených úkonech Servisní činnosti. </w:t>
      </w:r>
    </w:p>
    <w:p w:rsidR="00FD0E6B" w:rsidRPr="00022F32" w:rsidRDefault="00FD0E6B">
      <w:pPr>
        <w:pStyle w:val="Nadpis2"/>
      </w:pPr>
      <w:r w:rsidRPr="00022F32">
        <w:t xml:space="preserve">Faktury musí být vystaveny samostatně pro každý objekt a v případě objektu Letenská 525/15, Praha 1, též jednotlivě pro každou Oprávněnou osobu. </w:t>
      </w:r>
    </w:p>
    <w:p w:rsidR="00FD0E6B" w:rsidRPr="005D2322" w:rsidRDefault="00FD0E6B" w:rsidP="00FD0E6B">
      <w:pPr>
        <w:pStyle w:val="Nadpis2"/>
      </w:pPr>
      <w:r>
        <w:t xml:space="preserve">Faktura </w:t>
      </w:r>
      <w:r w:rsidRPr="009A663F">
        <w:rPr>
          <w:szCs w:val="20"/>
        </w:rPr>
        <w:t>bude obsahovat náležitosti obchodní listiny dle § 435 Občanského zákoníku a v případě, že jde o daňový doklad, také náležitosti dle zákona č. 235/2004 Sb., o dani z přidané hodnoty, ve znění pozdějších předpisů (dále jen „</w:t>
      </w:r>
      <w:r w:rsidRPr="00914CEB">
        <w:rPr>
          <w:b/>
          <w:szCs w:val="20"/>
        </w:rPr>
        <w:t>Zákon o DPH</w:t>
      </w:r>
      <w:r w:rsidRPr="009A663F">
        <w:rPr>
          <w:szCs w:val="20"/>
        </w:rPr>
        <w:t>“). Faktura musí dále obsahovat:</w:t>
      </w:r>
    </w:p>
    <w:p w:rsidR="00FD0E6B" w:rsidRDefault="00FD0E6B" w:rsidP="00FD0E6B">
      <w:pPr>
        <w:pStyle w:val="Nadpis4"/>
      </w:pPr>
      <w:r>
        <w:t>identifikační údaje příslušného Objednatele a Poskytovatele</w:t>
      </w:r>
      <w:r w:rsidR="006C485C">
        <w:t>;</w:t>
      </w:r>
    </w:p>
    <w:p w:rsidR="00FD0E6B" w:rsidRDefault="00FD0E6B" w:rsidP="00FD0E6B">
      <w:pPr>
        <w:pStyle w:val="Nadpis4"/>
      </w:pPr>
      <w:r>
        <w:lastRenderedPageBreak/>
        <w:t>jméno a příjmení Oprávněné osoby podle čl</w:t>
      </w:r>
      <w:r w:rsidR="00914CEB">
        <w:t>ánku</w:t>
      </w:r>
      <w:r>
        <w:t xml:space="preserve"> </w:t>
      </w:r>
      <w:r w:rsidR="00914CEB">
        <w:t>9.3 této Smlouvy</w:t>
      </w:r>
      <w:r w:rsidR="006C485C">
        <w:t>;</w:t>
      </w:r>
    </w:p>
    <w:p w:rsidR="00FD0E6B" w:rsidRDefault="00D761B2" w:rsidP="00FD0E6B">
      <w:pPr>
        <w:pStyle w:val="Nadpis4"/>
      </w:pPr>
      <w:r>
        <w:t xml:space="preserve">číslo Smlouvy </w:t>
      </w:r>
      <w:r w:rsidRPr="00364335">
        <w:t>(</w:t>
      </w:r>
      <w:r>
        <w:t>CES</w:t>
      </w:r>
      <w:r w:rsidRPr="00364335">
        <w:t>)</w:t>
      </w:r>
      <w:r>
        <w:t xml:space="preserve"> a příp. </w:t>
      </w:r>
      <w:r w:rsidR="00FD0E6B">
        <w:t>číslo objednávky</w:t>
      </w:r>
      <w:r w:rsidR="006C485C">
        <w:t>;</w:t>
      </w:r>
    </w:p>
    <w:p w:rsidR="00FD0E6B" w:rsidRDefault="00FD0E6B" w:rsidP="00FD0E6B">
      <w:pPr>
        <w:pStyle w:val="Nadpis4"/>
      </w:pPr>
      <w:r>
        <w:t>adresu</w:t>
      </w:r>
      <w:r w:rsidR="006C485C">
        <w:t xml:space="preserve"> Místa plnění;</w:t>
      </w:r>
      <w:r>
        <w:t xml:space="preserve"> </w:t>
      </w:r>
    </w:p>
    <w:p w:rsidR="00FD0E6B" w:rsidRPr="005D2322" w:rsidRDefault="00FD0E6B" w:rsidP="00FD0E6B">
      <w:pPr>
        <w:pStyle w:val="Nadpis4"/>
      </w:pPr>
      <w:r w:rsidRPr="00364335">
        <w:t xml:space="preserve">identifikaci </w:t>
      </w:r>
      <w:r w:rsidR="006C485C">
        <w:t>p</w:t>
      </w:r>
      <w:r w:rsidRPr="00364335">
        <w:t>ředmětu plnění jako</w:t>
      </w:r>
      <w:r>
        <w:t xml:space="preserve"> např.</w:t>
      </w:r>
      <w:r w:rsidRPr="00364335">
        <w:t xml:space="preserve"> „</w:t>
      </w:r>
      <w:r>
        <w:t>Pravidelná pozáruční prohlídka automatických dveří v objektu Janovského 438/2, Praha 7</w:t>
      </w:r>
      <w:r w:rsidRPr="00364335">
        <w:t>“</w:t>
      </w:r>
      <w:r>
        <w:t xml:space="preserve"> nebo „Zajištění havarijního servisu garážových vrat v objektu Letenská 593/9, Praha 1</w:t>
      </w:r>
      <w:r w:rsidRPr="005D2322">
        <w:t>“ apod.;</w:t>
      </w:r>
    </w:p>
    <w:p w:rsidR="00FD0E6B" w:rsidRDefault="00FD0E6B" w:rsidP="00FD0E6B">
      <w:pPr>
        <w:pStyle w:val="Nadpis4"/>
      </w:pPr>
      <w:r>
        <w:t>datum provede</w:t>
      </w:r>
      <w:r w:rsidR="006C485C">
        <w:t>ní a převzetí Servisní činnosti;</w:t>
      </w:r>
    </w:p>
    <w:p w:rsidR="00FD0E6B" w:rsidRDefault="00FD0E6B" w:rsidP="00FD0E6B">
      <w:pPr>
        <w:pStyle w:val="Nadpis4"/>
      </w:pPr>
      <w:r>
        <w:t xml:space="preserve">uvedení </w:t>
      </w:r>
      <w:r w:rsidRPr="00364335">
        <w:t>fakturovan</w:t>
      </w:r>
      <w:r w:rsidR="006C485C">
        <w:t>é</w:t>
      </w:r>
      <w:r w:rsidRPr="00364335">
        <w:t xml:space="preserve"> částk</w:t>
      </w:r>
      <w:r w:rsidR="006C485C">
        <w:t>y</w:t>
      </w:r>
      <w:r w:rsidRPr="00364335">
        <w:t xml:space="preserve"> v souladu s</w:t>
      </w:r>
      <w:r w:rsidR="006C485C">
        <w:t> touto</w:t>
      </w:r>
      <w:r w:rsidRPr="00364335">
        <w:t xml:space="preserve"> Smlouvou</w:t>
      </w:r>
      <w:r w:rsidR="006C485C">
        <w:t>;</w:t>
      </w:r>
    </w:p>
    <w:p w:rsidR="00FD0E6B" w:rsidRPr="005D2322" w:rsidRDefault="00FD0E6B" w:rsidP="00FD0E6B">
      <w:pPr>
        <w:pStyle w:val="Nadpis4"/>
      </w:pPr>
      <w:r w:rsidRPr="00364335">
        <w:t xml:space="preserve">úplné bankovní spojení </w:t>
      </w:r>
      <w:r>
        <w:t>Poskytovatele</w:t>
      </w:r>
      <w:r w:rsidRPr="00364335">
        <w:t xml:space="preserve">, přičemž číslo účtu musí odpovídat číslu účtu uvedenému v záhlaví Smlouvy nebo číslu účtu v registru plátců DPH, popř. číslu účtu postupem dle </w:t>
      </w:r>
      <w:r w:rsidR="006C485C">
        <w:t xml:space="preserve">této </w:t>
      </w:r>
      <w:r w:rsidRPr="00364335">
        <w:t>Smlouvy řádně změněnému.</w:t>
      </w:r>
    </w:p>
    <w:p w:rsidR="00FD0E6B" w:rsidRPr="00F23D50" w:rsidRDefault="00FD0E6B" w:rsidP="00FD0E6B">
      <w:pPr>
        <w:pStyle w:val="Nadpis2"/>
        <w:rPr>
          <w:iCs/>
          <w:szCs w:val="20"/>
        </w:rPr>
      </w:pPr>
      <w:r>
        <w:t xml:space="preserve">Lhůta splatnosti faktury je </w:t>
      </w:r>
      <w:r w:rsidR="00C43645">
        <w:t>30 (třicet)</w:t>
      </w:r>
      <w:r>
        <w:t xml:space="preserve"> </w:t>
      </w:r>
      <w:r w:rsidR="006C485C">
        <w:t xml:space="preserve">kalendářních </w:t>
      </w:r>
      <w:r>
        <w:t xml:space="preserve">dní od doručení faktury </w:t>
      </w:r>
      <w:r w:rsidR="00914CEB">
        <w:t>O</w:t>
      </w:r>
      <w:r>
        <w:t xml:space="preserve">bjednateli. V případě, že faktura bude obsahovat nesprávné náležitosti nebo nesprávné údaje, nebo budou některé náležitosti či údaje chybět, vrátí ji do </w:t>
      </w:r>
      <w:r w:rsidR="00914CEB">
        <w:t>5 (</w:t>
      </w:r>
      <w:r>
        <w:t>pěti</w:t>
      </w:r>
      <w:r w:rsidR="00914CEB">
        <w:t>)</w:t>
      </w:r>
      <w:r>
        <w:t xml:space="preserve"> pracovních dnů od prokazatelného doručení Objednatel Poskytovateli k přepracování. V tomto případě lhůta splatnosti faktury počíná běžet dnem</w:t>
      </w:r>
      <w:r w:rsidR="00914CEB">
        <w:t xml:space="preserve"> doručení přepracované faktury O</w:t>
      </w:r>
      <w:r>
        <w:t>bjednateli.</w:t>
      </w:r>
    </w:p>
    <w:p w:rsidR="00833A80" w:rsidRDefault="00FD0E6B" w:rsidP="00833A80">
      <w:pPr>
        <w:pStyle w:val="Nadpis1"/>
      </w:pPr>
      <w:r>
        <w:t>doba platnosti</w:t>
      </w:r>
    </w:p>
    <w:p w:rsidR="00FD0E6B" w:rsidRPr="00927DEF" w:rsidRDefault="00FD0E6B" w:rsidP="00FD0E6B">
      <w:pPr>
        <w:pStyle w:val="Nadpis2"/>
      </w:pPr>
      <w:r>
        <w:t xml:space="preserve">Tato Smlouva nabývá platnosti a účinnosti dnem podpisu obou Smluvních stran a sjednává se na dobu určitou a to na </w:t>
      </w:r>
      <w:r w:rsidR="00A1310D">
        <w:t>2</w:t>
      </w:r>
      <w:r>
        <w:t xml:space="preserve"> </w:t>
      </w:r>
      <w:r w:rsidR="00914CEB">
        <w:t>(</w:t>
      </w:r>
      <w:r w:rsidR="00A1310D">
        <w:t>dva</w:t>
      </w:r>
      <w:r w:rsidR="00914CEB">
        <w:t xml:space="preserve">) </w:t>
      </w:r>
      <w:r>
        <w:t>roky od data účinnosti.</w:t>
      </w:r>
    </w:p>
    <w:p w:rsidR="00FD0E6B" w:rsidRPr="008D05AC" w:rsidRDefault="00FD0E6B" w:rsidP="00FD0E6B">
      <w:pPr>
        <w:pStyle w:val="Nadpis2"/>
        <w:rPr>
          <w:szCs w:val="20"/>
        </w:rPr>
      </w:pPr>
      <w:r w:rsidRPr="00544B43">
        <w:t>Tato Smlouva může být ukončena dohodou Smluvních stran.</w:t>
      </w:r>
    </w:p>
    <w:p w:rsidR="00FD0E6B" w:rsidRPr="00F0494F" w:rsidRDefault="00FD0E6B" w:rsidP="00FD0E6B">
      <w:pPr>
        <w:pStyle w:val="Nadpis2"/>
        <w:rPr>
          <w:szCs w:val="20"/>
        </w:rPr>
      </w:pPr>
      <w:r w:rsidRPr="00544B43">
        <w:t xml:space="preserve">Smluvní strany se dohodly, že </w:t>
      </w:r>
      <w:r>
        <w:t>Objednatel</w:t>
      </w:r>
      <w:r w:rsidRPr="00544B43">
        <w:t xml:space="preserve"> může u</w:t>
      </w:r>
      <w:r>
        <w:t>končit Smlouvu výpovědí, a </w:t>
      </w:r>
      <w:r w:rsidRPr="00544B43">
        <w:t xml:space="preserve">to bez udání důvodů. Výpovědní doba činí </w:t>
      </w:r>
      <w:r>
        <w:t>1</w:t>
      </w:r>
      <w:r w:rsidRPr="00544B43">
        <w:t xml:space="preserve"> </w:t>
      </w:r>
      <w:r w:rsidR="00914CEB">
        <w:t xml:space="preserve">(jeden) </w:t>
      </w:r>
      <w:r w:rsidRPr="00544B43">
        <w:t xml:space="preserve">kalendářní měsíc a začíná běžet prvním dnem kalendářního měsíce následujícího po měsíci, v němž byla </w:t>
      </w:r>
      <w:r w:rsidR="00914CEB">
        <w:t>v</w:t>
      </w:r>
      <w:r w:rsidRPr="00544B43">
        <w:t>ýpověď doručena</w:t>
      </w:r>
      <w:r>
        <w:t xml:space="preserve"> Poskytovateli</w:t>
      </w:r>
      <w:r w:rsidRPr="00544B43">
        <w:t>. Jejím uplynutím Smlouva zaniká.</w:t>
      </w:r>
    </w:p>
    <w:p w:rsidR="004519F2" w:rsidRPr="004519F2" w:rsidRDefault="00FD0E6B" w:rsidP="004519F2">
      <w:pPr>
        <w:pStyle w:val="Nadpis1"/>
      </w:pPr>
      <w:r>
        <w:t>o</w:t>
      </w:r>
      <w:r w:rsidR="004519F2" w:rsidRPr="004519F2">
        <w:t xml:space="preserve">dpovědnost </w:t>
      </w:r>
      <w:r>
        <w:t>poskytovatele</w:t>
      </w:r>
    </w:p>
    <w:p w:rsidR="00FD0E6B" w:rsidRPr="00CF7D84" w:rsidRDefault="00FD0E6B" w:rsidP="00FD0E6B">
      <w:pPr>
        <w:pStyle w:val="Nadpis2"/>
        <w:rPr>
          <w:szCs w:val="20"/>
        </w:rPr>
      </w:pPr>
      <w:r>
        <w:t>Poskytovatel odpovídá za odborné a kvalitní provedení sjednaných prací a dodaného materiálu a na provedené zakázkové práce poskytne Objednateli záruku v</w:t>
      </w:r>
      <w:r w:rsidR="00D761B2">
        <w:t xml:space="preserve"> délce</w:t>
      </w:r>
      <w:r>
        <w:t xml:space="preserve"> 24 </w:t>
      </w:r>
      <w:r w:rsidR="00914CEB">
        <w:t>(dvacet</w:t>
      </w:r>
      <w:r w:rsidR="00D761B2">
        <w:t>i</w:t>
      </w:r>
      <w:r w:rsidR="00914CEB">
        <w:t xml:space="preserve"> čtyř) </w:t>
      </w:r>
      <w:r>
        <w:t>měsíců od předání prací Objednateli. Záruka se nevztahuje na škody způsobené vandalismem, zásahem vyšší moci nebo zásahem třetí osoby.</w:t>
      </w:r>
    </w:p>
    <w:p w:rsidR="00FD0E6B" w:rsidRPr="00CF7D84" w:rsidRDefault="00FD0E6B" w:rsidP="00FD0E6B">
      <w:pPr>
        <w:pStyle w:val="Nadpis2"/>
        <w:rPr>
          <w:color w:val="FF0000"/>
          <w:szCs w:val="20"/>
        </w:rPr>
      </w:pPr>
      <w:r>
        <w:t xml:space="preserve">Poskytovatel bude dodržovat </w:t>
      </w:r>
      <w:r w:rsidRPr="00CF7D84">
        <w:t>stanovené servisní termíny a po ukončení pravidelné servisní prohlídky, nebo servisního zásahu sepíše zápis o provedené Servisní činnosti s uvedením případného použitého materiálu</w:t>
      </w:r>
      <w:r w:rsidR="00D761B2">
        <w:t xml:space="preserve"> (dále jen „</w:t>
      </w:r>
      <w:r w:rsidR="00D761B2" w:rsidRPr="00D761B2">
        <w:rPr>
          <w:b/>
        </w:rPr>
        <w:t>Zápis</w:t>
      </w:r>
      <w:r w:rsidR="00D761B2">
        <w:t>“)</w:t>
      </w:r>
      <w:r w:rsidRPr="00CF7D84">
        <w:t xml:space="preserve">. Tento </w:t>
      </w:r>
      <w:r w:rsidR="00D761B2">
        <w:t>Z</w:t>
      </w:r>
      <w:r w:rsidRPr="00CF7D84">
        <w:t xml:space="preserve">ápis bude součástí konečné </w:t>
      </w:r>
      <w:r w:rsidR="00D761B2">
        <w:t>f</w:t>
      </w:r>
      <w:r w:rsidRPr="00CF7D84">
        <w:t>aktury.</w:t>
      </w:r>
      <w:r w:rsidRPr="00CF7D84">
        <w:rPr>
          <w:color w:val="FF0000"/>
        </w:rPr>
        <w:t xml:space="preserve"> </w:t>
      </w:r>
    </w:p>
    <w:p w:rsidR="00FD0E6B" w:rsidRDefault="00FD0E6B" w:rsidP="00FD0E6B">
      <w:pPr>
        <w:pStyle w:val="Nadpis2"/>
      </w:pPr>
      <w:r>
        <w:t xml:space="preserve">Poskytovatel je povinen dodržovat všechny předpisy z oblasti bezpečnosti a ochrany zdraví </w:t>
      </w:r>
      <w:r w:rsidR="00914CEB">
        <w:br/>
      </w:r>
      <w:r>
        <w:t>a požární ochrany a chovat se tak, aby nebyla ohrožena bezpečnost zaměstnanců Objednatele a byly minimalizovány negativní vlivy na činnost Objednatele.</w:t>
      </w:r>
    </w:p>
    <w:p w:rsidR="00FD0E6B" w:rsidRDefault="00FD0E6B" w:rsidP="00FD0E6B">
      <w:pPr>
        <w:pStyle w:val="Nadpis2"/>
      </w:pPr>
      <w:r w:rsidRPr="00D47099">
        <w:t>Poskytovatel je povinen mít po celou dobu trvání této Smlouvy uzavřeno pojištění odpovědnosti za škodu způsobenou jeho činností či nečinností při plnění Smlouvy Objednateli, případně třetím osobám, a to ve výši pojistného plnění min</w:t>
      </w:r>
      <w:r w:rsidR="00E7202C">
        <w:t>imálně</w:t>
      </w:r>
      <w:r w:rsidRPr="00D47099">
        <w:t xml:space="preserve"> 10</w:t>
      </w:r>
      <w:r w:rsidR="00E7202C">
        <w:t>.</w:t>
      </w:r>
      <w:r w:rsidRPr="00D47099">
        <w:t>000</w:t>
      </w:r>
      <w:r w:rsidR="00E7202C">
        <w:t>.</w:t>
      </w:r>
      <w:r w:rsidRPr="00D47099">
        <w:t>000 Kč</w:t>
      </w:r>
      <w:r w:rsidR="00914CEB">
        <w:t xml:space="preserve"> (slovy: deset milionů korun českých)</w:t>
      </w:r>
      <w:r w:rsidRPr="00D47099">
        <w:t xml:space="preserve">. Úřední opis dokumentu prokazujícího sjednání předmětného pojištění se Poskytovatel zavazuje předat Objednateli při podpisu této Smlouvy. </w:t>
      </w:r>
    </w:p>
    <w:p w:rsidR="004519F2" w:rsidRDefault="00FD0E6B" w:rsidP="004519F2">
      <w:pPr>
        <w:pStyle w:val="Nadpis1"/>
      </w:pPr>
      <w:r>
        <w:lastRenderedPageBreak/>
        <w:t>smluvní pokuta</w:t>
      </w:r>
      <w:r w:rsidR="004519F2" w:rsidRPr="004519F2">
        <w:t xml:space="preserve"> </w:t>
      </w:r>
    </w:p>
    <w:p w:rsidR="00FD0E6B" w:rsidRPr="00F80206" w:rsidRDefault="00FD0E6B" w:rsidP="00FD0E6B">
      <w:pPr>
        <w:pStyle w:val="Nadpis2"/>
      </w:pPr>
      <w:r w:rsidRPr="00F80206">
        <w:t>Poskytovatel se zavazuje zaplatit Objednateli níže uvedené smluvní pokuty:</w:t>
      </w:r>
    </w:p>
    <w:p w:rsidR="00FD0E6B" w:rsidRPr="00AE1A8F" w:rsidRDefault="00FD0E6B">
      <w:pPr>
        <w:pStyle w:val="Nadpis4"/>
        <w:numPr>
          <w:ilvl w:val="0"/>
          <w:numId w:val="21"/>
        </w:numPr>
        <w:ind w:left="1134" w:hanging="567"/>
      </w:pPr>
      <w:r w:rsidRPr="00AE1A8F">
        <w:t>ve výši 1</w:t>
      </w:r>
      <w:r w:rsidR="00914CEB" w:rsidRPr="00AE1A8F">
        <w:t>.</w:t>
      </w:r>
      <w:r w:rsidRPr="00AE1A8F">
        <w:t>0</w:t>
      </w:r>
      <w:r w:rsidR="00914CEB" w:rsidRPr="00AE1A8F">
        <w:t xml:space="preserve">00 Kč (slovy: jeden tisíc korun českých) </w:t>
      </w:r>
      <w:r w:rsidRPr="00AE1A8F">
        <w:t>za každou započatou hodinu prodlení při nedodržení lhůty pro zahájení prac</w:t>
      </w:r>
      <w:r w:rsidR="00914CEB" w:rsidRPr="00AE1A8F">
        <w:t>í na odstranění poruchy dle článku 3.3</w:t>
      </w:r>
      <w:r w:rsidRPr="00AE1A8F">
        <w:t xml:space="preserve"> této Smlouvy,</w:t>
      </w:r>
    </w:p>
    <w:p w:rsidR="00FD0E6B" w:rsidRPr="00AE1A8F" w:rsidRDefault="00FD0E6B">
      <w:pPr>
        <w:pStyle w:val="Nadpis4"/>
      </w:pPr>
      <w:r w:rsidRPr="00AE1A8F">
        <w:t>ve výši 2</w:t>
      </w:r>
      <w:r w:rsidR="00914CEB" w:rsidRPr="00AE1A8F">
        <w:t>.</w:t>
      </w:r>
      <w:r w:rsidRPr="00AE1A8F">
        <w:t xml:space="preserve">000 Kč </w:t>
      </w:r>
      <w:r w:rsidR="00914CEB" w:rsidRPr="00AE1A8F">
        <w:t>(slovy: dva tisíce korun českých)</w:t>
      </w:r>
      <w:r w:rsidRPr="00AE1A8F">
        <w:t xml:space="preserve"> za každý započatý den prodlení při nedodržení lhůty </w:t>
      </w:r>
      <w:r w:rsidR="00AE1A8F">
        <w:t xml:space="preserve">k provedení revizní činnosti všech Zařízení dle </w:t>
      </w:r>
      <w:r w:rsidRPr="00AE1A8F">
        <w:t>čl</w:t>
      </w:r>
      <w:r w:rsidR="00914CEB" w:rsidRPr="00AE1A8F">
        <w:t>ánku 3.</w:t>
      </w:r>
      <w:r w:rsidR="00AE1A8F">
        <w:t>4</w:t>
      </w:r>
      <w:r w:rsidR="00914CEB" w:rsidRPr="00AE1A8F">
        <w:t xml:space="preserve"> této</w:t>
      </w:r>
      <w:r w:rsidRPr="00AE1A8F">
        <w:t xml:space="preserve"> Smlouvy,</w:t>
      </w:r>
    </w:p>
    <w:p w:rsidR="00FD0E6B" w:rsidRPr="00AE1A8F" w:rsidRDefault="00FD0E6B">
      <w:pPr>
        <w:pStyle w:val="Nadpis4"/>
      </w:pPr>
      <w:r w:rsidRPr="00AE1A8F">
        <w:t>ve výši 2</w:t>
      </w:r>
      <w:r w:rsidR="00914CEB" w:rsidRPr="00AE1A8F">
        <w:t>.</w:t>
      </w:r>
      <w:r w:rsidRPr="00AE1A8F">
        <w:t xml:space="preserve">000 Kč </w:t>
      </w:r>
      <w:r w:rsidR="00914CEB" w:rsidRPr="00AE1A8F">
        <w:t xml:space="preserve">(slovy: dva tisíce korun českých) </w:t>
      </w:r>
      <w:r w:rsidRPr="00AE1A8F">
        <w:t xml:space="preserve">za porušení nebo nesplnění jakékoliv povinnosti Poskytovatele vyplývající z této Smlouvy, a to za každý takovýto případ, </w:t>
      </w:r>
    </w:p>
    <w:p w:rsidR="00FD0E6B" w:rsidRPr="00F80206" w:rsidRDefault="00FD0E6B">
      <w:pPr>
        <w:pStyle w:val="Nadpis4"/>
      </w:pPr>
      <w:r w:rsidRPr="00AE1A8F">
        <w:t>ve výši 50</w:t>
      </w:r>
      <w:r w:rsidR="00834020" w:rsidRPr="00AE1A8F">
        <w:t>.</w:t>
      </w:r>
      <w:r w:rsidRPr="00AE1A8F">
        <w:t xml:space="preserve">000 Kč </w:t>
      </w:r>
      <w:r w:rsidR="00834020" w:rsidRPr="00AE1A8F">
        <w:t>(slovy: padesát tisíc korun českých)</w:t>
      </w:r>
      <w:r w:rsidRPr="00AE1A8F">
        <w:t xml:space="preserve"> za každý jednotlivý případ porušení povinnosti</w:t>
      </w:r>
      <w:r>
        <w:t xml:space="preserve"> týkající se pojištění dle čl</w:t>
      </w:r>
      <w:r w:rsidR="00834020">
        <w:t>ánku 7.4 této Smlouvy</w:t>
      </w:r>
      <w:r>
        <w:t>.</w:t>
      </w:r>
    </w:p>
    <w:p w:rsidR="00FD0E6B" w:rsidRPr="00F80206" w:rsidRDefault="00FD0E6B" w:rsidP="00FD0E6B">
      <w:pPr>
        <w:pStyle w:val="Nadpis2"/>
      </w:pPr>
      <w:r w:rsidRPr="00F80206">
        <w:t>Celková výše smluvních pokut není omezena jakýmkoliv limitem a uplatnění jedné smluvní pokuty nevylučuje souběžné uplatnění jiné smluvní pokuty.</w:t>
      </w:r>
    </w:p>
    <w:p w:rsidR="00FD0E6B" w:rsidRPr="00F80206" w:rsidRDefault="00FD0E6B" w:rsidP="00FD0E6B">
      <w:pPr>
        <w:pStyle w:val="Nadpis2"/>
      </w:pPr>
      <w:r w:rsidRPr="00F80206">
        <w:t xml:space="preserve">Povinnost zaplatit smluvní pokutu vzniká </w:t>
      </w:r>
      <w:r w:rsidR="008E3942">
        <w:t>P</w:t>
      </w:r>
      <w:r w:rsidRPr="00F80206">
        <w:t xml:space="preserve">oskytovateli do </w:t>
      </w:r>
      <w:r>
        <w:t>7</w:t>
      </w:r>
      <w:r w:rsidRPr="00F80206">
        <w:t xml:space="preserve"> </w:t>
      </w:r>
      <w:r w:rsidR="008E3942">
        <w:t xml:space="preserve">(sedmi) kalendářních </w:t>
      </w:r>
      <w:r w:rsidRPr="00F80206">
        <w:t xml:space="preserve">dnů od doručení výzvy </w:t>
      </w:r>
      <w:r>
        <w:t>O</w:t>
      </w:r>
      <w:r w:rsidRPr="00F80206">
        <w:t xml:space="preserve">bjednatele k zaplacení smluvní pokuty </w:t>
      </w:r>
      <w:r>
        <w:t>P</w:t>
      </w:r>
      <w:r w:rsidRPr="00F80206">
        <w:t>oskytovateli.</w:t>
      </w:r>
    </w:p>
    <w:p w:rsidR="00FD0E6B" w:rsidRPr="00F80206" w:rsidRDefault="00FD0E6B" w:rsidP="00FD0E6B">
      <w:pPr>
        <w:pStyle w:val="Nadpis2"/>
      </w:pPr>
      <w:r w:rsidRPr="00F80206">
        <w:t>Zaplacením smluvní pokuty není dotčen nárok Objednatele na náhradu škody a na řádné dokončení plnění předmětu smlouvy a odstranění vad.</w:t>
      </w:r>
    </w:p>
    <w:p w:rsidR="00FD0E6B" w:rsidRDefault="00FD0E6B" w:rsidP="00FD0E6B">
      <w:pPr>
        <w:pStyle w:val="Nadpis2"/>
      </w:pPr>
      <w:r w:rsidRPr="00F80206">
        <w:t xml:space="preserve">Při prodlení Objednatele se zaplacením řádně vystavené a doručené </w:t>
      </w:r>
      <w:r w:rsidR="00E7202C">
        <w:t>f</w:t>
      </w:r>
      <w:r w:rsidRPr="00F80206">
        <w:t>aktury je</w:t>
      </w:r>
      <w:r>
        <w:t> </w:t>
      </w:r>
      <w:r w:rsidRPr="00F80206">
        <w:t>Poskytovatel oprávněn požadovat zaplacení úroku z prodlení ve výši stanovené právními předpisy.</w:t>
      </w:r>
    </w:p>
    <w:p w:rsidR="00FD0E6B" w:rsidRDefault="00FD0E6B" w:rsidP="00FD0E6B">
      <w:pPr>
        <w:pStyle w:val="Nadpis1"/>
      </w:pPr>
      <w:r>
        <w:t>závěrečná ustanovení</w:t>
      </w:r>
    </w:p>
    <w:p w:rsidR="00FD0E6B" w:rsidRPr="009D1793" w:rsidRDefault="00FD0E6B" w:rsidP="00FD0E6B">
      <w:pPr>
        <w:pStyle w:val="Nadpis2"/>
        <w:rPr>
          <w:szCs w:val="20"/>
        </w:rPr>
      </w:pPr>
      <w:r w:rsidRPr="00544B43">
        <w:t>Oznámení nebo jiná sdělení podle této Smlouvy musí být učiněna písemně v českém jazyce, není-li uvede</w:t>
      </w:r>
      <w:r w:rsidRPr="00FD0E6B">
        <w:rPr>
          <w:rStyle w:val="Nadpis2Char"/>
        </w:rPr>
        <w:t>n</w:t>
      </w:r>
      <w:r w:rsidRPr="00544B43">
        <w:t xml:space="preserve">o v této Smlouvě jinak. Jakékoliv úkony směřující ke zrušení této Smlouvy </w:t>
      </w:r>
      <w:r w:rsidR="008E3942">
        <w:br/>
      </w:r>
      <w:r w:rsidRPr="00544B43">
        <w:t>a oznámení o změně čísla účtu musí být doručeny druhé Smluvní straně datovou schránkou nebo formou doporučeného dopisu. Oznámení nebo jiná sdělení podle této Smlouvy, není-li uvedeno v této Smlouvě jinak, se budou považovat za řádně učiněná, pokud budou doručena osobně, poštou, prostřednictvím datové schránky či kurýrem na adresy uvedené v tomto odstavci nebo na jinou adresu, kterou příslušná Smluvní strana v předstihu písemně oznámí druhé Smluvní straně a budou označena jmény příslušných Oprávněných osob.</w:t>
      </w:r>
    </w:p>
    <w:p w:rsidR="00FD0E6B" w:rsidRDefault="00FD0E6B" w:rsidP="00D761B2">
      <w:pPr>
        <w:pStyle w:val="Nadpis4"/>
        <w:numPr>
          <w:ilvl w:val="0"/>
          <w:numId w:val="29"/>
        </w:numPr>
        <w:ind w:left="1134" w:hanging="567"/>
      </w:pPr>
      <w:r w:rsidRPr="00544B43">
        <w:t>Objednatel:</w:t>
      </w:r>
    </w:p>
    <w:p w:rsidR="00FD0E6B" w:rsidRPr="00544B43" w:rsidRDefault="00FD0E6B" w:rsidP="00D761B2">
      <w:pPr>
        <w:pStyle w:val="Nadpis3"/>
        <w:numPr>
          <w:ilvl w:val="0"/>
          <w:numId w:val="0"/>
        </w:numPr>
        <w:spacing w:after="0"/>
        <w:ind w:left="1134"/>
        <w:rPr>
          <w:rFonts w:cs="Times New Roman"/>
          <w:szCs w:val="24"/>
        </w:rPr>
      </w:pPr>
      <w:r w:rsidRPr="00544B43">
        <w:rPr>
          <w:rFonts w:cs="Times New Roman"/>
          <w:szCs w:val="24"/>
        </w:rPr>
        <w:t xml:space="preserve">Název: Česká republika - Ministerstvo financí </w:t>
      </w:r>
    </w:p>
    <w:p w:rsidR="00FD0E6B" w:rsidRPr="00544B43" w:rsidRDefault="00FD0E6B" w:rsidP="00D761B2">
      <w:pPr>
        <w:pStyle w:val="Nadpis3"/>
        <w:numPr>
          <w:ilvl w:val="0"/>
          <w:numId w:val="0"/>
        </w:numPr>
        <w:spacing w:after="0"/>
        <w:ind w:left="1134"/>
        <w:rPr>
          <w:rFonts w:cs="Times New Roman"/>
          <w:szCs w:val="24"/>
        </w:rPr>
      </w:pPr>
      <w:r w:rsidRPr="00544B43">
        <w:rPr>
          <w:rFonts w:cs="Times New Roman"/>
          <w:szCs w:val="24"/>
        </w:rPr>
        <w:t>Adresa: Letenská 525/15, Praha 1, PSČ 118 10</w:t>
      </w:r>
    </w:p>
    <w:p w:rsidR="00FD0E6B" w:rsidRPr="00544B43" w:rsidRDefault="00FD0E6B" w:rsidP="00D761B2">
      <w:pPr>
        <w:pStyle w:val="Nadpis3"/>
        <w:numPr>
          <w:ilvl w:val="0"/>
          <w:numId w:val="0"/>
        </w:numPr>
        <w:spacing w:after="0"/>
        <w:ind w:left="1134"/>
        <w:rPr>
          <w:rFonts w:cs="Times New Roman"/>
          <w:szCs w:val="24"/>
        </w:rPr>
      </w:pPr>
      <w:r w:rsidRPr="00544B43">
        <w:rPr>
          <w:rFonts w:cs="Times New Roman"/>
          <w:szCs w:val="24"/>
        </w:rPr>
        <w:t>E-mail: podatelna@mfcr.cz</w:t>
      </w:r>
    </w:p>
    <w:p w:rsidR="00FD0E6B" w:rsidRDefault="00FD0E6B" w:rsidP="00FD0E6B">
      <w:pPr>
        <w:pStyle w:val="Nadpis3"/>
        <w:numPr>
          <w:ilvl w:val="0"/>
          <w:numId w:val="0"/>
        </w:numPr>
        <w:ind w:left="1134"/>
        <w:rPr>
          <w:rFonts w:cs="Times New Roman"/>
          <w:szCs w:val="24"/>
        </w:rPr>
      </w:pPr>
      <w:r w:rsidRPr="00544B43">
        <w:rPr>
          <w:rFonts w:cs="Times New Roman"/>
          <w:szCs w:val="24"/>
        </w:rPr>
        <w:t xml:space="preserve">Datová schránka: </w:t>
      </w:r>
      <w:proofErr w:type="spellStart"/>
      <w:r w:rsidRPr="00544B43">
        <w:rPr>
          <w:rFonts w:cs="Times New Roman"/>
          <w:szCs w:val="24"/>
        </w:rPr>
        <w:t>xzeaauv</w:t>
      </w:r>
      <w:proofErr w:type="spellEnd"/>
    </w:p>
    <w:p w:rsidR="00FD0E6B" w:rsidRPr="009D1793" w:rsidRDefault="00FD0E6B" w:rsidP="00D761B2">
      <w:pPr>
        <w:pStyle w:val="Nadpis4"/>
        <w:numPr>
          <w:ilvl w:val="0"/>
          <w:numId w:val="29"/>
        </w:numPr>
        <w:spacing w:after="0"/>
        <w:ind w:left="1134" w:hanging="567"/>
      </w:pPr>
      <w:r>
        <w:t>Poskytovatel</w:t>
      </w:r>
      <w:r w:rsidRPr="00544B43">
        <w:t>:</w:t>
      </w:r>
    </w:p>
    <w:p w:rsidR="00FD0E6B" w:rsidRPr="00D461CE" w:rsidRDefault="00FD0E6B" w:rsidP="00D761B2">
      <w:pPr>
        <w:pStyle w:val="Nadpis3"/>
        <w:numPr>
          <w:ilvl w:val="0"/>
          <w:numId w:val="0"/>
        </w:numPr>
        <w:spacing w:after="0"/>
        <w:ind w:left="1134"/>
        <w:rPr>
          <w:rFonts w:cs="Times New Roman"/>
          <w:szCs w:val="24"/>
        </w:rPr>
      </w:pPr>
      <w:r w:rsidRPr="00D461CE">
        <w:rPr>
          <w:rFonts w:cs="Times New Roman"/>
          <w:szCs w:val="24"/>
        </w:rPr>
        <w:t xml:space="preserve">Název: </w:t>
      </w:r>
      <w:r w:rsidR="000C42DA">
        <w:rPr>
          <w:rFonts w:cs="Arial"/>
          <w:szCs w:val="24"/>
        </w:rPr>
        <w:t>[</w:t>
      </w:r>
      <w:r w:rsidR="000C42DA">
        <w:rPr>
          <w:rFonts w:cs="Arial"/>
          <w:highlight w:val="yellow"/>
        </w:rPr>
        <w:t>DOPLNÍ POSKYTOVATEL</w:t>
      </w:r>
      <w:r w:rsidR="000C42DA" w:rsidRPr="00B27BAC">
        <w:rPr>
          <w:rFonts w:cs="Arial"/>
          <w:highlight w:val="yellow"/>
        </w:rPr>
        <w:t>]</w:t>
      </w:r>
    </w:p>
    <w:p w:rsidR="00FD0E6B" w:rsidRPr="00D461CE" w:rsidRDefault="00FD0E6B" w:rsidP="00D761B2">
      <w:pPr>
        <w:pStyle w:val="Nadpis3"/>
        <w:numPr>
          <w:ilvl w:val="0"/>
          <w:numId w:val="0"/>
        </w:numPr>
        <w:spacing w:after="0"/>
        <w:ind w:left="1134"/>
        <w:rPr>
          <w:rFonts w:cs="Times New Roman"/>
          <w:szCs w:val="24"/>
        </w:rPr>
      </w:pPr>
      <w:r w:rsidRPr="00D461CE">
        <w:rPr>
          <w:rFonts w:cs="Times New Roman"/>
          <w:szCs w:val="24"/>
        </w:rPr>
        <w:t xml:space="preserve">Adresa: </w:t>
      </w:r>
      <w:r w:rsidR="000C42DA">
        <w:rPr>
          <w:rFonts w:cs="Arial"/>
          <w:szCs w:val="24"/>
        </w:rPr>
        <w:t>[</w:t>
      </w:r>
      <w:r w:rsidR="000C42DA">
        <w:rPr>
          <w:rFonts w:cs="Arial"/>
          <w:highlight w:val="yellow"/>
        </w:rPr>
        <w:t>DOPLNÍ POSKYTOVATEL</w:t>
      </w:r>
      <w:r w:rsidR="000C42DA" w:rsidRPr="00B27BAC">
        <w:rPr>
          <w:rFonts w:cs="Arial"/>
          <w:highlight w:val="yellow"/>
        </w:rPr>
        <w:t>]</w:t>
      </w:r>
    </w:p>
    <w:p w:rsidR="00FD0E6B" w:rsidRPr="00D461CE" w:rsidRDefault="00FD0E6B" w:rsidP="00D761B2">
      <w:pPr>
        <w:pStyle w:val="Nadpis3"/>
        <w:numPr>
          <w:ilvl w:val="0"/>
          <w:numId w:val="0"/>
        </w:numPr>
        <w:spacing w:after="0"/>
        <w:ind w:left="1134"/>
        <w:rPr>
          <w:rFonts w:cs="Times New Roman"/>
          <w:szCs w:val="24"/>
        </w:rPr>
      </w:pPr>
      <w:r w:rsidRPr="00D461CE">
        <w:rPr>
          <w:rFonts w:cs="Times New Roman"/>
          <w:szCs w:val="24"/>
        </w:rPr>
        <w:t xml:space="preserve">E-mail: </w:t>
      </w:r>
      <w:r w:rsidR="000C42DA">
        <w:rPr>
          <w:rFonts w:cs="Arial"/>
          <w:szCs w:val="24"/>
        </w:rPr>
        <w:t>[</w:t>
      </w:r>
      <w:r w:rsidR="000C42DA">
        <w:rPr>
          <w:rFonts w:cs="Arial"/>
          <w:highlight w:val="yellow"/>
        </w:rPr>
        <w:t>DOPLNÍ POSKYTOVATEL</w:t>
      </w:r>
      <w:r w:rsidR="000C42DA" w:rsidRPr="00B27BAC">
        <w:rPr>
          <w:rFonts w:cs="Arial"/>
          <w:highlight w:val="yellow"/>
        </w:rPr>
        <w:t>]</w:t>
      </w:r>
    </w:p>
    <w:p w:rsidR="00FD0E6B" w:rsidRPr="00370933" w:rsidRDefault="00FD0E6B" w:rsidP="00FD0E6B">
      <w:pPr>
        <w:pStyle w:val="Nadpis3"/>
        <w:numPr>
          <w:ilvl w:val="0"/>
          <w:numId w:val="0"/>
        </w:numPr>
        <w:ind w:left="1134"/>
        <w:rPr>
          <w:rFonts w:cs="Times New Roman"/>
          <w:szCs w:val="24"/>
        </w:rPr>
      </w:pPr>
      <w:r>
        <w:rPr>
          <w:rFonts w:cs="Times New Roman"/>
          <w:szCs w:val="24"/>
        </w:rPr>
        <w:t>Datová schránka:</w:t>
      </w:r>
      <w:r w:rsidR="000C42DA">
        <w:rPr>
          <w:rFonts w:cs="Times New Roman"/>
          <w:szCs w:val="24"/>
        </w:rPr>
        <w:t xml:space="preserve"> </w:t>
      </w:r>
      <w:r w:rsidR="000C42DA">
        <w:rPr>
          <w:rFonts w:cs="Arial"/>
          <w:szCs w:val="24"/>
        </w:rPr>
        <w:t>[</w:t>
      </w:r>
      <w:r w:rsidR="000C42DA">
        <w:rPr>
          <w:rFonts w:cs="Arial"/>
          <w:highlight w:val="yellow"/>
        </w:rPr>
        <w:t>DOPLNÍ POSKYTOVATEL</w:t>
      </w:r>
      <w:r w:rsidR="000C42DA" w:rsidRPr="00B27BAC">
        <w:rPr>
          <w:rFonts w:cs="Arial"/>
          <w:highlight w:val="yellow"/>
        </w:rPr>
        <w:t>]</w:t>
      </w:r>
    </w:p>
    <w:p w:rsidR="00FD0E6B" w:rsidRDefault="00FD0E6B" w:rsidP="00FD0E6B">
      <w:pPr>
        <w:pStyle w:val="Nadpis2"/>
      </w:pPr>
      <w:r w:rsidRPr="00544B43">
        <w:t>Účinnost oznámení nastává v pracovní den následující po dni doručení tohoto oznámení druhé Smluvní straně.</w:t>
      </w:r>
    </w:p>
    <w:p w:rsidR="00FD0E6B" w:rsidRDefault="00FD0E6B" w:rsidP="00FD0E6B">
      <w:pPr>
        <w:pStyle w:val="Nadpis2"/>
      </w:pPr>
      <w:r w:rsidRPr="00544B43">
        <w:t>Smluvní strany se d</w:t>
      </w:r>
      <w:r w:rsidRPr="00C44E02">
        <w:t xml:space="preserve">ohodly na určení </w:t>
      </w:r>
      <w:r w:rsidR="008E3942">
        <w:t>o</w:t>
      </w:r>
      <w:r w:rsidRPr="00C44E02">
        <w:t>právněn</w:t>
      </w:r>
      <w:r>
        <w:t>ých</w:t>
      </w:r>
      <w:r w:rsidRPr="00C44E02">
        <w:t xml:space="preserve"> osob za každou Smluvní stranu (dále jen „</w:t>
      </w:r>
      <w:r w:rsidRPr="00C44E02">
        <w:rPr>
          <w:b/>
        </w:rPr>
        <w:t>Oprávněn</w:t>
      </w:r>
      <w:r>
        <w:rPr>
          <w:b/>
        </w:rPr>
        <w:t>é</w:t>
      </w:r>
      <w:r w:rsidRPr="00C44E02">
        <w:rPr>
          <w:b/>
        </w:rPr>
        <w:t xml:space="preserve"> osob</w:t>
      </w:r>
      <w:r>
        <w:rPr>
          <w:b/>
        </w:rPr>
        <w:t>y</w:t>
      </w:r>
      <w:r w:rsidRPr="00C44E02">
        <w:t>“). Oprávněné osoby jsou oprávněné ke všem jednáním týkajícím se této Smlouvy, s výjimkou změn nebo zrušení Smlouvy a oznámení o</w:t>
      </w:r>
      <w:r>
        <w:t> </w:t>
      </w:r>
      <w:r w:rsidRPr="00C44E02">
        <w:t xml:space="preserve">změně čísla účtu, není-li dále stanoveno jinak. V případě, že Smluvní strana má více Oprávněných osob, zasílají se veškeré </w:t>
      </w:r>
      <w:r w:rsidRPr="00C44E02">
        <w:lastRenderedPageBreak/>
        <w:t xml:space="preserve">e-mailové zprávy na adresy všech Oprávněných osob pro příslušný objekt v kopii. </w:t>
      </w:r>
      <w:r>
        <w:rPr>
          <w:szCs w:val="20"/>
        </w:rPr>
        <w:t xml:space="preserve">Veškeré </w:t>
      </w:r>
      <w:r w:rsidR="00AE1A8F">
        <w:rPr>
          <w:szCs w:val="20"/>
        </w:rPr>
        <w:br/>
      </w:r>
      <w:r>
        <w:rPr>
          <w:szCs w:val="20"/>
        </w:rPr>
        <w:t xml:space="preserve">e-mailové zprávy Oprávněným osobám Objednatele se zasílají </w:t>
      </w:r>
      <w:r w:rsidRPr="003A0459">
        <w:rPr>
          <w:szCs w:val="20"/>
        </w:rPr>
        <w:t>zároveň na e-mailovou adresu</w:t>
      </w:r>
      <w:r>
        <w:rPr>
          <w:szCs w:val="20"/>
        </w:rPr>
        <w:t>:</w:t>
      </w:r>
      <w:r w:rsidRPr="003A0459">
        <w:rPr>
          <w:szCs w:val="20"/>
        </w:rPr>
        <w:t xml:space="preserve"> </w:t>
      </w:r>
      <w:r w:rsidRPr="003A0459">
        <w:rPr>
          <w:rStyle w:val="adresar2"/>
          <w:rFonts w:cs="Arial"/>
          <w:szCs w:val="20"/>
        </w:rPr>
        <w:t xml:space="preserve"> </w:t>
      </w:r>
      <w:hyperlink r:id="rId9" w:history="1">
        <w:r w:rsidR="00AE1A8F" w:rsidRPr="00AE1A8F">
          <w:rPr>
            <w:rStyle w:val="Hypertextovodkaz"/>
            <w:rFonts w:cs="Arial"/>
            <w:color w:val="auto"/>
            <w:u w:val="none"/>
          </w:rPr>
          <w:t>lukas.majerech@mfcr.cz</w:t>
        </w:r>
      </w:hyperlink>
      <w:r w:rsidRPr="003F7E5D">
        <w:t>.</w:t>
      </w:r>
      <w:r>
        <w:rPr>
          <w:szCs w:val="20"/>
        </w:rPr>
        <w:t xml:space="preserve"> </w:t>
      </w:r>
      <w:r w:rsidRPr="00C44E02">
        <w:t>Oprávněné osoby mohou k výkonu činnosti pověřit i</w:t>
      </w:r>
      <w:r>
        <w:t> </w:t>
      </w:r>
      <w:r w:rsidRPr="00C44E02">
        <w:t>další osoby.</w:t>
      </w:r>
    </w:p>
    <w:p w:rsidR="00FD0E6B" w:rsidRDefault="00FD0E6B" w:rsidP="00FD0E6B">
      <w:pPr>
        <w:pStyle w:val="Nadpis4"/>
        <w:numPr>
          <w:ilvl w:val="0"/>
          <w:numId w:val="27"/>
        </w:numPr>
        <w:ind w:left="1134" w:hanging="567"/>
      </w:pPr>
      <w:r w:rsidRPr="00C44E02">
        <w:t>Oprávněnými osobami Objednatele jsou:</w:t>
      </w:r>
    </w:p>
    <w:p w:rsidR="00FD0E6B" w:rsidRPr="00D47099" w:rsidRDefault="00FD0E6B" w:rsidP="000C42DA">
      <w:pPr>
        <w:ind w:left="1134"/>
      </w:pPr>
      <w:r w:rsidRPr="00D47099">
        <w:t>pro objekt Janovského 438/2, Praha 7</w:t>
      </w:r>
    </w:p>
    <w:p w:rsidR="00FD0E6B" w:rsidRPr="008E3942" w:rsidRDefault="00FD0E6B" w:rsidP="000C42DA">
      <w:pPr>
        <w:ind w:left="1134"/>
      </w:pPr>
      <w:r w:rsidRPr="00741F83">
        <w:t xml:space="preserve">p. Jiří Labský, tel.: tel.: +420 731 628 926, e-mail: </w:t>
      </w:r>
      <w:hyperlink r:id="rId10" w:history="1">
        <w:r w:rsidRPr="008E3942">
          <w:rPr>
            <w:rStyle w:val="Hypertextovodkaz"/>
            <w:color w:val="auto"/>
            <w:u w:val="none"/>
          </w:rPr>
          <w:t>jiri.labsky@mfcr.cz</w:t>
        </w:r>
      </w:hyperlink>
    </w:p>
    <w:p w:rsidR="00FD0E6B" w:rsidRPr="00741F83" w:rsidRDefault="00FD0E6B" w:rsidP="000C42DA">
      <w:pPr>
        <w:spacing w:before="240"/>
        <w:ind w:left="1134"/>
      </w:pPr>
      <w:r w:rsidRPr="00423C30">
        <w:t xml:space="preserve">pro objekt Legerova </w:t>
      </w:r>
      <w:r w:rsidRPr="00741F83">
        <w:t>1581/69, Praha 1</w:t>
      </w:r>
    </w:p>
    <w:p w:rsidR="00FD0E6B" w:rsidRPr="008E3942" w:rsidRDefault="00FD0E6B" w:rsidP="000C42DA">
      <w:pPr>
        <w:ind w:left="1134"/>
      </w:pPr>
      <w:r w:rsidRPr="00741F83">
        <w:t xml:space="preserve">p. Jiří Holeček, tel.: +420 724 811 405, e-mail: </w:t>
      </w:r>
      <w:hyperlink r:id="rId11" w:history="1">
        <w:r w:rsidRPr="008E3942">
          <w:rPr>
            <w:rStyle w:val="Hypertextovodkaz"/>
            <w:color w:val="auto"/>
            <w:u w:val="none"/>
          </w:rPr>
          <w:t>jiri.holecek@mfcr.cz</w:t>
        </w:r>
      </w:hyperlink>
    </w:p>
    <w:p w:rsidR="00FD0E6B" w:rsidRDefault="00FD0E6B" w:rsidP="000C42DA">
      <w:pPr>
        <w:spacing w:before="240"/>
        <w:ind w:left="1134"/>
      </w:pPr>
      <w:r w:rsidRPr="00D47099">
        <w:t xml:space="preserve">pro </w:t>
      </w:r>
      <w:r w:rsidRPr="008403A8">
        <w:t>závodní</w:t>
      </w:r>
      <w:r>
        <w:t xml:space="preserve"> kuchyni MF ČR v </w:t>
      </w:r>
      <w:r w:rsidRPr="00D47099">
        <w:t>objekt</w:t>
      </w:r>
      <w:r>
        <w:t>u</w:t>
      </w:r>
      <w:r w:rsidRPr="00D47099">
        <w:t xml:space="preserve"> Letenská 525/15</w:t>
      </w:r>
      <w:r>
        <w:t>, Praha 1</w:t>
      </w:r>
    </w:p>
    <w:p w:rsidR="00FD0E6B" w:rsidRPr="008E3942" w:rsidRDefault="00FD0E6B" w:rsidP="000C42DA">
      <w:pPr>
        <w:ind w:left="1134"/>
      </w:pPr>
      <w:r>
        <w:t xml:space="preserve">p. Eliška Horálková, tel.: + 420 257 042 687, e-mail: </w:t>
      </w:r>
      <w:hyperlink r:id="rId12" w:history="1">
        <w:r w:rsidRPr="008E3942">
          <w:rPr>
            <w:rStyle w:val="Hypertextovodkaz"/>
            <w:color w:val="auto"/>
            <w:u w:val="none"/>
          </w:rPr>
          <w:t>eliska.horalkova@mfcr.cz</w:t>
        </w:r>
      </w:hyperlink>
    </w:p>
    <w:p w:rsidR="00FD0E6B" w:rsidRPr="00D47099" w:rsidRDefault="000C42DA" w:rsidP="000C42DA">
      <w:pPr>
        <w:spacing w:before="240"/>
        <w:ind w:left="1134"/>
      </w:pPr>
      <w:r>
        <w:t>p</w:t>
      </w:r>
      <w:r w:rsidR="00FD0E6B" w:rsidRPr="00D47099">
        <w:t>ro objekt Letenská 525/15</w:t>
      </w:r>
      <w:r w:rsidR="00FD0E6B">
        <w:t xml:space="preserve"> a </w:t>
      </w:r>
      <w:r w:rsidR="00FD0E6B" w:rsidRPr="00D47099">
        <w:t>Letenská 5</w:t>
      </w:r>
      <w:r w:rsidR="00FD0E6B">
        <w:t>93</w:t>
      </w:r>
      <w:r w:rsidR="00FD0E6B" w:rsidRPr="00D47099">
        <w:t>/</w:t>
      </w:r>
      <w:r w:rsidR="00FD0E6B">
        <w:t>9,</w:t>
      </w:r>
      <w:r w:rsidR="00FD0E6B" w:rsidRPr="00D47099">
        <w:t xml:space="preserve"> Praha 1</w:t>
      </w:r>
    </w:p>
    <w:p w:rsidR="00FD0E6B" w:rsidRDefault="00FD0E6B" w:rsidP="000C42DA">
      <w:pPr>
        <w:ind w:left="1134"/>
      </w:pPr>
      <w:r w:rsidRPr="00741F83">
        <w:t xml:space="preserve">Ing. Lukáš </w:t>
      </w:r>
      <w:proofErr w:type="gramStart"/>
      <w:r w:rsidRPr="00741F83">
        <w:t>Majerech</w:t>
      </w:r>
      <w:proofErr w:type="gramEnd"/>
      <w:r w:rsidRPr="00741F83">
        <w:t xml:space="preserve">, tel. +420 607 539 762, e-mail: </w:t>
      </w:r>
      <w:hyperlink r:id="rId13" w:history="1">
        <w:r w:rsidRPr="008E3942">
          <w:rPr>
            <w:rStyle w:val="Hypertextovodkaz"/>
            <w:color w:val="auto"/>
            <w:szCs w:val="24"/>
            <w:u w:val="none"/>
          </w:rPr>
          <w:t>lukas.majerech@mfcr.cz</w:t>
        </w:r>
      </w:hyperlink>
    </w:p>
    <w:p w:rsidR="00FD0E6B" w:rsidRPr="00741F83" w:rsidRDefault="00FD0E6B" w:rsidP="000C42DA">
      <w:pPr>
        <w:spacing w:before="240"/>
        <w:ind w:left="1134"/>
      </w:pPr>
      <w:r w:rsidRPr="00741F83">
        <w:t>pro objekt Voctářova 2145/9 a 2145/11</w:t>
      </w:r>
      <w:r>
        <w:t>, Praha 8</w:t>
      </w:r>
    </w:p>
    <w:p w:rsidR="00FD0E6B" w:rsidRDefault="00FD0E6B" w:rsidP="000C42DA">
      <w:pPr>
        <w:ind w:left="1134"/>
        <w:rPr>
          <w:rFonts w:ascii="Times New Roman" w:hAnsi="Times New Roman"/>
          <w:sz w:val="24"/>
        </w:rPr>
      </w:pPr>
      <w:r w:rsidRPr="000C42DA">
        <w:t xml:space="preserve">Ing. Pavel Kopecký, tel.: +420 725 009 029, e-mail: </w:t>
      </w:r>
      <w:hyperlink r:id="rId14" w:history="1">
        <w:r w:rsidRPr="000C42DA">
          <w:t>pavel.kopecky@mfcr.cz</w:t>
        </w:r>
      </w:hyperlink>
      <w:r>
        <w:rPr>
          <w:rFonts w:ascii="Times New Roman" w:hAnsi="Times New Roman"/>
          <w:sz w:val="24"/>
        </w:rPr>
        <w:t xml:space="preserve"> </w:t>
      </w:r>
    </w:p>
    <w:p w:rsidR="00FD0E6B" w:rsidRDefault="00FD0E6B" w:rsidP="008E3942">
      <w:pPr>
        <w:pStyle w:val="Nadpis4"/>
        <w:spacing w:before="240"/>
      </w:pPr>
      <w:r w:rsidRPr="00D461CE">
        <w:t xml:space="preserve">Oprávněnou osobou </w:t>
      </w:r>
      <w:r>
        <w:t>Poskytovatele</w:t>
      </w:r>
      <w:r w:rsidRPr="00D461CE">
        <w:t xml:space="preserve"> je: </w:t>
      </w:r>
    </w:p>
    <w:p w:rsidR="000C42DA" w:rsidRPr="000C42DA" w:rsidRDefault="000C42DA" w:rsidP="000C42DA">
      <w:pPr>
        <w:ind w:left="1134"/>
        <w:rPr>
          <w:rFonts w:cstheme="majorBidi"/>
        </w:rPr>
      </w:pPr>
      <w:r w:rsidRPr="00B27BAC">
        <w:rPr>
          <w:rFonts w:cs="Arial"/>
          <w:highlight w:val="yellow"/>
        </w:rPr>
        <w:t>[</w:t>
      </w:r>
      <w:r>
        <w:rPr>
          <w:rFonts w:cs="Arial"/>
          <w:highlight w:val="yellow"/>
        </w:rPr>
        <w:t>DOPLNÍ POSKYTOVATEL</w:t>
      </w:r>
      <w:r w:rsidRPr="00B27BAC">
        <w:rPr>
          <w:rFonts w:cs="Arial"/>
          <w:highlight w:val="yellow"/>
        </w:rPr>
        <w:t>]</w:t>
      </w:r>
    </w:p>
    <w:p w:rsidR="00FD0E6B" w:rsidRDefault="00FD0E6B" w:rsidP="000C42DA">
      <w:pPr>
        <w:pStyle w:val="Nadpis2"/>
      </w:pPr>
      <w:r w:rsidRPr="00C44E02">
        <w:t xml:space="preserve">K podpisu, změně Smlouvy nebo zrušení Smlouvy, změně čísla účtu a k vystavení plné moci </w:t>
      </w:r>
      <w:r>
        <w:t>Poskytovateli</w:t>
      </w:r>
      <w:r w:rsidRPr="00C44E02">
        <w:t xml:space="preserve"> je za Objednatele oprávněn ředitel odboru 13 – Hospodářská správa, a dále osoby jím nebo ministrem financí pověřené. Ke změně Smlouvy nebo ukončení Smlouvy je za </w:t>
      </w:r>
      <w:r>
        <w:t>Poskytovatele</w:t>
      </w:r>
      <w:r w:rsidRPr="00C44E02">
        <w:t xml:space="preserve"> oprávněn </w:t>
      </w:r>
      <w:r>
        <w:t>Poskytovatel</w:t>
      </w:r>
      <w:r w:rsidRPr="00C44E02">
        <w:t xml:space="preserve"> sám (je-li fyzickou osobou podnikající) nebo</w:t>
      </w:r>
      <w:r>
        <w:t xml:space="preserve"> statutární orgán Poskytovatele</w:t>
      </w:r>
      <w:r w:rsidRPr="00C44E02">
        <w:t xml:space="preserve">, příp. prokurista, a to dle způsobu jednání uvedeném v obchodním rejstříku. Jiné osoby mohou tato právní jednání činit pouze s písemným pověřením osoby či orgánu </w:t>
      </w:r>
      <w:r>
        <w:t>vymezených v předchozí větě</w:t>
      </w:r>
      <w:r w:rsidRPr="00C44E02">
        <w:t>.</w:t>
      </w:r>
    </w:p>
    <w:p w:rsidR="00FD0E6B" w:rsidRDefault="00FD0E6B" w:rsidP="000C42DA">
      <w:pPr>
        <w:pStyle w:val="Nadpis2"/>
      </w:pPr>
      <w:r w:rsidRPr="00C44E02">
        <w:t>Jakékoliv změny kontaktních údajů, bankovních údajů</w:t>
      </w:r>
      <w:r w:rsidR="00AE1A8F">
        <w:t>,</w:t>
      </w:r>
      <w:r w:rsidRPr="00C44E02">
        <w:t xml:space="preserve"> a Oprávněných osob je příslušná Smluvní strana oprávněna provádět jednostranně a je povinna tyto změny neprodleně písemně oznámit druhé Smluvní straně.</w:t>
      </w:r>
    </w:p>
    <w:p w:rsidR="00FD0E6B" w:rsidRDefault="00FD0E6B" w:rsidP="000C42DA">
      <w:pPr>
        <w:pStyle w:val="Nadpis2"/>
        <w:ind w:left="567" w:hanging="567"/>
      </w:pPr>
      <w:r w:rsidRPr="00C44E02">
        <w:t xml:space="preserve">Obě Smluvní strany souhlasí s tím, že podepsaná Smlouva (včetně příloh), jakož i její text, může být v elektronické podobě zveřejněn na internetových stránkách Ministerstva financí ČR, na profilu Objednatele podle </w:t>
      </w:r>
      <w:r>
        <w:t>z</w:t>
      </w:r>
      <w:r w:rsidRPr="00C44E02">
        <w:t xml:space="preserve">ákona </w:t>
      </w:r>
      <w:r>
        <w:t xml:space="preserve">č. 134/2016 Sb., </w:t>
      </w:r>
      <w:r w:rsidRPr="00C44E02">
        <w:t>o</w:t>
      </w:r>
      <w:r>
        <w:t xml:space="preserve"> zadávání </w:t>
      </w:r>
      <w:r w:rsidRPr="00C44E02">
        <w:t>veřejných zakáz</w:t>
      </w:r>
      <w:r>
        <w:t>e</w:t>
      </w:r>
      <w:r w:rsidRPr="00C44E02">
        <w:t>k, a dále v souladu s povinnostmi vyplývajícími z</w:t>
      </w:r>
      <w:r>
        <w:t xml:space="preserve"> účinných </w:t>
      </w:r>
      <w:r w:rsidRPr="00C44E02">
        <w:t xml:space="preserve">právních předpisů, </w:t>
      </w:r>
      <w:r>
        <w:t xml:space="preserve">tj. např. zákona </w:t>
      </w:r>
      <w:r w:rsidR="009806B3">
        <w:br/>
      </w:r>
      <w:r>
        <w:t xml:space="preserve">č. 340/2015 Sb., </w:t>
      </w:r>
      <w:r w:rsidR="008E3942" w:rsidRPr="008E3942">
        <w:t>o zvláštních podmínkách účinnosti některých smluv, uveřejňování těchto smluv a o registru smluv (zákon o registru smluv)</w:t>
      </w:r>
      <w:r>
        <w:t xml:space="preserve">, </w:t>
      </w:r>
      <w:r w:rsidRPr="00C44E02">
        <w:t>a to bez časového omezení.</w:t>
      </w:r>
    </w:p>
    <w:p w:rsidR="00FD0E6B" w:rsidRDefault="00FD0E6B" w:rsidP="000C42DA">
      <w:pPr>
        <w:pStyle w:val="Nadpis2"/>
      </w:pPr>
      <w:r w:rsidRPr="00C44E02">
        <w:t>Tato Smlouva se řídí právními předpisy České republiky. Smluvní strany pro vyloučení pochybností sjednávají, že tato Smlouva se řídí subsidiárně ustanoveními Občanského zákoníku upravujícími smlouvu o dílo.</w:t>
      </w:r>
    </w:p>
    <w:p w:rsidR="00FD0E6B" w:rsidRDefault="00FD0E6B" w:rsidP="000C42DA">
      <w:pPr>
        <w:pStyle w:val="Nadpis2"/>
      </w:pPr>
      <w:r w:rsidRPr="00C44E02">
        <w:t>Stane-li se kterékoli ustanovení této Smlouvy neplatným, neúčinným nebo nevykonatelným, zůstává platnost, účinnost a vykonatelnost ostatních ustanovení této Smlouvy neovlivněna a nedotčena, nevyplývá-li z povahy daného ustanovení, obsahu</w:t>
      </w:r>
      <w:r>
        <w:t> </w:t>
      </w:r>
      <w:r w:rsidRPr="00C44E02">
        <w:t>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rsidR="00FD0E6B" w:rsidRDefault="00FD0E6B" w:rsidP="000C42DA">
      <w:pPr>
        <w:pStyle w:val="Nadpis2"/>
      </w:pPr>
      <w:r w:rsidRPr="00C44E02">
        <w:lastRenderedPageBreak/>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rsidR="00FD0E6B" w:rsidRDefault="00FD0E6B" w:rsidP="000C42DA">
      <w:pPr>
        <w:pStyle w:val="Nadpis2"/>
      </w:pPr>
      <w:r w:rsidRPr="00C44E02">
        <w:t>Žádná ze Smluvních stran není oprávněna bez souhlasu druhé Smluvní strany postoupit Smlouvu, jednotlivý závazek ze Smlouvy ani pohledávky vzniklé v souvislosti s touto Smlouvou na třetí osoby, ani učinit jakékoliv právní jednání, v jehož důsledku by došlo k převodu či přechodu práv či povinností vyplývajících z této Smlouvy.</w:t>
      </w:r>
    </w:p>
    <w:p w:rsidR="00FD0E6B" w:rsidRDefault="00FD0E6B" w:rsidP="000C42DA">
      <w:pPr>
        <w:pStyle w:val="Nadpis2"/>
      </w:pPr>
      <w:r w:rsidRPr="00C44E02">
        <w:t>Smluvní strany se dohodly, že všechny spory vyplývaj</w:t>
      </w:r>
      <w:r>
        <w:t>ící z této Smlouvy nebo spory o </w:t>
      </w:r>
      <w:r w:rsidRPr="00C44E02">
        <w:t>existenci této Smlouvy (včetně otázky vzniku a platnosti této Smlouvy) budou rozhodovány s konečnou platností před věcně a místně příslušným soudem České republiky.</w:t>
      </w:r>
    </w:p>
    <w:p w:rsidR="00FD0E6B" w:rsidRDefault="00FD0E6B" w:rsidP="000C42DA">
      <w:pPr>
        <w:pStyle w:val="Nadpis2"/>
      </w:pPr>
      <w:r w:rsidRPr="00C44E02">
        <w:t>Změny nebo doplňky této Smlouvy včetně jejích příloh musejí být vyhotoveny písemně formou dodatku, datovány a podepsány oběma Smluvními stranami s podpisy Smluvních stran na jedné listině.</w:t>
      </w:r>
    </w:p>
    <w:p w:rsidR="00AE1A8F" w:rsidRDefault="00FD0E6B" w:rsidP="000C42DA">
      <w:pPr>
        <w:pStyle w:val="Nadpis2"/>
      </w:pPr>
      <w:r>
        <w:t>Nedílnou součástí této Smlouvy j</w:t>
      </w:r>
      <w:r w:rsidR="00AE1A8F">
        <w:t>sou tyto přílohy:</w:t>
      </w:r>
    </w:p>
    <w:p w:rsidR="00AE1A8F" w:rsidRDefault="00FD0E6B" w:rsidP="00D761B2">
      <w:pPr>
        <w:pStyle w:val="Nadpis2"/>
        <w:numPr>
          <w:ilvl w:val="0"/>
          <w:numId w:val="0"/>
        </w:numPr>
        <w:ind w:left="576"/>
      </w:pPr>
      <w:r>
        <w:t xml:space="preserve">Příloha č. 1 – </w:t>
      </w:r>
      <w:r w:rsidR="00AE1A8F">
        <w:t>Nabídkový list;</w:t>
      </w:r>
    </w:p>
    <w:p w:rsidR="00FD0E6B" w:rsidRDefault="00AE1A8F" w:rsidP="00D761B2">
      <w:pPr>
        <w:pStyle w:val="Nadpis2"/>
        <w:numPr>
          <w:ilvl w:val="0"/>
          <w:numId w:val="0"/>
        </w:numPr>
        <w:ind w:left="576"/>
      </w:pPr>
      <w:r>
        <w:t>Příloha č. 2 – Specifikace Servisní činnosti</w:t>
      </w:r>
      <w:r w:rsidR="008E3942">
        <w:t>.</w:t>
      </w:r>
      <w:r w:rsidR="00FD0E6B">
        <w:t xml:space="preserve"> </w:t>
      </w:r>
    </w:p>
    <w:p w:rsidR="008E3942" w:rsidRDefault="008E3942" w:rsidP="008E3942">
      <w:pPr>
        <w:pStyle w:val="Nadpis2"/>
      </w:pPr>
      <w:r w:rsidRPr="00C44E02">
        <w:t xml:space="preserve">Tato Smlouva je vyhotovena ve dvou vyhotoveních </w:t>
      </w:r>
      <w:r w:rsidR="00474097">
        <w:t>s platností originálu</w:t>
      </w:r>
      <w:r w:rsidRPr="00C44E02">
        <w:t>, přičemž každá ze Smluvních stran obdrží po jednom vyhotovení.</w:t>
      </w:r>
    </w:p>
    <w:p w:rsidR="00FD0E6B" w:rsidRPr="00FD0E6B" w:rsidRDefault="00FD0E6B" w:rsidP="00FD0E6B"/>
    <w:p w:rsidR="004519F2" w:rsidRPr="00B27BAC" w:rsidRDefault="004519F2" w:rsidP="00D761B2">
      <w:pPr>
        <w:spacing w:after="200"/>
        <w:jc w:val="left"/>
        <w:rPr>
          <w:b/>
          <w:i/>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rsidR="004519F2" w:rsidRPr="00EA3E3B" w:rsidRDefault="004519F2" w:rsidP="004519F2">
      <w:pPr>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rsidTr="00CF5932">
        <w:tc>
          <w:tcPr>
            <w:tcW w:w="3969" w:type="dxa"/>
            <w:shd w:val="clear" w:color="auto" w:fill="auto"/>
          </w:tcPr>
          <w:p w:rsidR="004519F2" w:rsidRPr="00B6708A" w:rsidRDefault="004519F2" w:rsidP="0059790C">
            <w:pPr>
              <w:spacing w:after="60"/>
              <w:ind w:left="-108"/>
              <w:rPr>
                <w:rFonts w:cs="Arial"/>
              </w:rPr>
            </w:pPr>
            <w:r w:rsidRPr="00C24CFD">
              <w:rPr>
                <w:rFonts w:cs="Arial"/>
              </w:rPr>
              <w:t xml:space="preserve">Za </w:t>
            </w:r>
            <w:r w:rsidR="0059790C" w:rsidRPr="000C42DA">
              <w:rPr>
                <w:rFonts w:cs="Arial"/>
              </w:rPr>
              <w:t>Objednat</w:t>
            </w:r>
            <w:r w:rsidRPr="000C42DA">
              <w:rPr>
                <w:rFonts w:cs="Arial"/>
              </w:rPr>
              <w:t>ele:</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Default="004519F2" w:rsidP="00CF5932">
            <w:pPr>
              <w:spacing w:after="60"/>
              <w:ind w:left="-108"/>
              <w:rPr>
                <w:rFonts w:cs="Arial"/>
              </w:rPr>
            </w:pPr>
            <w:r w:rsidRPr="00C24CFD">
              <w:rPr>
                <w:rFonts w:cs="Arial"/>
              </w:rPr>
              <w:t xml:space="preserve">Za </w:t>
            </w:r>
            <w:r w:rsidR="000C42DA">
              <w:rPr>
                <w:rFonts w:cs="Arial"/>
              </w:rPr>
              <w:t>Poskytovatele</w:t>
            </w:r>
            <w:r>
              <w:rPr>
                <w:rFonts w:cs="Arial"/>
              </w:rPr>
              <w:t>:</w:t>
            </w:r>
          </w:p>
          <w:p w:rsidR="004519F2" w:rsidRPr="00C24CFD" w:rsidRDefault="004519F2" w:rsidP="00CF5932">
            <w:pPr>
              <w:ind w:left="-108"/>
              <w:rPr>
                <w:rFonts w:cs="Arial"/>
                <w:iCs/>
              </w:rPr>
            </w:pPr>
          </w:p>
        </w:tc>
      </w:tr>
      <w:tr w:rsidR="004519F2" w:rsidRPr="00C24CFD" w:rsidTr="00CF5932">
        <w:tc>
          <w:tcPr>
            <w:tcW w:w="3969" w:type="dxa"/>
            <w:shd w:val="clear" w:color="auto" w:fill="auto"/>
          </w:tcPr>
          <w:p w:rsidR="004519F2" w:rsidRPr="00C24CFD" w:rsidRDefault="004519F2" w:rsidP="00CF5932">
            <w:pPr>
              <w:ind w:left="-108"/>
              <w:rPr>
                <w:rFonts w:cs="Arial"/>
                <w:iCs/>
              </w:rPr>
            </w:pPr>
            <w:r w:rsidRPr="00C24CFD">
              <w:rPr>
                <w:rFonts w:cs="Arial"/>
                <w:iCs/>
              </w:rPr>
              <w:t>V Praze dne</w:t>
            </w:r>
            <w:r>
              <w:rPr>
                <w:rFonts w:cs="Arial"/>
                <w:iCs/>
              </w:rPr>
              <w:t xml:space="preserve"> ________________</w:t>
            </w:r>
          </w:p>
        </w:tc>
        <w:tc>
          <w:tcPr>
            <w:tcW w:w="1134" w:type="dxa"/>
            <w:shd w:val="clear" w:color="auto" w:fill="auto"/>
          </w:tcPr>
          <w:p w:rsidR="004519F2" w:rsidRPr="00C24CFD" w:rsidRDefault="004519F2" w:rsidP="00CF5932">
            <w:pPr>
              <w:ind w:left="-108"/>
              <w:rPr>
                <w:rFonts w:cs="Arial"/>
                <w:iCs/>
              </w:rPr>
            </w:pPr>
          </w:p>
        </w:tc>
        <w:tc>
          <w:tcPr>
            <w:tcW w:w="3969" w:type="dxa"/>
            <w:shd w:val="clear" w:color="auto" w:fill="auto"/>
          </w:tcPr>
          <w:p w:rsidR="004519F2" w:rsidRPr="00C24CFD" w:rsidRDefault="004519F2" w:rsidP="00CF5932">
            <w:pPr>
              <w:ind w:left="-108"/>
              <w:rPr>
                <w:rFonts w:cs="Arial"/>
                <w:iCs/>
              </w:rPr>
            </w:pPr>
            <w:r w:rsidRPr="00C24CFD">
              <w:rPr>
                <w:rFonts w:cs="Arial"/>
                <w:iCs/>
              </w:rPr>
              <w:t xml:space="preserve">V </w:t>
            </w:r>
            <w:r>
              <w:rPr>
                <w:rFonts w:cs="Arial"/>
                <w:iCs/>
              </w:rPr>
              <w:t>_______</w:t>
            </w:r>
            <w:r w:rsidRPr="00C24CFD">
              <w:rPr>
                <w:rFonts w:cs="Arial"/>
                <w:iCs/>
              </w:rPr>
              <w:t xml:space="preserve"> dne</w:t>
            </w:r>
            <w:r>
              <w:rPr>
                <w:rFonts w:cs="Arial"/>
                <w:iCs/>
              </w:rPr>
              <w:t xml:space="preserve"> ________________</w:t>
            </w:r>
            <w:r w:rsidRPr="00C24CFD">
              <w:rPr>
                <w:rFonts w:cs="Arial"/>
                <w:iCs/>
              </w:rPr>
              <w:t xml:space="preserve"> </w:t>
            </w:r>
          </w:p>
        </w:tc>
      </w:tr>
      <w:tr w:rsidR="004519F2" w:rsidRPr="00C24CFD" w:rsidTr="00CF5932">
        <w:tc>
          <w:tcPr>
            <w:tcW w:w="3969" w:type="dxa"/>
            <w:tcBorders>
              <w:bottom w:val="single" w:sz="4" w:space="0" w:color="auto"/>
            </w:tcBorders>
            <w:shd w:val="clear" w:color="auto" w:fill="auto"/>
          </w:tcPr>
          <w:p w:rsidR="004519F2" w:rsidRDefault="004519F2" w:rsidP="00CF5932">
            <w:pPr>
              <w:ind w:left="-108"/>
              <w:rPr>
                <w:rFonts w:cs="Arial"/>
                <w:iCs/>
              </w:rPr>
            </w:pPr>
          </w:p>
          <w:p w:rsidR="004519F2" w:rsidRDefault="004519F2" w:rsidP="00CF5932">
            <w:pPr>
              <w:ind w:left="-108"/>
              <w:rPr>
                <w:rFonts w:cs="Arial"/>
                <w:iCs/>
              </w:rPr>
            </w:pPr>
          </w:p>
          <w:p w:rsidR="004519F2" w:rsidRDefault="004519F2" w:rsidP="00CF5932">
            <w:pPr>
              <w:ind w:left="-108"/>
              <w:rPr>
                <w:rFonts w:cs="Arial"/>
                <w:iCs/>
              </w:rPr>
            </w:pPr>
          </w:p>
          <w:p w:rsidR="004519F2" w:rsidRPr="00C24CFD" w:rsidRDefault="004519F2" w:rsidP="00CF5932">
            <w:pPr>
              <w:ind w:left="-108"/>
              <w:rPr>
                <w:rFonts w:cs="Arial"/>
                <w:iCs/>
              </w:rPr>
            </w:pPr>
          </w:p>
        </w:tc>
        <w:tc>
          <w:tcPr>
            <w:tcW w:w="1134" w:type="dxa"/>
            <w:shd w:val="clear" w:color="auto" w:fill="auto"/>
          </w:tcPr>
          <w:p w:rsidR="004519F2" w:rsidRPr="00C24CFD" w:rsidRDefault="004519F2" w:rsidP="00CF5932">
            <w:pPr>
              <w:ind w:left="-108"/>
              <w:rPr>
                <w:rFonts w:cs="Arial"/>
                <w:iCs/>
              </w:rPr>
            </w:pPr>
          </w:p>
        </w:tc>
        <w:tc>
          <w:tcPr>
            <w:tcW w:w="3969" w:type="dxa"/>
            <w:tcBorders>
              <w:bottom w:val="single" w:sz="4" w:space="0" w:color="auto"/>
            </w:tcBorders>
            <w:shd w:val="clear" w:color="auto" w:fill="auto"/>
          </w:tcPr>
          <w:p w:rsidR="004519F2" w:rsidRPr="00C24CFD" w:rsidRDefault="004519F2" w:rsidP="00CF5932">
            <w:pPr>
              <w:ind w:left="-108"/>
              <w:rPr>
                <w:rFonts w:cs="Arial"/>
                <w:iCs/>
              </w:rPr>
            </w:pPr>
          </w:p>
        </w:tc>
      </w:tr>
      <w:tr w:rsidR="004519F2" w:rsidRPr="00C24CFD" w:rsidTr="00CF5932">
        <w:tc>
          <w:tcPr>
            <w:tcW w:w="3969" w:type="dxa"/>
            <w:tcBorders>
              <w:top w:val="single" w:sz="4" w:space="0" w:color="auto"/>
            </w:tcBorders>
            <w:shd w:val="clear" w:color="auto" w:fill="auto"/>
          </w:tcPr>
          <w:p w:rsidR="004519F2" w:rsidRPr="00A644D5" w:rsidRDefault="004519F2" w:rsidP="00CF5932">
            <w:pPr>
              <w:spacing w:before="120" w:after="0"/>
              <w:ind w:left="-108"/>
              <w:rPr>
                <w:rFonts w:cs="Arial"/>
                <w:b/>
                <w:iCs/>
              </w:rPr>
            </w:pPr>
            <w:r w:rsidRPr="00A644D5">
              <w:rPr>
                <w:rFonts w:cs="Arial"/>
                <w:b/>
                <w:iCs/>
              </w:rPr>
              <w:t>Česká republika</w:t>
            </w:r>
          </w:p>
          <w:p w:rsidR="004519F2" w:rsidRPr="00A644D5" w:rsidRDefault="004519F2" w:rsidP="00CF5932">
            <w:pPr>
              <w:spacing w:after="0"/>
              <w:ind w:left="-108"/>
              <w:rPr>
                <w:rFonts w:cs="Arial"/>
                <w:b/>
                <w:iCs/>
              </w:rPr>
            </w:pPr>
            <w:r w:rsidRPr="00A644D5">
              <w:rPr>
                <w:rFonts w:cs="Arial"/>
                <w:b/>
                <w:iCs/>
              </w:rPr>
              <w:t xml:space="preserve">Ministerstvo </w:t>
            </w:r>
            <w:r>
              <w:rPr>
                <w:rFonts w:cs="Arial"/>
                <w:b/>
                <w:iCs/>
              </w:rPr>
              <w:t>financí</w:t>
            </w:r>
          </w:p>
          <w:p w:rsidR="004519F2" w:rsidRPr="00B27BAC" w:rsidRDefault="004519F2" w:rsidP="00CF5932">
            <w:pPr>
              <w:spacing w:before="60" w:after="0"/>
              <w:ind w:left="-108"/>
              <w:rPr>
                <w:rFonts w:cs="Arial"/>
              </w:rPr>
            </w:pPr>
            <w:r w:rsidRPr="00B27BAC">
              <w:rPr>
                <w:rFonts w:cs="Arial"/>
              </w:rPr>
              <w:t>Michal Kříž</w:t>
            </w:r>
          </w:p>
          <w:p w:rsidR="004519F2" w:rsidRPr="00B27BAC" w:rsidRDefault="004519F2" w:rsidP="00CF5932">
            <w:pPr>
              <w:spacing w:after="0"/>
              <w:ind w:left="-108"/>
              <w:rPr>
                <w:rFonts w:cs="Arial"/>
                <w:iCs/>
              </w:rPr>
            </w:pPr>
            <w:r w:rsidRPr="00B27BAC">
              <w:rPr>
                <w:rFonts w:cs="Arial"/>
              </w:rPr>
              <w:t>ředitel odboru 13 – Hospodářská správa</w:t>
            </w:r>
          </w:p>
          <w:p w:rsidR="004519F2" w:rsidRPr="00C24CFD" w:rsidRDefault="004519F2" w:rsidP="00CF5932">
            <w:pPr>
              <w:spacing w:before="120" w:after="0"/>
              <w:ind w:left="-108"/>
              <w:jc w:val="left"/>
              <w:rPr>
                <w:rFonts w:cs="Arial"/>
                <w:iCs/>
              </w:rPr>
            </w:pPr>
          </w:p>
        </w:tc>
        <w:tc>
          <w:tcPr>
            <w:tcW w:w="1134" w:type="dxa"/>
            <w:shd w:val="clear" w:color="auto" w:fill="auto"/>
          </w:tcPr>
          <w:p w:rsidR="004519F2" w:rsidRPr="00C24CFD" w:rsidRDefault="004519F2" w:rsidP="00CF5932">
            <w:pPr>
              <w:rPr>
                <w:rFonts w:cs="Arial"/>
                <w:iCs/>
              </w:rPr>
            </w:pPr>
          </w:p>
        </w:tc>
        <w:tc>
          <w:tcPr>
            <w:tcW w:w="3969" w:type="dxa"/>
            <w:tcBorders>
              <w:top w:val="single" w:sz="4" w:space="0" w:color="auto"/>
            </w:tcBorders>
            <w:shd w:val="clear" w:color="auto" w:fill="auto"/>
          </w:tcPr>
          <w:p w:rsidR="004519F2" w:rsidRPr="00B27BAC" w:rsidRDefault="004519F2" w:rsidP="00CF5932">
            <w:pPr>
              <w:spacing w:before="120" w:after="0"/>
              <w:ind w:left="-108"/>
              <w:rPr>
                <w:rFonts w:cs="Arial"/>
                <w:iCs/>
              </w:rPr>
            </w:pPr>
            <w:r w:rsidRPr="005E4B2B">
              <w:rPr>
                <w:rFonts w:cs="Arial"/>
              </w:rPr>
              <w:t xml:space="preserve"> </w:t>
            </w:r>
            <w:r w:rsidRPr="00B27BAC">
              <w:rPr>
                <w:rFonts w:cs="Arial"/>
                <w:highlight w:val="yellow"/>
              </w:rPr>
              <w:t>[</w:t>
            </w:r>
            <w:r>
              <w:rPr>
                <w:rFonts w:cs="Arial"/>
                <w:highlight w:val="yellow"/>
              </w:rPr>
              <w:t xml:space="preserve">DOPLNÍ </w:t>
            </w:r>
            <w:r w:rsidR="000C42DA">
              <w:rPr>
                <w:rFonts w:cs="Arial"/>
                <w:highlight w:val="yellow"/>
              </w:rPr>
              <w:t>POSKYTO</w:t>
            </w:r>
            <w:r>
              <w:rPr>
                <w:rFonts w:cs="Arial"/>
                <w:highlight w:val="yellow"/>
              </w:rPr>
              <w:t>VATEL</w:t>
            </w:r>
            <w:r w:rsidRPr="00B27BAC">
              <w:rPr>
                <w:rFonts w:cs="Arial"/>
                <w:highlight w:val="yellow"/>
              </w:rPr>
              <w:t>]</w:t>
            </w:r>
          </w:p>
          <w:p w:rsidR="004519F2" w:rsidRPr="00C24CFD" w:rsidRDefault="004519F2" w:rsidP="00CF5932">
            <w:pPr>
              <w:spacing w:before="120" w:after="0"/>
              <w:ind w:left="-108"/>
              <w:rPr>
                <w:rFonts w:cs="Arial"/>
                <w:iCs/>
              </w:rPr>
            </w:pPr>
          </w:p>
        </w:tc>
      </w:tr>
    </w:tbl>
    <w:p w:rsidR="004519F2" w:rsidRDefault="004519F2" w:rsidP="004519F2"/>
    <w:p w:rsidR="00CC7293" w:rsidRDefault="00CC7293" w:rsidP="004519F2"/>
    <w:p w:rsidR="00CC7293" w:rsidRDefault="00CC7293" w:rsidP="004519F2">
      <w:pPr>
        <w:sectPr w:rsidR="00CC7293" w:rsidSect="00914CEB">
          <w:footerReference w:type="default" r:id="rId15"/>
          <w:pgSz w:w="11906" w:h="16838"/>
          <w:pgMar w:top="1417" w:right="1417" w:bottom="1276" w:left="1417" w:header="708" w:footer="708" w:gutter="0"/>
          <w:cols w:space="708"/>
          <w:docGrid w:linePitch="360"/>
        </w:sectPr>
      </w:pPr>
    </w:p>
    <w:p w:rsidR="00CC7293" w:rsidRPr="00CC7293" w:rsidRDefault="00CC7293" w:rsidP="00CC7293">
      <w:pPr>
        <w:spacing w:after="60"/>
        <w:jc w:val="center"/>
        <w:rPr>
          <w:b/>
        </w:rPr>
      </w:pPr>
      <w:r w:rsidRPr="00CC7293">
        <w:rPr>
          <w:b/>
        </w:rPr>
        <w:lastRenderedPageBreak/>
        <w:t>Příloha č. 1</w:t>
      </w:r>
    </w:p>
    <w:p w:rsidR="00CC7293" w:rsidRDefault="00474097" w:rsidP="00CC7293">
      <w:pPr>
        <w:jc w:val="center"/>
        <w:rPr>
          <w:b/>
        </w:rPr>
      </w:pPr>
      <w:r>
        <w:rPr>
          <w:b/>
        </w:rPr>
        <w:t>Nabídkový list</w:t>
      </w:r>
    </w:p>
    <w:p w:rsidR="00474097" w:rsidRDefault="00474097" w:rsidP="00CC7293">
      <w:pPr>
        <w:jc w:val="center"/>
        <w:rPr>
          <w:b/>
        </w:rPr>
      </w:pPr>
    </w:p>
    <w:p w:rsidR="00474097" w:rsidRDefault="00474097">
      <w:pPr>
        <w:spacing w:after="200"/>
        <w:jc w:val="left"/>
        <w:rPr>
          <w:b/>
        </w:rPr>
      </w:pPr>
      <w:r>
        <w:rPr>
          <w:b/>
        </w:rPr>
        <w:br w:type="page"/>
      </w:r>
    </w:p>
    <w:p w:rsidR="00474097" w:rsidRDefault="00474097" w:rsidP="00474097">
      <w:pPr>
        <w:spacing w:after="60"/>
        <w:jc w:val="center"/>
        <w:rPr>
          <w:b/>
        </w:rPr>
      </w:pPr>
      <w:r>
        <w:rPr>
          <w:b/>
        </w:rPr>
        <w:lastRenderedPageBreak/>
        <w:t>Příloha č. 2</w:t>
      </w:r>
    </w:p>
    <w:p w:rsidR="00474097" w:rsidRPr="00CC7293" w:rsidRDefault="00474097" w:rsidP="00CC7293">
      <w:pPr>
        <w:jc w:val="center"/>
        <w:rPr>
          <w:b/>
        </w:rPr>
      </w:pPr>
      <w:r>
        <w:rPr>
          <w:b/>
        </w:rPr>
        <w:t>Specifikace Servisní činnosti</w:t>
      </w:r>
    </w:p>
    <w:p w:rsidR="00CC7293" w:rsidRPr="00CC7293" w:rsidRDefault="00CC7293" w:rsidP="00CC7293">
      <w:pPr>
        <w:jc w:val="center"/>
        <w:rPr>
          <w:b/>
        </w:rPr>
      </w:pPr>
    </w:p>
    <w:p w:rsidR="00CC7293" w:rsidRPr="00CC7293" w:rsidRDefault="00CC7293" w:rsidP="00CC7293">
      <w:pPr>
        <w:jc w:val="center"/>
        <w:rPr>
          <w:b/>
        </w:rPr>
      </w:pPr>
    </w:p>
    <w:p w:rsidR="00C45D9C" w:rsidRPr="00C45D9C" w:rsidRDefault="00C45D9C" w:rsidP="00E7202C">
      <w:pPr>
        <w:spacing w:after="200"/>
        <w:jc w:val="left"/>
      </w:pPr>
    </w:p>
    <w:sectPr w:rsidR="00C45D9C" w:rsidRPr="00C45D9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1A" w:rsidRDefault="00EB351A" w:rsidP="00CC7293">
      <w:pPr>
        <w:spacing w:after="0" w:line="240" w:lineRule="auto"/>
      </w:pPr>
      <w:r>
        <w:separator/>
      </w:r>
    </w:p>
  </w:endnote>
  <w:endnote w:type="continuationSeparator" w:id="0">
    <w:p w:rsidR="00EB351A" w:rsidRDefault="00EB351A"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rsidR="00CC7293" w:rsidRPr="00CC7293" w:rsidRDefault="00CC7293">
            <w:pPr>
              <w:pStyle w:val="Zpat"/>
              <w:jc w:val="center"/>
              <w:rPr>
                <w:szCs w:val="20"/>
              </w:rPr>
            </w:pPr>
            <w:proofErr w:type="gramStart"/>
            <w:r w:rsidRPr="00CC7293">
              <w:rPr>
                <w:szCs w:val="20"/>
              </w:rPr>
              <w:t xml:space="preserve">Stránka </w:t>
            </w:r>
            <w:proofErr w:type="gramEnd"/>
            <w:r w:rsidRPr="00CC7293">
              <w:rPr>
                <w:bCs/>
                <w:szCs w:val="20"/>
              </w:rPr>
              <w:fldChar w:fldCharType="begin"/>
            </w:r>
            <w:r w:rsidRPr="00CC7293">
              <w:rPr>
                <w:bCs/>
                <w:szCs w:val="20"/>
              </w:rPr>
              <w:instrText>PAGE</w:instrText>
            </w:r>
            <w:r w:rsidRPr="00CC7293">
              <w:rPr>
                <w:bCs/>
                <w:szCs w:val="20"/>
              </w:rPr>
              <w:fldChar w:fldCharType="separate"/>
            </w:r>
            <w:r w:rsidR="007E0C19">
              <w:rPr>
                <w:bCs/>
                <w:noProof/>
                <w:szCs w:val="20"/>
              </w:rPr>
              <w:t>6</w:t>
            </w:r>
            <w:r w:rsidRPr="00CC7293">
              <w:rPr>
                <w:bCs/>
                <w:szCs w:val="20"/>
              </w:rPr>
              <w:fldChar w:fldCharType="end"/>
            </w:r>
            <w:proofErr w:type="gramStart"/>
            <w:r w:rsidRPr="00CC7293">
              <w:rPr>
                <w:szCs w:val="20"/>
              </w:rPr>
              <w:t xml:space="preserve"> z </w:t>
            </w:r>
            <w:r w:rsidR="00AE1A8F">
              <w:rPr>
                <w:bCs/>
                <w:szCs w:val="20"/>
              </w:rPr>
              <w:t>7</w:t>
            </w:r>
            <w:proofErr w:type="gramEnd"/>
          </w:p>
        </w:sdtContent>
      </w:sdt>
    </w:sdtContent>
  </w:sdt>
  <w:p w:rsidR="00CC7293" w:rsidRDefault="00CC729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1A" w:rsidRDefault="00EB351A" w:rsidP="00CC7293">
      <w:pPr>
        <w:spacing w:after="0" w:line="240" w:lineRule="auto"/>
      </w:pPr>
      <w:r>
        <w:separator/>
      </w:r>
    </w:p>
  </w:footnote>
  <w:footnote w:type="continuationSeparator" w:id="0">
    <w:p w:rsidR="00EB351A" w:rsidRDefault="00EB351A"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93" w:rsidRDefault="00CC7293" w:rsidP="00CC7293">
    <w:pPr>
      <w:pStyle w:val="Zhlav"/>
      <w:jc w:val="right"/>
    </w:pPr>
    <w:r w:rsidRPr="00FB23DF">
      <w:t>Číslo v CES</w:t>
    </w:r>
    <w:r w:rsidRPr="00C45D9C">
      <w:t xml:space="preserve">: </w:t>
    </w:r>
    <w:r w:rsidRPr="00C45D9C">
      <w:rPr>
        <w:highlight w:val="green"/>
      </w:rPr>
      <w:t>BUDE DOPLNĚNO</w:t>
    </w:r>
  </w:p>
  <w:p w:rsidR="00CC7293" w:rsidRDefault="00CC72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717F"/>
    <w:multiLevelType w:val="hybridMultilevel"/>
    <w:tmpl w:val="B79C76B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87402F7"/>
    <w:multiLevelType w:val="hybridMultilevel"/>
    <w:tmpl w:val="49E6587E"/>
    <w:lvl w:ilvl="0" w:tplc="030C60F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A1E484E"/>
    <w:multiLevelType w:val="hybridMultilevel"/>
    <w:tmpl w:val="97761DDA"/>
    <w:lvl w:ilvl="0" w:tplc="04050011">
      <w:start w:val="1"/>
      <w:numFmt w:val="decimal"/>
      <w:lvlText w:val="%1)"/>
      <w:lvlJc w:val="left"/>
      <w:pPr>
        <w:ind w:left="786" w:hanging="360"/>
      </w:pPr>
      <w:rPr>
        <w:rFonts w:hint="default"/>
      </w:rPr>
    </w:lvl>
    <w:lvl w:ilvl="1" w:tplc="DB30785C">
      <w:numFmt w:val="bullet"/>
      <w:lvlText w:val="-"/>
      <w:lvlJc w:val="left"/>
      <w:pPr>
        <w:ind w:left="1506" w:hanging="360"/>
      </w:pPr>
      <w:rPr>
        <w:rFonts w:ascii="Times New Roman" w:eastAsia="Times New Roman" w:hAnsi="Times New Roman" w:cs="Times New Roman"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9F76099"/>
    <w:multiLevelType w:val="hybridMultilevel"/>
    <w:tmpl w:val="CA1298FA"/>
    <w:lvl w:ilvl="0" w:tplc="C570CAF6">
      <w:start w:val="1"/>
      <w:numFmt w:val="low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5C475F"/>
    <w:multiLevelType w:val="hybridMultilevel"/>
    <w:tmpl w:val="8C4E112A"/>
    <w:lvl w:ilvl="0" w:tplc="04050011">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7C7F66"/>
    <w:multiLevelType w:val="hybridMultilevel"/>
    <w:tmpl w:val="EA7884BE"/>
    <w:lvl w:ilvl="0" w:tplc="DD82671E">
      <w:start w:val="1"/>
      <w:numFmt w:val="decimal"/>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8">
    <w:nsid w:val="2D235D99"/>
    <w:multiLevelType w:val="multilevel"/>
    <w:tmpl w:val="04F2F40C"/>
    <w:lvl w:ilvl="0">
      <w:start w:val="1"/>
      <w:numFmt w:val="decimal"/>
      <w:pStyle w:val="Nadpis1"/>
      <w:lvlText w:val="%1"/>
      <w:lvlJc w:val="left"/>
      <w:pPr>
        <w:ind w:left="432" w:hanging="432"/>
      </w:pPr>
    </w:lvl>
    <w:lvl w:ilvl="1">
      <w:start w:val="1"/>
      <w:numFmt w:val="decimal"/>
      <w:pStyle w:val="Nadpis2"/>
      <w:lvlText w:val="%1.%2"/>
      <w:lvlJc w:val="left"/>
      <w:pPr>
        <w:ind w:left="576" w:hanging="576"/>
      </w:pPr>
      <w:rPr>
        <w:i w:val="0"/>
        <w:color w:val="auto"/>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nsid w:val="33A32EBA"/>
    <w:multiLevelType w:val="hybridMultilevel"/>
    <w:tmpl w:val="E364150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C5F4A2A"/>
    <w:multiLevelType w:val="hybridMultilevel"/>
    <w:tmpl w:val="E0162F9C"/>
    <w:lvl w:ilvl="0" w:tplc="DB12D374">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1">
    <w:nsid w:val="46613F8E"/>
    <w:multiLevelType w:val="hybridMultilevel"/>
    <w:tmpl w:val="181063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79D726D"/>
    <w:multiLevelType w:val="hybridMultilevel"/>
    <w:tmpl w:val="164CC3B8"/>
    <w:lvl w:ilvl="0" w:tplc="1A7C7C68">
      <w:start w:val="1"/>
      <w:numFmt w:val="lowerLetter"/>
      <w:pStyle w:val="Nadpis4"/>
      <w:lvlText w:val="%1)"/>
      <w:lvlJc w:val="left"/>
      <w:pPr>
        <w:ind w:left="720" w:hanging="360"/>
      </w:pPr>
      <w:rPr>
        <w:b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795150E"/>
    <w:multiLevelType w:val="hybridMultilevel"/>
    <w:tmpl w:val="ECA63E0C"/>
    <w:lvl w:ilvl="0" w:tplc="BE8C93AC">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733D349D"/>
    <w:multiLevelType w:val="hybridMultilevel"/>
    <w:tmpl w:val="BF665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7622E"/>
    <w:multiLevelType w:val="hybridMultilevel"/>
    <w:tmpl w:val="B5421F6A"/>
    <w:lvl w:ilvl="0" w:tplc="FD1824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8"/>
  </w:num>
  <w:num w:numId="4">
    <w:abstractNumId w:val="5"/>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2"/>
    <w:lvlOverride w:ilvl="0">
      <w:startOverride w:val="1"/>
    </w:lvlOverride>
  </w:num>
  <w:num w:numId="12">
    <w:abstractNumId w:val="7"/>
  </w:num>
  <w:num w:numId="13">
    <w:abstractNumId w:val="0"/>
  </w:num>
  <w:num w:numId="14">
    <w:abstractNumId w:val="7"/>
    <w:lvlOverride w:ilvl="0">
      <w:startOverride w:val="1"/>
    </w:lvlOverride>
  </w:num>
  <w:num w:numId="15">
    <w:abstractNumId w:val="17"/>
  </w:num>
  <w:num w:numId="16">
    <w:abstractNumId w:val="2"/>
  </w:num>
  <w:num w:numId="17">
    <w:abstractNumId w:val="6"/>
  </w:num>
  <w:num w:numId="18">
    <w:abstractNumId w:val="13"/>
  </w:num>
  <w:num w:numId="19">
    <w:abstractNumId w:val="9"/>
  </w:num>
  <w:num w:numId="20">
    <w:abstractNumId w:val="1"/>
  </w:num>
  <w:num w:numId="21">
    <w:abstractNumId w:val="12"/>
    <w:lvlOverride w:ilvl="0">
      <w:startOverride w:val="1"/>
    </w:lvlOverride>
  </w:num>
  <w:num w:numId="22">
    <w:abstractNumId w:val="11"/>
  </w:num>
  <w:num w:numId="23">
    <w:abstractNumId w:val="10"/>
  </w:num>
  <w:num w:numId="24">
    <w:abstractNumId w:val="10"/>
    <w:lvlOverride w:ilvl="0">
      <w:startOverride w:val="1"/>
    </w:lvlOverride>
  </w:num>
  <w:num w:numId="25">
    <w:abstractNumId w:val="16"/>
  </w:num>
  <w:num w:numId="26">
    <w:abstractNumId w:val="12"/>
    <w:lvlOverride w:ilvl="0">
      <w:startOverride w:val="1"/>
    </w:lvlOverride>
  </w:num>
  <w:num w:numId="27">
    <w:abstractNumId w:val="12"/>
    <w:lvlOverride w:ilvl="0">
      <w:startOverride w:val="1"/>
    </w:lvlOverride>
  </w:num>
  <w:num w:numId="28">
    <w:abstractNumId w:val="8"/>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1A"/>
    <w:rsid w:val="00022F32"/>
    <w:rsid w:val="0004742A"/>
    <w:rsid w:val="00080C92"/>
    <w:rsid w:val="000C42DA"/>
    <w:rsid w:val="0010308D"/>
    <w:rsid w:val="002018AB"/>
    <w:rsid w:val="00270263"/>
    <w:rsid w:val="002C1EA5"/>
    <w:rsid w:val="003634DD"/>
    <w:rsid w:val="003B19D3"/>
    <w:rsid w:val="004519F2"/>
    <w:rsid w:val="00474097"/>
    <w:rsid w:val="00522C7B"/>
    <w:rsid w:val="0059790C"/>
    <w:rsid w:val="006415EA"/>
    <w:rsid w:val="006429C9"/>
    <w:rsid w:val="006C485C"/>
    <w:rsid w:val="0071193D"/>
    <w:rsid w:val="00787B35"/>
    <w:rsid w:val="007E0C19"/>
    <w:rsid w:val="00810DA4"/>
    <w:rsid w:val="00833A80"/>
    <w:rsid w:val="00834020"/>
    <w:rsid w:val="0087049A"/>
    <w:rsid w:val="008E3942"/>
    <w:rsid w:val="00910218"/>
    <w:rsid w:val="00914CEB"/>
    <w:rsid w:val="00916B94"/>
    <w:rsid w:val="009806B3"/>
    <w:rsid w:val="00A1310D"/>
    <w:rsid w:val="00AE1A8F"/>
    <w:rsid w:val="00C20D17"/>
    <w:rsid w:val="00C43645"/>
    <w:rsid w:val="00C45D9C"/>
    <w:rsid w:val="00CC7293"/>
    <w:rsid w:val="00D761B2"/>
    <w:rsid w:val="00E57720"/>
    <w:rsid w:val="00E7202C"/>
    <w:rsid w:val="00EB351A"/>
    <w:rsid w:val="00F51B34"/>
    <w:rsid w:val="00FD0E6B"/>
    <w:rsid w:val="00FD59A3"/>
    <w:rsid w:val="00FE0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AE1A8F"/>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AE1A8F"/>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uiPriority w:val="99"/>
    <w:rsid w:val="00FD0E6B"/>
    <w:rPr>
      <w:rFonts w:cs="Times New Roman"/>
      <w:color w:val="0000FF"/>
      <w:u w:val="single"/>
    </w:rPr>
  </w:style>
  <w:style w:type="character" w:customStyle="1" w:styleId="adresar2">
    <w:name w:val="adresar2"/>
    <w:uiPriority w:val="99"/>
    <w:rsid w:val="00FD0E6B"/>
    <w:rPr>
      <w:rFonts w:cs="Times New Roman"/>
      <w:sz w:val="27"/>
      <w:szCs w:val="27"/>
      <w:shd w:val="clear" w:color="auto" w:fill="auto"/>
    </w:rPr>
  </w:style>
  <w:style w:type="paragraph" w:styleId="Bezmezer">
    <w:name w:val="No Spacing"/>
    <w:uiPriority w:val="1"/>
    <w:qFormat/>
    <w:rsid w:val="00FD0E6B"/>
    <w:pPr>
      <w:spacing w:after="0" w:line="240" w:lineRule="auto"/>
    </w:pPr>
    <w:rPr>
      <w:rFonts w:ascii="Arial" w:eastAsia="Calibri"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AE1A8F"/>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AE1A8F"/>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rsid w:val="004519F2"/>
    <w:rPr>
      <w:rFonts w:eastAsia="Times New Roman" w:cs="Times New Roman"/>
      <w:szCs w:val="20"/>
    </w:rPr>
  </w:style>
  <w:style w:type="character" w:customStyle="1" w:styleId="TextkomenteChar">
    <w:name w:val="Text komentáře Char"/>
    <w:basedOn w:val="Standardnpsmoodstavce"/>
    <w:link w:val="Textkomente"/>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uiPriority w:val="99"/>
    <w:rsid w:val="00FD0E6B"/>
    <w:rPr>
      <w:rFonts w:cs="Times New Roman"/>
      <w:color w:val="0000FF"/>
      <w:u w:val="single"/>
    </w:rPr>
  </w:style>
  <w:style w:type="character" w:customStyle="1" w:styleId="adresar2">
    <w:name w:val="adresar2"/>
    <w:uiPriority w:val="99"/>
    <w:rsid w:val="00FD0E6B"/>
    <w:rPr>
      <w:rFonts w:cs="Times New Roman"/>
      <w:sz w:val="27"/>
      <w:szCs w:val="27"/>
      <w:shd w:val="clear" w:color="auto" w:fill="auto"/>
    </w:rPr>
  </w:style>
  <w:style w:type="paragraph" w:styleId="Bezmezer">
    <w:name w:val="No Spacing"/>
    <w:uiPriority w:val="1"/>
    <w:qFormat/>
    <w:rsid w:val="00FD0E6B"/>
    <w:pPr>
      <w:spacing w:after="0" w:line="240" w:lineRule="auto"/>
    </w:pPr>
    <w:rPr>
      <w:rFonts w:ascii="Arial" w:eastAsia="Calibri"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11386445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kas.majerech@mfcr.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ska.horalkova@mfc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holecek@m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iri.labsky@mfcr.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ukas.majerech@mfcr.cz" TargetMode="External"/><Relationship Id="rId14" Type="http://schemas.openxmlformats.org/officeDocument/2006/relationships/hyperlink" Target="mailto:pavel.kopecky@mfcr.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4EAF-E6F7-44A9-9533-9AD4AAD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181</TotalTime>
  <Pages>9</Pages>
  <Words>2716</Words>
  <Characters>16025</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Večeřová Petra Ing.</cp:lastModifiedBy>
  <cp:revision>6</cp:revision>
  <dcterms:created xsi:type="dcterms:W3CDTF">2017-04-05T09:03:00Z</dcterms:created>
  <dcterms:modified xsi:type="dcterms:W3CDTF">2017-05-12T10:53:00Z</dcterms:modified>
</cp:coreProperties>
</file>