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5BD6">
        <w:rPr>
          <w:b/>
          <w:sz w:val="22"/>
          <w:szCs w:val="22"/>
        </w:rPr>
        <w:t>1</w:t>
      </w:r>
      <w:r w:rsidR="001F47CF">
        <w:rPr>
          <w:b/>
          <w:sz w:val="22"/>
          <w:szCs w:val="22"/>
        </w:rPr>
        <w:t>3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Objednatel se zavazuje Dílo dodané zhotovitelem v souladu s toto smlouvou převzít a zhotoviteli za něj při splnění podmínek dle této </w:t>
      </w:r>
      <w:r w:rsidR="005B3C79">
        <w:rPr>
          <w:sz w:val="22"/>
          <w:szCs w:val="22"/>
        </w:rPr>
        <w:t>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5B3C79" w:rsidRDefault="005B3C79" w:rsidP="005B3C79">
      <w:pPr>
        <w:pStyle w:val="Odstavecseseznamem"/>
        <w:rPr>
          <w:sz w:val="22"/>
          <w:szCs w:val="22"/>
        </w:rPr>
      </w:pPr>
    </w:p>
    <w:p w:rsidR="005B3C79" w:rsidRDefault="005B3C79" w:rsidP="005B3C79">
      <w:pPr>
        <w:pStyle w:val="Odstavecseseznamem"/>
        <w:rPr>
          <w:sz w:val="22"/>
          <w:szCs w:val="22"/>
        </w:rPr>
      </w:pPr>
    </w:p>
    <w:p w:rsidR="005B3C79" w:rsidRDefault="005B3C79" w:rsidP="005B3C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5B3C79" w:rsidRDefault="005B3C79" w:rsidP="005B3C79">
      <w:pPr>
        <w:rPr>
          <w:sz w:val="22"/>
          <w:szCs w:val="22"/>
        </w:rPr>
      </w:pPr>
    </w:p>
    <w:p w:rsidR="005B3C79" w:rsidRDefault="005B3C79" w:rsidP="005B3C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5B3C79" w:rsidRDefault="005B3C79" w:rsidP="005B3C79">
      <w:pPr>
        <w:suppressAutoHyphens/>
        <w:ind w:left="644"/>
        <w:jc w:val="both"/>
        <w:rPr>
          <w:sz w:val="22"/>
          <w:szCs w:val="22"/>
        </w:rPr>
      </w:pPr>
    </w:p>
    <w:p w:rsidR="005B3C79" w:rsidRPr="005B3C79" w:rsidRDefault="005B3C79" w:rsidP="005B3C79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91396" w:rsidRDefault="00705328" w:rsidP="0009139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2D7558">
        <w:rPr>
          <w:rFonts w:ascii="Times New Roman" w:hAnsi="Times New Roman" w:cs="Times New Roman"/>
          <w:lang w:val="cs-CZ"/>
        </w:rPr>
        <w:t>1</w:t>
      </w:r>
      <w:r w:rsidR="001F47CF">
        <w:rPr>
          <w:rFonts w:ascii="Times New Roman" w:hAnsi="Times New Roman" w:cs="Times New Roman"/>
          <w:lang w:val="cs-CZ"/>
        </w:rPr>
        <w:t>5</w:t>
      </w:r>
      <w:r w:rsidR="002D7558" w:rsidRPr="00091396">
        <w:rPr>
          <w:rFonts w:ascii="Times New Roman" w:hAnsi="Times New Roman" w:cs="Times New Roman"/>
          <w:lang w:val="cs-CZ"/>
        </w:rPr>
        <w:t>.7</w:t>
      </w:r>
      <w:r w:rsidR="00192F46" w:rsidRPr="00091396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1F47CF">
        <w:rPr>
          <w:rFonts w:ascii="Times New Roman" w:hAnsi="Times New Roman" w:cs="Times New Roman"/>
          <w:lang w:val="cs-CZ"/>
        </w:rPr>
        <w:t>20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091396" w:rsidRPr="0009139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1F47CF" w:rsidRPr="001F47CF">
        <w:rPr>
          <w:rFonts w:ascii="Times New Roman" w:hAnsi="Times New Roman" w:cs="Times New Roman"/>
          <w:lang w:val="cs-CZ"/>
        </w:rPr>
        <w:t>k.ú</w:t>
      </w:r>
      <w:proofErr w:type="spellEnd"/>
      <w:r w:rsidR="001F47CF" w:rsidRPr="001F47CF">
        <w:rPr>
          <w:rFonts w:ascii="Times New Roman" w:hAnsi="Times New Roman" w:cs="Times New Roman"/>
          <w:lang w:val="cs-CZ"/>
        </w:rPr>
        <w:t>.</w:t>
      </w:r>
      <w:proofErr w:type="gramEnd"/>
      <w:r w:rsidR="001F47CF" w:rsidRPr="001F47CF">
        <w:rPr>
          <w:rFonts w:ascii="Times New Roman" w:hAnsi="Times New Roman" w:cs="Times New Roman"/>
          <w:lang w:val="cs-CZ"/>
        </w:rPr>
        <w:t xml:space="preserve"> Želnava, část pozemku </w:t>
      </w:r>
      <w:proofErr w:type="spellStart"/>
      <w:proofErr w:type="gramStart"/>
      <w:r w:rsidR="001F47CF" w:rsidRPr="001F47CF">
        <w:rPr>
          <w:rFonts w:ascii="Times New Roman" w:hAnsi="Times New Roman" w:cs="Times New Roman"/>
          <w:lang w:val="cs-CZ"/>
        </w:rPr>
        <w:t>p.č</w:t>
      </w:r>
      <w:proofErr w:type="spellEnd"/>
      <w:r w:rsidR="001F47CF" w:rsidRPr="001F47CF">
        <w:rPr>
          <w:rFonts w:ascii="Times New Roman" w:hAnsi="Times New Roman" w:cs="Times New Roman"/>
          <w:lang w:val="cs-CZ"/>
        </w:rPr>
        <w:t>.</w:t>
      </w:r>
      <w:proofErr w:type="gramEnd"/>
      <w:r w:rsidR="001F47CF" w:rsidRPr="001F47CF">
        <w:rPr>
          <w:rFonts w:ascii="Times New Roman" w:hAnsi="Times New Roman" w:cs="Times New Roman"/>
          <w:lang w:val="cs-CZ"/>
        </w:rPr>
        <w:t xml:space="preserve"> 244</w:t>
      </w:r>
    </w:p>
    <w:p w:rsidR="002857E3" w:rsidRPr="0009139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91396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091396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5B3C79" w:rsidRPr="007F5FC8" w:rsidRDefault="005B3C79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5B3C79" w:rsidRDefault="005B3C79" w:rsidP="005B3C7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5B3C79" w:rsidRDefault="005B3C79" w:rsidP="005B3C79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84" w:rsidRDefault="000D0984" w:rsidP="003171D4">
      <w:r>
        <w:separator/>
      </w:r>
    </w:p>
  </w:endnote>
  <w:endnote w:type="continuationSeparator" w:id="0">
    <w:p w:rsidR="000D0984" w:rsidRDefault="000D0984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5B3C79">
      <w:rPr>
        <w:noProof/>
      </w:rPr>
      <w:t>6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B3C79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84" w:rsidRDefault="000D0984" w:rsidP="003171D4">
      <w:r>
        <w:separator/>
      </w:r>
    </w:p>
  </w:footnote>
  <w:footnote w:type="continuationSeparator" w:id="0">
    <w:p w:rsidR="000D0984" w:rsidRDefault="000D0984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5B3C79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5B3C79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5B3C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1396"/>
    <w:rsid w:val="00096225"/>
    <w:rsid w:val="000967B3"/>
    <w:rsid w:val="000D0984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1F47CF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D7558"/>
    <w:rsid w:val="002E0F5A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A6437"/>
    <w:rsid w:val="005B0236"/>
    <w:rsid w:val="005B3C79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625E8"/>
    <w:rsid w:val="00F65BD6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B7C5-2A48-44B6-BCD0-0A6B2A0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2017-04-19T08:01:00Z</dcterms:created>
  <dcterms:modified xsi:type="dcterms:W3CDTF">2017-04-20T06:06:00Z</dcterms:modified>
</cp:coreProperties>
</file>