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93" w:rsidRPr="002359A8" w:rsidRDefault="004B6493" w:rsidP="002359A8">
      <w:pPr>
        <w:pStyle w:val="Nadpis1"/>
      </w:pPr>
      <w:r>
        <w:t>Zkušební překlad odboru 37 (do angličtiny)</w:t>
      </w:r>
    </w:p>
    <w:p w:rsidR="004B6493" w:rsidRDefault="004B6493" w:rsidP="00F61FD4">
      <w:pPr>
        <w:spacing w:line="360" w:lineRule="auto"/>
        <w:jc w:val="both"/>
        <w:rPr>
          <w:rFonts w:asciiTheme="minorHAnsi" w:hAnsiTheme="minorHAnsi" w:cstheme="minorHAnsi"/>
          <w:sz w:val="22"/>
          <w:szCs w:val="22"/>
        </w:rPr>
      </w:pPr>
    </w:p>
    <w:p w:rsidR="0093456C" w:rsidRPr="004B6493" w:rsidRDefault="00066684" w:rsidP="00F61FD4">
      <w:pPr>
        <w:spacing w:line="360" w:lineRule="auto"/>
        <w:jc w:val="both"/>
        <w:rPr>
          <w:rFonts w:asciiTheme="minorHAnsi" w:hAnsiTheme="minorHAnsi" w:cstheme="minorHAnsi"/>
          <w:sz w:val="22"/>
          <w:szCs w:val="22"/>
        </w:rPr>
      </w:pPr>
      <w:r w:rsidRPr="004B6493">
        <w:rPr>
          <w:rFonts w:asciiTheme="minorHAnsi" w:hAnsiTheme="minorHAnsi" w:cstheme="minorHAnsi"/>
          <w:sz w:val="22"/>
          <w:szCs w:val="22"/>
        </w:rPr>
        <w:t>Reálný hrubý domácí produkt se v</w:t>
      </w:r>
      <w:r w:rsidR="00100FD3" w:rsidRPr="004B6493">
        <w:rPr>
          <w:rFonts w:asciiTheme="minorHAnsi" w:hAnsiTheme="minorHAnsi" w:cstheme="minorHAnsi"/>
          <w:sz w:val="22"/>
          <w:szCs w:val="22"/>
        </w:rPr>
        <w:t xml:space="preserve"> </w:t>
      </w:r>
      <w:r w:rsidRPr="004B6493">
        <w:rPr>
          <w:rFonts w:asciiTheme="minorHAnsi" w:hAnsiTheme="minorHAnsi" w:cstheme="minorHAnsi"/>
          <w:sz w:val="22"/>
          <w:szCs w:val="22"/>
        </w:rPr>
        <w:t xml:space="preserve">roce 2015 </w:t>
      </w:r>
      <w:r w:rsidR="003D7D0C" w:rsidRPr="004B6493">
        <w:rPr>
          <w:rFonts w:asciiTheme="minorHAnsi" w:hAnsiTheme="minorHAnsi" w:cstheme="minorHAnsi"/>
          <w:sz w:val="22"/>
          <w:szCs w:val="22"/>
        </w:rPr>
        <w:t>zvýšil o 4,2 %. E</w:t>
      </w:r>
      <w:r w:rsidRPr="004B6493">
        <w:rPr>
          <w:rFonts w:asciiTheme="minorHAnsi" w:hAnsiTheme="minorHAnsi" w:cstheme="minorHAnsi"/>
          <w:sz w:val="22"/>
          <w:szCs w:val="22"/>
        </w:rPr>
        <w:t xml:space="preserve">konomika tak </w:t>
      </w:r>
      <w:r w:rsidR="003D7D0C" w:rsidRPr="004B6493">
        <w:rPr>
          <w:rFonts w:asciiTheme="minorHAnsi" w:hAnsiTheme="minorHAnsi" w:cstheme="minorHAnsi"/>
          <w:sz w:val="22"/>
          <w:szCs w:val="22"/>
        </w:rPr>
        <w:t xml:space="preserve">sice </w:t>
      </w:r>
      <w:r w:rsidRPr="004B6493">
        <w:rPr>
          <w:rFonts w:asciiTheme="minorHAnsi" w:hAnsiTheme="minorHAnsi" w:cstheme="minorHAnsi"/>
          <w:sz w:val="22"/>
          <w:szCs w:val="22"/>
        </w:rPr>
        <w:t>rostla nejrychleji od roku 2007</w:t>
      </w:r>
      <w:r w:rsidR="003D7D0C" w:rsidRPr="004B6493">
        <w:rPr>
          <w:rFonts w:asciiTheme="minorHAnsi" w:hAnsiTheme="minorHAnsi" w:cstheme="minorHAnsi"/>
          <w:sz w:val="22"/>
          <w:szCs w:val="22"/>
        </w:rPr>
        <w:t xml:space="preserve">, růst byl ale podpořen řadou jednorázových faktorů. </w:t>
      </w:r>
      <w:r w:rsidRPr="004B6493">
        <w:rPr>
          <w:rFonts w:asciiTheme="minorHAnsi" w:hAnsiTheme="minorHAnsi" w:cstheme="minorHAnsi"/>
          <w:sz w:val="22"/>
          <w:szCs w:val="22"/>
        </w:rPr>
        <w:t xml:space="preserve">V letošním </w:t>
      </w:r>
      <w:r w:rsidR="00E54E39" w:rsidRPr="004B6493">
        <w:rPr>
          <w:rFonts w:asciiTheme="minorHAnsi" w:hAnsiTheme="minorHAnsi" w:cstheme="minorHAnsi"/>
          <w:sz w:val="22"/>
          <w:szCs w:val="22"/>
        </w:rPr>
        <w:t xml:space="preserve">roce by </w:t>
      </w:r>
      <w:r w:rsidR="003D7D0C" w:rsidRPr="004B6493">
        <w:rPr>
          <w:rFonts w:asciiTheme="minorHAnsi" w:hAnsiTheme="minorHAnsi" w:cstheme="minorHAnsi"/>
          <w:sz w:val="22"/>
          <w:szCs w:val="22"/>
        </w:rPr>
        <w:t xml:space="preserve">se proto růst </w:t>
      </w:r>
      <w:r w:rsidR="00E54E39" w:rsidRPr="004B6493">
        <w:rPr>
          <w:rFonts w:asciiTheme="minorHAnsi" w:hAnsiTheme="minorHAnsi" w:cstheme="minorHAnsi"/>
          <w:sz w:val="22"/>
          <w:szCs w:val="22"/>
        </w:rPr>
        <w:t xml:space="preserve">HDP </w:t>
      </w:r>
      <w:r w:rsidR="003D7D0C" w:rsidRPr="004B6493">
        <w:rPr>
          <w:rFonts w:asciiTheme="minorHAnsi" w:hAnsiTheme="minorHAnsi" w:cstheme="minorHAnsi"/>
          <w:sz w:val="22"/>
          <w:szCs w:val="22"/>
        </w:rPr>
        <w:t xml:space="preserve">měl zpomalit na </w:t>
      </w:r>
      <w:r w:rsidR="00E54E39" w:rsidRPr="004B6493">
        <w:rPr>
          <w:rFonts w:asciiTheme="minorHAnsi" w:hAnsiTheme="minorHAnsi" w:cstheme="minorHAnsi"/>
          <w:sz w:val="22"/>
          <w:szCs w:val="22"/>
        </w:rPr>
        <w:t>2,5 % –</w:t>
      </w:r>
      <w:r w:rsidR="003D7D0C" w:rsidRPr="004B6493">
        <w:rPr>
          <w:rFonts w:asciiTheme="minorHAnsi" w:hAnsiTheme="minorHAnsi" w:cstheme="minorHAnsi"/>
          <w:sz w:val="22"/>
          <w:szCs w:val="22"/>
        </w:rPr>
        <w:t xml:space="preserve"> hlavním tahounem růstu by měly být hrubé domácí výdaje, zejména výdaje na konečnou spotřebu, v menší míře by však k růstu měly přispět i investice</w:t>
      </w:r>
      <w:r w:rsidRPr="004B6493">
        <w:rPr>
          <w:rFonts w:asciiTheme="minorHAnsi" w:hAnsiTheme="minorHAnsi" w:cstheme="minorHAnsi"/>
          <w:sz w:val="22"/>
          <w:szCs w:val="22"/>
        </w:rPr>
        <w:t xml:space="preserve">. Reálná spotřeba domácností by se </w:t>
      </w:r>
      <w:r w:rsidR="00100FD3" w:rsidRPr="004B6493">
        <w:rPr>
          <w:rFonts w:asciiTheme="minorHAnsi" w:hAnsiTheme="minorHAnsi" w:cstheme="minorHAnsi"/>
          <w:sz w:val="22"/>
          <w:szCs w:val="22"/>
        </w:rPr>
        <w:t xml:space="preserve">letos </w:t>
      </w:r>
      <w:r w:rsidRPr="004B6493">
        <w:rPr>
          <w:rFonts w:asciiTheme="minorHAnsi" w:hAnsiTheme="minorHAnsi" w:cstheme="minorHAnsi"/>
          <w:sz w:val="22"/>
          <w:szCs w:val="22"/>
        </w:rPr>
        <w:t xml:space="preserve">mohla zvýšit o 3,1 %. Její růst bude podpořen </w:t>
      </w:r>
      <w:r w:rsidR="00100FD3" w:rsidRPr="004B6493">
        <w:rPr>
          <w:rFonts w:asciiTheme="minorHAnsi" w:hAnsiTheme="minorHAnsi" w:cstheme="minorHAnsi"/>
          <w:sz w:val="22"/>
          <w:szCs w:val="22"/>
        </w:rPr>
        <w:t xml:space="preserve">nárůstem </w:t>
      </w:r>
      <w:r w:rsidRPr="004B6493">
        <w:rPr>
          <w:rFonts w:asciiTheme="minorHAnsi" w:hAnsiTheme="minorHAnsi" w:cstheme="minorHAnsi"/>
          <w:sz w:val="22"/>
          <w:szCs w:val="22"/>
        </w:rPr>
        <w:t>reálných mezd, poklesem míry úspor, optimistickým očekáváním spotřebitelů a pokračujícím zlepšováním situace na trhu práce. Po zvýšení o</w:t>
      </w:r>
      <w:r w:rsidR="003D7D0C" w:rsidRPr="004B6493">
        <w:rPr>
          <w:rFonts w:asciiTheme="minorHAnsi" w:hAnsiTheme="minorHAnsi" w:cstheme="minorHAnsi"/>
          <w:sz w:val="22"/>
          <w:szCs w:val="22"/>
        </w:rPr>
        <w:t> </w:t>
      </w:r>
      <w:r w:rsidRPr="004B6493">
        <w:rPr>
          <w:rFonts w:asciiTheme="minorHAnsi" w:hAnsiTheme="minorHAnsi" w:cstheme="minorHAnsi"/>
          <w:sz w:val="22"/>
          <w:szCs w:val="22"/>
        </w:rPr>
        <w:t xml:space="preserve">7,3 % v roce 2015 by se růst tvorby hrubého fixního kapitálu měl zpomalit na 0,6 %. </w:t>
      </w:r>
      <w:r w:rsidR="00C14A63" w:rsidRPr="004B6493">
        <w:rPr>
          <w:rFonts w:asciiTheme="minorHAnsi" w:hAnsiTheme="minorHAnsi" w:cstheme="minorHAnsi"/>
          <w:sz w:val="22"/>
          <w:szCs w:val="22"/>
        </w:rPr>
        <w:t xml:space="preserve">Zatímco vládní investice by </w:t>
      </w:r>
      <w:r w:rsidR="005461BF" w:rsidRPr="004B6493">
        <w:rPr>
          <w:rFonts w:asciiTheme="minorHAnsi" w:hAnsiTheme="minorHAnsi" w:cstheme="minorHAnsi"/>
          <w:sz w:val="22"/>
          <w:szCs w:val="22"/>
        </w:rPr>
        <w:t>letos</w:t>
      </w:r>
      <w:r w:rsidR="00C14A63" w:rsidRPr="004B6493">
        <w:rPr>
          <w:rFonts w:asciiTheme="minorHAnsi" w:hAnsiTheme="minorHAnsi" w:cstheme="minorHAnsi"/>
          <w:sz w:val="22"/>
          <w:szCs w:val="22"/>
        </w:rPr>
        <w:t xml:space="preserve"> vlivem pozvolného </w:t>
      </w:r>
      <w:r w:rsidR="00100FD3" w:rsidRPr="004B6493">
        <w:rPr>
          <w:rFonts w:asciiTheme="minorHAnsi" w:hAnsiTheme="minorHAnsi" w:cstheme="minorHAnsi"/>
          <w:sz w:val="22"/>
          <w:szCs w:val="22"/>
        </w:rPr>
        <w:t>n</w:t>
      </w:r>
      <w:r w:rsidRPr="004B6493">
        <w:rPr>
          <w:rFonts w:asciiTheme="minorHAnsi" w:hAnsiTheme="minorHAnsi" w:cstheme="minorHAnsi"/>
          <w:sz w:val="22"/>
          <w:szCs w:val="22"/>
        </w:rPr>
        <w:t>áběh</w:t>
      </w:r>
      <w:r w:rsidR="00C14A63" w:rsidRPr="004B6493">
        <w:rPr>
          <w:rFonts w:asciiTheme="minorHAnsi" w:hAnsiTheme="minorHAnsi" w:cstheme="minorHAnsi"/>
          <w:sz w:val="22"/>
          <w:szCs w:val="22"/>
        </w:rPr>
        <w:t>u</w:t>
      </w:r>
      <w:r w:rsidRPr="004B6493">
        <w:rPr>
          <w:rFonts w:asciiTheme="minorHAnsi" w:hAnsiTheme="minorHAnsi" w:cstheme="minorHAnsi"/>
          <w:sz w:val="22"/>
          <w:szCs w:val="22"/>
        </w:rPr>
        <w:t xml:space="preserve"> čerpání prostředků z programového období 2014–2020 </w:t>
      </w:r>
      <w:r w:rsidR="00B81C79" w:rsidRPr="004B6493">
        <w:rPr>
          <w:rFonts w:asciiTheme="minorHAnsi" w:hAnsiTheme="minorHAnsi" w:cstheme="minorHAnsi"/>
          <w:sz w:val="22"/>
          <w:szCs w:val="22"/>
        </w:rPr>
        <w:t xml:space="preserve">měly </w:t>
      </w:r>
      <w:r w:rsidRPr="004B6493">
        <w:rPr>
          <w:rFonts w:asciiTheme="minorHAnsi" w:hAnsiTheme="minorHAnsi" w:cstheme="minorHAnsi"/>
          <w:sz w:val="22"/>
          <w:szCs w:val="22"/>
        </w:rPr>
        <w:t>zaznamenat výrazný pokles</w:t>
      </w:r>
      <w:r w:rsidR="00C14A63" w:rsidRPr="004B6493">
        <w:rPr>
          <w:rFonts w:asciiTheme="minorHAnsi" w:hAnsiTheme="minorHAnsi" w:cstheme="minorHAnsi"/>
          <w:sz w:val="22"/>
          <w:szCs w:val="22"/>
        </w:rPr>
        <w:t>,</w:t>
      </w:r>
      <w:r w:rsidRPr="004B6493">
        <w:rPr>
          <w:rFonts w:asciiTheme="minorHAnsi" w:hAnsiTheme="minorHAnsi" w:cstheme="minorHAnsi"/>
          <w:sz w:val="22"/>
          <w:szCs w:val="22"/>
        </w:rPr>
        <w:t xml:space="preserve"> </w:t>
      </w:r>
      <w:r w:rsidR="00C31ADC" w:rsidRPr="004B6493">
        <w:rPr>
          <w:rFonts w:asciiTheme="minorHAnsi" w:hAnsiTheme="minorHAnsi" w:cstheme="minorHAnsi"/>
          <w:sz w:val="22"/>
          <w:szCs w:val="22"/>
        </w:rPr>
        <w:t>r</w:t>
      </w:r>
      <w:r w:rsidRPr="004B6493">
        <w:rPr>
          <w:rFonts w:asciiTheme="minorHAnsi" w:hAnsiTheme="minorHAnsi" w:cstheme="minorHAnsi"/>
          <w:sz w:val="22"/>
          <w:szCs w:val="22"/>
        </w:rPr>
        <w:t xml:space="preserve">ůst soukromých investic by se měl oproti roku 2015 zrychlit. </w:t>
      </w:r>
      <w:r w:rsidR="00E54E39" w:rsidRPr="004B6493">
        <w:rPr>
          <w:rFonts w:asciiTheme="minorHAnsi" w:hAnsiTheme="minorHAnsi" w:cstheme="minorHAnsi"/>
          <w:sz w:val="22"/>
          <w:szCs w:val="22"/>
        </w:rPr>
        <w:t xml:space="preserve">Očekáváme přitom, že firmy již ve větší míře začnou investovat do rozšiřování výrobních kapacit. </w:t>
      </w:r>
      <w:r w:rsidRPr="004B6493">
        <w:rPr>
          <w:rFonts w:asciiTheme="minorHAnsi" w:hAnsiTheme="minorHAnsi" w:cstheme="minorHAnsi"/>
          <w:sz w:val="22"/>
          <w:szCs w:val="22"/>
        </w:rPr>
        <w:t>Saldo zahraničního obchodu ve stálých cenách by k</w:t>
      </w:r>
      <w:r w:rsidR="00E54E39" w:rsidRPr="004B6493">
        <w:rPr>
          <w:rFonts w:asciiTheme="minorHAnsi" w:hAnsiTheme="minorHAnsi" w:cstheme="minorHAnsi"/>
          <w:sz w:val="22"/>
          <w:szCs w:val="22"/>
        </w:rPr>
        <w:t> </w:t>
      </w:r>
      <w:r w:rsidRPr="004B6493">
        <w:rPr>
          <w:rFonts w:asciiTheme="minorHAnsi" w:hAnsiTheme="minorHAnsi" w:cstheme="minorHAnsi"/>
          <w:sz w:val="22"/>
          <w:szCs w:val="22"/>
        </w:rPr>
        <w:t xml:space="preserve">růstu HDP mělo přispívat mírně pozitivně. V běžných cenách se v saldu bilance zboží příznivě projevuje pokles světových cen ropy a zemního plynu. Při mírném nárůstu aktiva bilance zboží a služeb by tak běžný účet </w:t>
      </w:r>
      <w:r w:rsidR="00E54E39" w:rsidRPr="004B6493">
        <w:rPr>
          <w:rFonts w:asciiTheme="minorHAnsi" w:hAnsiTheme="minorHAnsi" w:cstheme="minorHAnsi"/>
          <w:sz w:val="22"/>
          <w:szCs w:val="22"/>
        </w:rPr>
        <w:t xml:space="preserve">platební bilance </w:t>
      </w:r>
      <w:r w:rsidRPr="004B6493">
        <w:rPr>
          <w:rFonts w:asciiTheme="minorHAnsi" w:hAnsiTheme="minorHAnsi" w:cstheme="minorHAnsi"/>
          <w:sz w:val="22"/>
          <w:szCs w:val="22"/>
        </w:rPr>
        <w:t>mohl v roce 2016 vykázat rekordně vysoký přebytek ve výši 1,1 % HDP.</w:t>
      </w:r>
      <w:r w:rsidR="00F61FD4" w:rsidRPr="004B6493">
        <w:rPr>
          <w:rFonts w:asciiTheme="minorHAnsi" w:hAnsiTheme="minorHAnsi" w:cstheme="minorHAnsi"/>
          <w:sz w:val="22"/>
          <w:szCs w:val="22"/>
        </w:rPr>
        <w:t xml:space="preserve"> </w:t>
      </w:r>
      <w:r w:rsidR="00C31ADC" w:rsidRPr="004B6493">
        <w:rPr>
          <w:rFonts w:asciiTheme="minorHAnsi" w:hAnsiTheme="minorHAnsi" w:cstheme="minorHAnsi"/>
          <w:sz w:val="22"/>
          <w:szCs w:val="22"/>
        </w:rPr>
        <w:t xml:space="preserve">Příznivý vývoj na trhu práce by měl pokračovat. Zaměstnanost by se měla dále zvyšovat, byť výrazně pomalejším tempem, než v předchozích letech, zatímco míra nezaměstnanosti (podle Výběrového šetření pracovních sil) by </w:t>
      </w:r>
      <w:r w:rsidR="003D7D0C" w:rsidRPr="004B6493">
        <w:rPr>
          <w:rFonts w:asciiTheme="minorHAnsi" w:hAnsiTheme="minorHAnsi" w:cstheme="minorHAnsi"/>
          <w:sz w:val="22"/>
          <w:szCs w:val="22"/>
        </w:rPr>
        <w:t xml:space="preserve">letos </w:t>
      </w:r>
      <w:r w:rsidR="00C31ADC" w:rsidRPr="004B6493">
        <w:rPr>
          <w:rFonts w:asciiTheme="minorHAnsi" w:hAnsiTheme="minorHAnsi" w:cstheme="minorHAnsi"/>
          <w:sz w:val="22"/>
          <w:szCs w:val="22"/>
        </w:rPr>
        <w:t xml:space="preserve">mohla klesnout na </w:t>
      </w:r>
      <w:r w:rsidR="003D7D0C" w:rsidRPr="004B6493">
        <w:rPr>
          <w:rFonts w:asciiTheme="minorHAnsi" w:hAnsiTheme="minorHAnsi" w:cstheme="minorHAnsi"/>
          <w:sz w:val="22"/>
          <w:szCs w:val="22"/>
        </w:rPr>
        <w:t>4,4 %</w:t>
      </w:r>
      <w:r w:rsidR="00C31ADC" w:rsidRPr="004B6493">
        <w:rPr>
          <w:rFonts w:asciiTheme="minorHAnsi" w:hAnsiTheme="minorHAnsi" w:cstheme="minorHAnsi"/>
          <w:sz w:val="22"/>
          <w:szCs w:val="22"/>
        </w:rPr>
        <w:t>.</w:t>
      </w:r>
      <w:r w:rsidR="00C14A63" w:rsidRPr="004B6493">
        <w:rPr>
          <w:rFonts w:asciiTheme="minorHAnsi" w:hAnsiTheme="minorHAnsi" w:cstheme="minorHAnsi"/>
          <w:sz w:val="22"/>
          <w:szCs w:val="22"/>
        </w:rPr>
        <w:t xml:space="preserve"> Očekávané zrychlení růstu jednotkových nákladů práce by nemělo mít zásadní dopad na cenovou konkurenceschopnost české ekonomiky.</w:t>
      </w:r>
    </w:p>
    <w:p w:rsidR="00F61FD4" w:rsidRPr="004B6493" w:rsidRDefault="00F61FD4" w:rsidP="00C31ADC">
      <w:pPr>
        <w:spacing w:before="240" w:line="360" w:lineRule="auto"/>
        <w:jc w:val="both"/>
        <w:rPr>
          <w:rFonts w:asciiTheme="minorHAnsi" w:hAnsiTheme="minorHAnsi" w:cstheme="minorHAnsi"/>
          <w:sz w:val="22"/>
          <w:szCs w:val="22"/>
        </w:rPr>
      </w:pPr>
      <w:r w:rsidRPr="004B6493">
        <w:rPr>
          <w:rFonts w:asciiTheme="minorHAnsi" w:hAnsiTheme="minorHAnsi" w:cstheme="minorHAnsi"/>
          <w:sz w:val="22"/>
          <w:szCs w:val="22"/>
        </w:rPr>
        <w:t>Ústavní zákon o rozpočtové odpovědnosti v čl. 1 vymezuje, že „Způsob stanovení celkových výdajů sektoru veřejných institucí stanoví zákon o pravidlech rozpočtové odpovědnosti.“ Navržené ustanovení tak zmíněný článek naplňuje a definuje pravidla pro stanovení celkových výdajů sektoru veřejných institucí. Toto pravidlo je inspirováno švýcarským numerickým fiskálním pravidlem aplikovaným na úrovni federální vlády. Pravidlo zohledňuje rysy českého prostředí, aktuální stav veřejných financí a vliv politického cyklu a zároveň respektuje nadnárodní pravidla Evropské unie vyjádřená v souboru právních předpisů známých souhrnně jako Pakt o stabilitě a růstu, a to pro krátkodobé a střednědobé saldo sektoru veřejných institucí a růst jejich výdajů, stejně jako implicitně pro dluhový strop. Pravidlo rovněž odráží prvky číselného fiskálního pravidla týkajícího se strukturálního salda ve Smlouvě o stabilitě, koordinaci a správě v Hospodářské a měnové unii (hlava III Rozpočtový pakt, čl. 3, odst. 1).</w:t>
      </w:r>
    </w:p>
    <w:sectPr w:rsidR="00F61FD4" w:rsidRPr="004B6493" w:rsidSect="00F61FD4">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3A" w:rsidRDefault="0095063A" w:rsidP="0095063A">
      <w:r>
        <w:separator/>
      </w:r>
    </w:p>
  </w:endnote>
  <w:endnote w:type="continuationSeparator" w:id="0">
    <w:p w:rsidR="0095063A" w:rsidRDefault="0095063A" w:rsidP="0095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20" w:rsidRDefault="0044212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20" w:rsidRDefault="0044212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20" w:rsidRDefault="004421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3A" w:rsidRDefault="0095063A" w:rsidP="0095063A">
      <w:r>
        <w:separator/>
      </w:r>
    </w:p>
  </w:footnote>
  <w:footnote w:type="continuationSeparator" w:id="0">
    <w:p w:rsidR="0095063A" w:rsidRDefault="0095063A" w:rsidP="00950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20" w:rsidRDefault="0044212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3A" w:rsidRDefault="0095063A">
    <w:pPr>
      <w:pStyle w:val="Zhlav"/>
    </w:pPr>
    <w:r>
      <w:tab/>
    </w:r>
    <w:r>
      <w:tab/>
      <w:t xml:space="preserve">Příloha č. </w:t>
    </w:r>
    <w:r>
      <w:t>3</w:t>
    </w:r>
    <w:r w:rsidR="00442120">
      <w:t>a</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20" w:rsidRDefault="0044212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B8"/>
    <w:rsid w:val="00066684"/>
    <w:rsid w:val="00100FD3"/>
    <w:rsid w:val="001738B8"/>
    <w:rsid w:val="002359A8"/>
    <w:rsid w:val="003D7D0C"/>
    <w:rsid w:val="00442120"/>
    <w:rsid w:val="004B6493"/>
    <w:rsid w:val="005461BF"/>
    <w:rsid w:val="0093456C"/>
    <w:rsid w:val="0095063A"/>
    <w:rsid w:val="00B81C79"/>
    <w:rsid w:val="00B97F10"/>
    <w:rsid w:val="00C14A63"/>
    <w:rsid w:val="00C31ADC"/>
    <w:rsid w:val="00DC30CC"/>
    <w:rsid w:val="00E54E39"/>
    <w:rsid w:val="00F61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4B64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6493"/>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rsid w:val="0095063A"/>
    <w:pPr>
      <w:tabs>
        <w:tab w:val="center" w:pos="4536"/>
        <w:tab w:val="right" w:pos="9072"/>
      </w:tabs>
    </w:pPr>
  </w:style>
  <w:style w:type="character" w:customStyle="1" w:styleId="ZhlavChar">
    <w:name w:val="Záhlaví Char"/>
    <w:basedOn w:val="Standardnpsmoodstavce"/>
    <w:link w:val="Zhlav"/>
    <w:rsid w:val="0095063A"/>
    <w:rPr>
      <w:sz w:val="24"/>
      <w:szCs w:val="24"/>
    </w:rPr>
  </w:style>
  <w:style w:type="paragraph" w:styleId="Zpat">
    <w:name w:val="footer"/>
    <w:basedOn w:val="Normln"/>
    <w:link w:val="ZpatChar"/>
    <w:rsid w:val="0095063A"/>
    <w:pPr>
      <w:tabs>
        <w:tab w:val="center" w:pos="4536"/>
        <w:tab w:val="right" w:pos="9072"/>
      </w:tabs>
    </w:pPr>
  </w:style>
  <w:style w:type="character" w:customStyle="1" w:styleId="ZpatChar">
    <w:name w:val="Zápatí Char"/>
    <w:basedOn w:val="Standardnpsmoodstavce"/>
    <w:link w:val="Zpat"/>
    <w:rsid w:val="009506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4B64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6493"/>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rsid w:val="0095063A"/>
    <w:pPr>
      <w:tabs>
        <w:tab w:val="center" w:pos="4536"/>
        <w:tab w:val="right" w:pos="9072"/>
      </w:tabs>
    </w:pPr>
  </w:style>
  <w:style w:type="character" w:customStyle="1" w:styleId="ZhlavChar">
    <w:name w:val="Záhlaví Char"/>
    <w:basedOn w:val="Standardnpsmoodstavce"/>
    <w:link w:val="Zhlav"/>
    <w:rsid w:val="0095063A"/>
    <w:rPr>
      <w:sz w:val="24"/>
      <w:szCs w:val="24"/>
    </w:rPr>
  </w:style>
  <w:style w:type="paragraph" w:styleId="Zpat">
    <w:name w:val="footer"/>
    <w:basedOn w:val="Normln"/>
    <w:link w:val="ZpatChar"/>
    <w:rsid w:val="0095063A"/>
    <w:pPr>
      <w:tabs>
        <w:tab w:val="center" w:pos="4536"/>
        <w:tab w:val="right" w:pos="9072"/>
      </w:tabs>
    </w:pPr>
  </w:style>
  <w:style w:type="character" w:customStyle="1" w:styleId="ZpatChar">
    <w:name w:val="Zápatí Char"/>
    <w:basedOn w:val="Standardnpsmoodstavce"/>
    <w:link w:val="Zpat"/>
    <w:rsid w:val="009506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2346</Characters>
  <Application>Microsoft Office Word</Application>
  <DocSecurity>4</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Lopušník Ondřej Mgr.</dc:creator>
  <cp:lastModifiedBy>Purchartová Martina</cp:lastModifiedBy>
  <cp:revision>2</cp:revision>
  <dcterms:created xsi:type="dcterms:W3CDTF">2016-07-27T11:32:00Z</dcterms:created>
  <dcterms:modified xsi:type="dcterms:W3CDTF">2016-07-27T11:32:00Z</dcterms:modified>
</cp:coreProperties>
</file>