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75" w:rsidRDefault="009B4EFF" w:rsidP="00806875">
      <w:pPr>
        <w:pStyle w:val="Nzev"/>
      </w:pPr>
      <w:r>
        <w:t xml:space="preserve"> </w:t>
      </w:r>
    </w:p>
    <w:p w:rsidR="00806875" w:rsidRDefault="00806875" w:rsidP="00806875">
      <w:pPr>
        <w:pStyle w:val="Nzev"/>
      </w:pPr>
    </w:p>
    <w:p w:rsidR="00806875" w:rsidRDefault="00806875" w:rsidP="00806875">
      <w:pPr>
        <w:pStyle w:val="Nzev"/>
      </w:pPr>
    </w:p>
    <w:p w:rsidR="00806875" w:rsidRDefault="00806875" w:rsidP="00806875">
      <w:pPr>
        <w:pStyle w:val="Nzev"/>
        <w:jc w:val="both"/>
      </w:pPr>
    </w:p>
    <w:p w:rsidR="00806875" w:rsidRDefault="00806875" w:rsidP="00806875">
      <w:pPr>
        <w:pStyle w:val="Nzev"/>
      </w:pPr>
    </w:p>
    <w:p w:rsidR="00806875" w:rsidRDefault="00806875" w:rsidP="00806875">
      <w:pPr>
        <w:pStyle w:val="Nzev"/>
      </w:pPr>
    </w:p>
    <w:p w:rsidR="00806875" w:rsidRDefault="00806875" w:rsidP="00806875">
      <w:pPr>
        <w:pStyle w:val="Nzev"/>
      </w:pPr>
      <w:r>
        <w:t>Zakázka malého rozsahu na dodávky</w:t>
      </w:r>
    </w:p>
    <w:p w:rsidR="00806875" w:rsidRDefault="00806875" w:rsidP="00806875"/>
    <w:p w:rsidR="00806875" w:rsidRDefault="00806875" w:rsidP="00806875">
      <w:pPr>
        <w:rPr>
          <w:b/>
        </w:rPr>
      </w:pPr>
      <w:r>
        <w:rPr>
          <w:b/>
        </w:rPr>
        <w:t>Číslo veřejné zakázky:     VZ-2013_</w:t>
      </w:r>
      <w:r w:rsidR="00FF0C0D">
        <w:rPr>
          <w:b/>
        </w:rPr>
        <w:t>44622</w:t>
      </w:r>
      <w:bookmarkStart w:id="0" w:name="_GoBack"/>
      <w:bookmarkEnd w:id="0"/>
      <w:r>
        <w:rPr>
          <w:b/>
        </w:rPr>
        <w:t>/13-700202004-105241</w:t>
      </w:r>
    </w:p>
    <w:p w:rsidR="00806875" w:rsidRDefault="00806875" w:rsidP="00806875"/>
    <w:p w:rsidR="00806875" w:rsidRDefault="00806875" w:rsidP="00806875">
      <w:pPr>
        <w:rPr>
          <w:b/>
        </w:rPr>
      </w:pPr>
      <w:r>
        <w:rPr>
          <w:b/>
        </w:rPr>
        <w:t>Název veřejné zakázky:</w:t>
      </w:r>
    </w:p>
    <w:p w:rsidR="00806875" w:rsidRDefault="00806875" w:rsidP="00806875">
      <w:pPr>
        <w:jc w:val="center"/>
        <w:rPr>
          <w:b/>
          <w:sz w:val="32"/>
        </w:rPr>
      </w:pPr>
      <w:r>
        <w:rPr>
          <w:b/>
          <w:sz w:val="32"/>
        </w:rPr>
        <w:t xml:space="preserve">Upgrade firmware </w:t>
      </w:r>
      <w:proofErr w:type="spellStart"/>
      <w:r>
        <w:rPr>
          <w:b/>
          <w:sz w:val="32"/>
        </w:rPr>
        <w:t>Pbú</w:t>
      </w:r>
      <w:proofErr w:type="spellEnd"/>
      <w:r>
        <w:rPr>
          <w:b/>
          <w:sz w:val="32"/>
        </w:rPr>
        <w:t xml:space="preserve"> Petrohradská na V 6.0</w:t>
      </w:r>
    </w:p>
    <w:p w:rsidR="00806875" w:rsidRDefault="00806875" w:rsidP="00806875">
      <w:pPr>
        <w:jc w:val="center"/>
        <w:rPr>
          <w:b/>
          <w:sz w:val="32"/>
        </w:rPr>
      </w:pPr>
    </w:p>
    <w:p w:rsidR="00806875" w:rsidRDefault="00806875" w:rsidP="00806875">
      <w:pPr>
        <w:jc w:val="center"/>
        <w:rPr>
          <w:b/>
          <w:sz w:val="32"/>
        </w:rPr>
      </w:pPr>
    </w:p>
    <w:p w:rsidR="00806875" w:rsidRDefault="00806875" w:rsidP="00806875">
      <w:pPr>
        <w:jc w:val="center"/>
        <w:rPr>
          <w:b/>
          <w:u w:val="single"/>
        </w:rPr>
      </w:pPr>
    </w:p>
    <w:p w:rsidR="00806875" w:rsidRDefault="00806875" w:rsidP="00806875">
      <w:pPr>
        <w:rPr>
          <w:b/>
          <w:u w:val="single"/>
        </w:rPr>
      </w:pPr>
      <w:r>
        <w:rPr>
          <w:b/>
          <w:u w:val="single"/>
        </w:rPr>
        <w:t>Zadavatel</w:t>
      </w:r>
    </w:p>
    <w:p w:rsidR="00806875" w:rsidRDefault="00806875" w:rsidP="00806875">
      <w:pPr>
        <w:tabs>
          <w:tab w:val="left" w:pos="3420"/>
        </w:tabs>
        <w:rPr>
          <w:sz w:val="24"/>
        </w:rPr>
      </w:pPr>
      <w:r>
        <w:rPr>
          <w:rFonts w:ascii="Times New Roman" w:hAnsi="Times New Roman"/>
          <w:sz w:val="24"/>
        </w:rPr>
        <w:t>Název</w:t>
      </w:r>
      <w:r>
        <w:t xml:space="preserve">:                  Generální finanční ředitelství - Oddělení informačních technologií pro </w:t>
      </w:r>
      <w:proofErr w:type="gramStart"/>
      <w:r>
        <w:t>hl.m.</w:t>
      </w:r>
      <w:proofErr w:type="gramEnd"/>
      <w:r>
        <w:t>Prahu</w:t>
      </w:r>
    </w:p>
    <w:p w:rsidR="00806875" w:rsidRDefault="00806875" w:rsidP="00806875">
      <w:pPr>
        <w:tabs>
          <w:tab w:val="left" w:pos="3420"/>
        </w:tabs>
      </w:pPr>
      <w:r>
        <w:t>Sídlo:                     Lazarská 15/7, 110 00 Praha 1</w:t>
      </w:r>
    </w:p>
    <w:p w:rsidR="00806875" w:rsidRDefault="00806875" w:rsidP="00806875">
      <w:pPr>
        <w:tabs>
          <w:tab w:val="left" w:pos="3420"/>
        </w:tabs>
      </w:pPr>
      <w:r>
        <w:t>IČ:                          72080043</w:t>
      </w:r>
    </w:p>
    <w:p w:rsidR="00806875" w:rsidRDefault="00806875" w:rsidP="00806875">
      <w:pPr>
        <w:tabs>
          <w:tab w:val="left" w:pos="3420"/>
        </w:tabs>
      </w:pPr>
      <w:r>
        <w:t>DIČ:                       CZ 72080043</w:t>
      </w:r>
      <w:r>
        <w:tab/>
      </w:r>
    </w:p>
    <w:p w:rsidR="00806875" w:rsidRDefault="00806875" w:rsidP="00806875">
      <w:pPr>
        <w:tabs>
          <w:tab w:val="left" w:pos="3420"/>
        </w:tabs>
      </w:pPr>
    </w:p>
    <w:p w:rsidR="00806875" w:rsidRDefault="00806875" w:rsidP="00806875">
      <w:pPr>
        <w:tabs>
          <w:tab w:val="left" w:pos="3420"/>
        </w:tabs>
      </w:pPr>
    </w:p>
    <w:p w:rsidR="00806875" w:rsidRDefault="00806875" w:rsidP="00806875">
      <w:r>
        <w:t>Pověřený zástupce:          Ing. Bronislav Šilinger</w:t>
      </w:r>
    </w:p>
    <w:p w:rsidR="00806875" w:rsidRDefault="00806875" w:rsidP="0080687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vedoucí Oddělení IT pro </w:t>
      </w:r>
      <w:proofErr w:type="spellStart"/>
      <w:proofErr w:type="gramStart"/>
      <w:r>
        <w:rPr>
          <w:rFonts w:cs="Arial"/>
          <w:szCs w:val="20"/>
        </w:rPr>
        <w:t>hl.m</w:t>
      </w:r>
      <w:proofErr w:type="spellEnd"/>
      <w:r>
        <w:rPr>
          <w:rFonts w:cs="Arial"/>
          <w:szCs w:val="20"/>
        </w:rPr>
        <w:t>.</w:t>
      </w:r>
      <w:proofErr w:type="gramEnd"/>
      <w:r>
        <w:rPr>
          <w:rFonts w:cs="Arial"/>
          <w:szCs w:val="20"/>
        </w:rPr>
        <w:t xml:space="preserve"> Prahu</w:t>
      </w:r>
    </w:p>
    <w:p w:rsidR="00806875" w:rsidRDefault="00806875" w:rsidP="0080687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Štěpánská 28, 111 21 Praha 1</w:t>
      </w:r>
    </w:p>
    <w:p w:rsidR="00806875" w:rsidRDefault="00806875" w:rsidP="00806875">
      <w:pPr>
        <w:tabs>
          <w:tab w:val="left" w:pos="3420"/>
        </w:tabs>
        <w:rPr>
          <w:rFonts w:ascii="Times New Roman" w:hAnsi="Times New Roman"/>
          <w:sz w:val="24"/>
        </w:rPr>
      </w:pPr>
    </w:p>
    <w:p w:rsidR="00806875" w:rsidRDefault="00806875" w:rsidP="00806875">
      <w:pPr>
        <w:tabs>
          <w:tab w:val="left" w:pos="3420"/>
        </w:tabs>
        <w:rPr>
          <w:rFonts w:ascii="Times New Roman" w:hAnsi="Times New Roman"/>
          <w:sz w:val="24"/>
        </w:rPr>
      </w:pPr>
    </w:p>
    <w:p w:rsidR="00806875" w:rsidRDefault="00806875" w:rsidP="00806875">
      <w:pPr>
        <w:tabs>
          <w:tab w:val="left" w:pos="3420"/>
        </w:tabs>
        <w:rPr>
          <w:rFonts w:ascii="Times New Roman" w:hAnsi="Times New Roman"/>
          <w:sz w:val="24"/>
        </w:rPr>
      </w:pPr>
    </w:p>
    <w:p w:rsidR="00806875" w:rsidRDefault="00806875" w:rsidP="00806875">
      <w:pPr>
        <w:tabs>
          <w:tab w:val="left" w:pos="3420"/>
        </w:tabs>
        <w:rPr>
          <w:rFonts w:ascii="Times New Roman" w:hAnsi="Times New Roman"/>
          <w:sz w:val="24"/>
        </w:rPr>
      </w:pPr>
    </w:p>
    <w:p w:rsidR="00806875" w:rsidRDefault="00806875" w:rsidP="00806875"/>
    <w:p w:rsidR="00806875" w:rsidRDefault="00806875" w:rsidP="00806875">
      <w:pPr>
        <w:pStyle w:val="Nadpis1"/>
        <w:numPr>
          <w:ilvl w:val="0"/>
          <w:numId w:val="4"/>
        </w:numPr>
      </w:pPr>
      <w:r>
        <w:lastRenderedPageBreak/>
        <w:t>Předmět zakázky</w:t>
      </w:r>
    </w:p>
    <w:p w:rsidR="00806875" w:rsidRDefault="00806875" w:rsidP="00806875">
      <w:r>
        <w:t xml:space="preserve">Předmětem zakázky </w:t>
      </w:r>
      <w:r>
        <w:rPr>
          <w:b/>
        </w:rPr>
        <w:t>„</w:t>
      </w:r>
      <w:r>
        <w:rPr>
          <w:b/>
          <w:sz w:val="22"/>
        </w:rPr>
        <w:t xml:space="preserve">Upgrade firmware </w:t>
      </w:r>
      <w:proofErr w:type="spellStart"/>
      <w:r>
        <w:rPr>
          <w:b/>
          <w:sz w:val="22"/>
        </w:rPr>
        <w:t>Pbú</w:t>
      </w:r>
      <w:proofErr w:type="spellEnd"/>
      <w:r>
        <w:rPr>
          <w:b/>
          <w:sz w:val="22"/>
        </w:rPr>
        <w:t xml:space="preserve"> Petrohradská na V </w:t>
      </w:r>
      <w:proofErr w:type="gramStart"/>
      <w:r>
        <w:rPr>
          <w:b/>
          <w:sz w:val="22"/>
        </w:rPr>
        <w:t>6.0“</w:t>
      </w:r>
      <w:r>
        <w:t xml:space="preserve">  je</w:t>
      </w:r>
      <w:proofErr w:type="gramEnd"/>
      <w:r>
        <w:t xml:space="preserve"> dodávka HW a SW technologie obsahující povýšení </w:t>
      </w:r>
      <w:r w:rsidR="009B4EFF">
        <w:t xml:space="preserve">firmware pobočkové </w:t>
      </w:r>
      <w:r>
        <w:t xml:space="preserve">telefonní ústředny </w:t>
      </w:r>
      <w:proofErr w:type="spellStart"/>
      <w:r>
        <w:t>HiPath</w:t>
      </w:r>
      <w:proofErr w:type="spellEnd"/>
      <w:r>
        <w:t xml:space="preserve"> 4000 v objektu Petrohradská 6 z verze V 2.0 na verzi V6.0.</w:t>
      </w:r>
    </w:p>
    <w:p w:rsidR="00806875" w:rsidRDefault="00806875" w:rsidP="00806875">
      <w:r>
        <w:t xml:space="preserve">Uchazeč musí všechny požadavky zadávací dokumentace akceptovat a nabídnout. </w:t>
      </w:r>
    </w:p>
    <w:p w:rsidR="00806875" w:rsidRDefault="00806875" w:rsidP="0080687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6"/>
        <w:gridCol w:w="5852"/>
      </w:tblGrid>
      <w:tr w:rsidR="00806875" w:rsidTr="00806875">
        <w:trPr>
          <w:trHeight w:val="593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Theme="minorHAnsi" w:cs="Arial"/>
                <w:b/>
                <w:bCs/>
                <w:color w:val="000000"/>
                <w:szCs w:val="20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>Kód CPV</w:t>
            </w:r>
          </w:p>
        </w:tc>
        <w:tc>
          <w:tcPr>
            <w:tcW w:w="5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Theme="minorHAnsi" w:cs="Arial"/>
                <w:b/>
                <w:bCs/>
                <w:color w:val="000000"/>
                <w:szCs w:val="20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>Obsah dodávky dle CPV</w:t>
            </w:r>
          </w:p>
        </w:tc>
      </w:tr>
      <w:tr w:rsidR="00806875" w:rsidTr="00806875">
        <w:trPr>
          <w:trHeight w:val="595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Theme="minorHAnsi" w:cs="Arial"/>
                <w:b/>
                <w:bCs/>
                <w:color w:val="000000"/>
                <w:szCs w:val="20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>32552310-3</w:t>
            </w:r>
          </w:p>
        </w:tc>
        <w:tc>
          <w:tcPr>
            <w:tcW w:w="5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Theme="minorHAnsi" w:cs="Arial"/>
                <w:b/>
                <w:bCs/>
                <w:color w:val="000000"/>
                <w:szCs w:val="20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>Digitální telefonní ústředny</w:t>
            </w:r>
          </w:p>
        </w:tc>
      </w:tr>
    </w:tbl>
    <w:p w:rsidR="00806875" w:rsidRDefault="00806875" w:rsidP="00806875">
      <w:pPr>
        <w:pStyle w:val="Nadpis1"/>
        <w:numPr>
          <w:ilvl w:val="0"/>
          <w:numId w:val="4"/>
        </w:numPr>
      </w:pPr>
      <w:r>
        <w:t>Doba plnění zakázky</w:t>
      </w:r>
    </w:p>
    <w:p w:rsidR="00806875" w:rsidRDefault="00806875" w:rsidP="00806875">
      <w:r>
        <w:t xml:space="preserve">Plnění zakázky bude zahájeno podpisem smlouvy, dodání všech komponent do </w:t>
      </w:r>
      <w:r w:rsidR="005D20F7">
        <w:t>14</w:t>
      </w:r>
      <w:r>
        <w:t xml:space="preserve"> dnů od podpisu smlouvy, ukončení plnění nejpozději do 21 dnů od podpisu smlouvy.</w:t>
      </w:r>
      <w:r w:rsidR="005D20F7">
        <w:t xml:space="preserve"> Předpokládaná doba realizace je přelom listopadu a prosince 2013.</w:t>
      </w:r>
    </w:p>
    <w:p w:rsidR="00806875" w:rsidRDefault="00806875" w:rsidP="00806875"/>
    <w:p w:rsidR="00806875" w:rsidRDefault="00806875" w:rsidP="00806875">
      <w:pPr>
        <w:pStyle w:val="Nadpis1"/>
        <w:numPr>
          <w:ilvl w:val="0"/>
          <w:numId w:val="4"/>
        </w:numPr>
      </w:pPr>
      <w:r>
        <w:t>Místo plnění</w:t>
      </w:r>
    </w:p>
    <w:p w:rsidR="00806875" w:rsidRDefault="00806875" w:rsidP="00806875">
      <w:pPr>
        <w:rPr>
          <w:rFonts w:cs="Arial"/>
          <w:szCs w:val="20"/>
        </w:rPr>
      </w:pPr>
      <w:r>
        <w:rPr>
          <w:rFonts w:cs="Arial"/>
          <w:szCs w:val="20"/>
        </w:rPr>
        <w:t xml:space="preserve">Místem plnění zakázky je sídlo Finančního úřadu pro </w:t>
      </w:r>
      <w:proofErr w:type="gramStart"/>
      <w:r>
        <w:rPr>
          <w:rFonts w:cs="Arial"/>
          <w:szCs w:val="20"/>
        </w:rPr>
        <w:t>hl.m.</w:t>
      </w:r>
      <w:proofErr w:type="gramEnd"/>
      <w:r>
        <w:rPr>
          <w:rFonts w:cs="Arial"/>
          <w:szCs w:val="20"/>
        </w:rPr>
        <w:t>Prahu – ÚzP</w:t>
      </w:r>
      <w:r w:rsidR="009B4EFF">
        <w:rPr>
          <w:rFonts w:cs="Arial"/>
          <w:szCs w:val="20"/>
        </w:rPr>
        <w:t xml:space="preserve"> pro Prahu </w:t>
      </w:r>
      <w:r>
        <w:rPr>
          <w:rFonts w:cs="Arial"/>
          <w:szCs w:val="20"/>
        </w:rPr>
        <w:t>10:</w:t>
      </w:r>
    </w:p>
    <w:p w:rsidR="00806875" w:rsidRDefault="00806875" w:rsidP="00806875">
      <w:pPr>
        <w:numPr>
          <w:ilvl w:val="0"/>
          <w:numId w:val="5"/>
        </w:numPr>
        <w:rPr>
          <w:rFonts w:cs="Arial"/>
          <w:szCs w:val="20"/>
        </w:rPr>
      </w:pPr>
      <w:r>
        <w:t>Objekt Petrohradská 6, Praha 10</w:t>
      </w:r>
    </w:p>
    <w:p w:rsidR="00806875" w:rsidRDefault="00806875" w:rsidP="00806875">
      <w:pPr>
        <w:ind w:left="720"/>
        <w:rPr>
          <w:rFonts w:cs="Arial"/>
          <w:szCs w:val="20"/>
        </w:rPr>
      </w:pPr>
    </w:p>
    <w:p w:rsidR="00806875" w:rsidRDefault="00806875" w:rsidP="00806875">
      <w:pPr>
        <w:pStyle w:val="Nadpis1"/>
        <w:numPr>
          <w:ilvl w:val="0"/>
          <w:numId w:val="4"/>
        </w:numPr>
      </w:pPr>
      <w:r>
        <w:t>Lhůta a místo pro podání nabídek</w:t>
      </w:r>
    </w:p>
    <w:p w:rsidR="00806875" w:rsidRDefault="00806875" w:rsidP="00806875">
      <w:pPr>
        <w:pStyle w:val="Nadpis2"/>
        <w:numPr>
          <w:ilvl w:val="1"/>
          <w:numId w:val="4"/>
        </w:numPr>
        <w:rPr>
          <w:b/>
        </w:rPr>
      </w:pPr>
      <w:r>
        <w:rPr>
          <w:b/>
        </w:rPr>
        <w:t>Termín pro podání nabídky</w:t>
      </w:r>
    </w:p>
    <w:p w:rsidR="00806875" w:rsidRDefault="00806875" w:rsidP="00806875">
      <w:r>
        <w:t>Konec běhu lhůty pro podání nabídek je stanoven následovně:</w:t>
      </w:r>
    </w:p>
    <w:p w:rsidR="00806875" w:rsidRDefault="00806875" w:rsidP="00806875">
      <w:pPr>
        <w:rPr>
          <w:color w:val="FF0000"/>
        </w:rPr>
      </w:pPr>
      <w:r>
        <w:rPr>
          <w:b/>
        </w:rPr>
        <w:t xml:space="preserve">Datum:   </w:t>
      </w:r>
      <w:proofErr w:type="gramStart"/>
      <w:r w:rsidR="009B4EFF" w:rsidRPr="009B4EFF">
        <w:t>1</w:t>
      </w:r>
      <w:r w:rsidRPr="009B4EFF">
        <w:t>.10. 2013</w:t>
      </w:r>
      <w:proofErr w:type="gramEnd"/>
    </w:p>
    <w:p w:rsidR="00806875" w:rsidRDefault="00806875" w:rsidP="00806875">
      <w:r>
        <w:rPr>
          <w:b/>
        </w:rPr>
        <w:t xml:space="preserve">Hodina:  </w:t>
      </w:r>
      <w:r>
        <w:t>1</w:t>
      </w:r>
      <w:r w:rsidR="005D20F7">
        <w:t>6</w:t>
      </w:r>
      <w:r>
        <w:t>:00</w:t>
      </w:r>
    </w:p>
    <w:p w:rsidR="00806875" w:rsidRDefault="00806875" w:rsidP="00806875"/>
    <w:p w:rsidR="00806875" w:rsidRDefault="00806875" w:rsidP="00806875">
      <w:pPr>
        <w:pStyle w:val="Nadpis2"/>
        <w:numPr>
          <w:ilvl w:val="1"/>
          <w:numId w:val="4"/>
        </w:numPr>
        <w:rPr>
          <w:b/>
        </w:rPr>
      </w:pPr>
      <w:r>
        <w:rPr>
          <w:b/>
        </w:rPr>
        <w:t>Místo a způsob podání nabídky</w:t>
      </w:r>
    </w:p>
    <w:p w:rsidR="00806875" w:rsidRDefault="00806875" w:rsidP="00806875">
      <w:r>
        <w:t>Nabídky jednotlivých uchazečů o tuto veřejnou zakázku v uzavřeném řízení budou podávány výhradně prostřednictvím elektronického tržiště</w:t>
      </w:r>
      <w:r w:rsidR="005D20F7">
        <w:t xml:space="preserve"> </w:t>
      </w:r>
      <w:r>
        <w:t xml:space="preserve"> </w:t>
      </w:r>
      <w:hyperlink r:id="rId6" w:history="1">
        <w:r>
          <w:rPr>
            <w:rStyle w:val="Hypertextovodkaz"/>
          </w:rPr>
          <w:t>www.gemin.cz</w:t>
        </w:r>
      </w:hyperlink>
      <w:r>
        <w:t>. Jinou formu podání nabídky zadavatel neakceptuje.</w:t>
      </w:r>
    </w:p>
    <w:p w:rsidR="00806875" w:rsidRDefault="00806875" w:rsidP="00806875">
      <w:pPr>
        <w:rPr>
          <w:highlight w:val="yellow"/>
        </w:rPr>
      </w:pPr>
    </w:p>
    <w:p w:rsidR="00806875" w:rsidRDefault="00806875" w:rsidP="00806875"/>
    <w:p w:rsidR="00806875" w:rsidRDefault="00806875" w:rsidP="00806875">
      <w:pPr>
        <w:pStyle w:val="Nadpis1"/>
        <w:numPr>
          <w:ilvl w:val="0"/>
          <w:numId w:val="4"/>
        </w:numPr>
      </w:pPr>
      <w:r>
        <w:t>Technická specifikace zakázky</w:t>
      </w:r>
    </w:p>
    <w:p w:rsidR="00806875" w:rsidRDefault="00806875" w:rsidP="00806875">
      <w:r>
        <w:t xml:space="preserve">Technická specifikace plnění je uvedena </w:t>
      </w:r>
      <w:r>
        <w:rPr>
          <w:b/>
        </w:rPr>
        <w:t>v Příloze č. 1</w:t>
      </w:r>
      <w:r>
        <w:t xml:space="preserve"> zadávací dokumentace – “</w:t>
      </w:r>
      <w:r>
        <w:rPr>
          <w:b/>
        </w:rPr>
        <w:t>Podrobné vymezení předmětu veřejné zakázky“</w:t>
      </w:r>
      <w:r>
        <w:t xml:space="preserve">. </w:t>
      </w:r>
    </w:p>
    <w:p w:rsidR="00806875" w:rsidRDefault="00806875" w:rsidP="00806875"/>
    <w:p w:rsidR="00806875" w:rsidRDefault="00806875" w:rsidP="00806875"/>
    <w:p w:rsidR="00806875" w:rsidRDefault="00806875" w:rsidP="00806875">
      <w:r>
        <w:t>Kontaktní osobou ve věcech technických, spojených s předmětem této veřejné zakázky je:</w:t>
      </w:r>
    </w:p>
    <w:p w:rsidR="00806875" w:rsidRDefault="00806875" w:rsidP="00806875">
      <w:pPr>
        <w:numPr>
          <w:ilvl w:val="0"/>
          <w:numId w:val="5"/>
        </w:numPr>
      </w:pPr>
      <w:r>
        <w:t>Ing. Miroslav Procházka</w:t>
      </w:r>
    </w:p>
    <w:p w:rsidR="00806875" w:rsidRDefault="00806875" w:rsidP="00806875">
      <w:pPr>
        <w:numPr>
          <w:ilvl w:val="0"/>
          <w:numId w:val="5"/>
        </w:numPr>
      </w:pPr>
      <w:proofErr w:type="gramStart"/>
      <w:r>
        <w:t>Tel.:  224 044011</w:t>
      </w:r>
      <w:proofErr w:type="gramEnd"/>
    </w:p>
    <w:p w:rsidR="00806875" w:rsidRDefault="00806875" w:rsidP="00806875">
      <w:pPr>
        <w:numPr>
          <w:ilvl w:val="0"/>
          <w:numId w:val="5"/>
        </w:numPr>
      </w:pPr>
      <w:r>
        <w:t>Email.:  miroslav.prochazka@fs.mfcr.cz</w:t>
      </w:r>
    </w:p>
    <w:p w:rsidR="00806875" w:rsidRDefault="00806875" w:rsidP="00806875">
      <w:r>
        <w:t>Výše uvedená osoba rovněž poskytne upřesňující informace k zakázce.</w:t>
      </w:r>
    </w:p>
    <w:p w:rsidR="00806875" w:rsidRDefault="00806875" w:rsidP="00806875"/>
    <w:p w:rsidR="00806875" w:rsidRDefault="00806875" w:rsidP="00806875">
      <w:pPr>
        <w:pStyle w:val="Nadpis1"/>
        <w:numPr>
          <w:ilvl w:val="0"/>
          <w:numId w:val="4"/>
        </w:numPr>
      </w:pPr>
      <w:r>
        <w:t>Požadavky na prokázání kvalifikace uchazeče</w:t>
      </w:r>
    </w:p>
    <w:p w:rsidR="00806875" w:rsidRDefault="00806875" w:rsidP="00806875">
      <w:r>
        <w:t>Zadavatel požaduje prokázání následujících kvalifikačních předpokladů Uchazečem.</w:t>
      </w:r>
    </w:p>
    <w:p w:rsidR="00806875" w:rsidRDefault="00806875" w:rsidP="00806875">
      <w:pPr>
        <w:pStyle w:val="Nadpis2"/>
        <w:numPr>
          <w:ilvl w:val="1"/>
          <w:numId w:val="6"/>
        </w:numPr>
        <w:spacing w:before="0"/>
        <w:rPr>
          <w:i/>
          <w:u w:val="single"/>
        </w:rPr>
      </w:pPr>
      <w:r>
        <w:rPr>
          <w:i/>
          <w:u w:val="single"/>
        </w:rPr>
        <w:t xml:space="preserve">Základní kvalifikační předpoklady: </w:t>
      </w:r>
      <w:r>
        <w:t xml:space="preserve">podle §53 </w:t>
      </w:r>
      <w:proofErr w:type="gramStart"/>
      <w:r>
        <w:t>odst.1 písm.</w:t>
      </w:r>
      <w:proofErr w:type="gramEnd"/>
      <w:r>
        <w:t xml:space="preserve"> a) až k) zákona (mimo písm. i) zákona) uchazeč předloží čestné prohlášení. Z obsahu čestného prohlášení musí být zřejmé, že dodavatel splňuje příslušné základní kvalifikační předpoklady požadované veřejným zadavatelem. Dodavatel použije Přílohu </w:t>
      </w:r>
      <w:proofErr w:type="gramStart"/>
      <w:r>
        <w:t>č.2 – Čestné</w:t>
      </w:r>
      <w:proofErr w:type="gramEnd"/>
      <w:r>
        <w:t xml:space="preserve"> prohlášení o splnění základních kvalifikačních předpokladů (dodavatel může použít i vlastní čestné prohlášení)</w:t>
      </w:r>
    </w:p>
    <w:p w:rsidR="00806875" w:rsidRDefault="00806875" w:rsidP="00806875">
      <w:pPr>
        <w:pStyle w:val="Nadpis2"/>
        <w:numPr>
          <w:ilvl w:val="1"/>
          <w:numId w:val="6"/>
        </w:numPr>
        <w:spacing w:before="0"/>
      </w:pPr>
      <w:r>
        <w:rPr>
          <w:i/>
          <w:u w:val="single"/>
        </w:rPr>
        <w:t>Profesní předpoklady:</w:t>
      </w:r>
      <w:r>
        <w:t xml:space="preserve"> Uchazeč předloží doklady prokazující profesní kvalifikační předpoklady (Zadavatel požaduje prokázání profesních kvalifikačních předpokladů výpisem z obchodního rejstříku /dostačující v neověřené kopii/, pokud je v něm zapsán, či výpisem z jiné obdobné evidence /dostačující v neověřené kopii/, pokud je v ní zapsán a dokladem o oprávnění k podnikání podle zvláštních právních předpisů /dostačující v neověřené kopii/ v rozsahu odpovídajícím předmětu veřejné zakázky, zejména doklad prokazující příslušné živnostenské oprávnění či licenci.). Alternativou je výpis z registru kvalifikovaných dodavatelů /dostačující v neověřené kopii/</w:t>
      </w:r>
    </w:p>
    <w:p w:rsidR="007F3E1F" w:rsidRPr="007F3E1F" w:rsidRDefault="007F3E1F" w:rsidP="007F3E1F">
      <w:pPr>
        <w:ind w:left="576"/>
      </w:pPr>
      <w:r>
        <w:t>Uchazeč dále předloží doklady</w:t>
      </w:r>
      <w:r w:rsidR="009B4EFF">
        <w:t xml:space="preserve"> (v prosté kopii)</w:t>
      </w:r>
      <w:r>
        <w:t xml:space="preserve">, osvědčující jeho odbornou způsobilost. V tomto případě se jedná </w:t>
      </w:r>
      <w:r w:rsidR="00095B07">
        <w:t xml:space="preserve">o certifikaci Siemens </w:t>
      </w:r>
      <w:proofErr w:type="spellStart"/>
      <w:r w:rsidR="00095B07">
        <w:t>Enterprise</w:t>
      </w:r>
      <w:proofErr w:type="spellEnd"/>
      <w:r w:rsidR="00095B07">
        <w:t xml:space="preserve"> Communications </w:t>
      </w:r>
      <w:proofErr w:type="spellStart"/>
      <w:r w:rsidR="00095B07">
        <w:t>Approved</w:t>
      </w:r>
      <w:proofErr w:type="spellEnd"/>
      <w:r w:rsidR="00095B07">
        <w:t xml:space="preserve"> Partner, </w:t>
      </w:r>
      <w:proofErr w:type="spellStart"/>
      <w:r w:rsidR="00095B07">
        <w:t>Specialization</w:t>
      </w:r>
      <w:proofErr w:type="spellEnd"/>
      <w:r w:rsidR="00095B07">
        <w:t xml:space="preserve">: </w:t>
      </w:r>
      <w:proofErr w:type="spellStart"/>
      <w:r w:rsidR="00095B07">
        <w:t>Large</w:t>
      </w:r>
      <w:proofErr w:type="spellEnd"/>
      <w:r w:rsidR="00095B07">
        <w:t xml:space="preserve"> </w:t>
      </w:r>
      <w:proofErr w:type="spellStart"/>
      <w:r w:rsidR="00095B07">
        <w:t>Enterprise</w:t>
      </w:r>
      <w:proofErr w:type="spellEnd"/>
      <w:r w:rsidR="00095B07">
        <w:t xml:space="preserve"> Systems.</w:t>
      </w:r>
    </w:p>
    <w:p w:rsidR="00806875" w:rsidRDefault="00806875" w:rsidP="00806875">
      <w:pPr>
        <w:pStyle w:val="Nadpis2"/>
        <w:numPr>
          <w:ilvl w:val="1"/>
          <w:numId w:val="6"/>
        </w:numPr>
      </w:pPr>
      <w:r>
        <w:rPr>
          <w:i/>
          <w:u w:val="single"/>
        </w:rPr>
        <w:t>Ekonomické předpoklady:</w:t>
      </w:r>
      <w:r>
        <w:t xml:space="preserve"> </w:t>
      </w:r>
    </w:p>
    <w:p w:rsidR="00806875" w:rsidRDefault="00806875" w:rsidP="00806875">
      <w:pPr>
        <w:pStyle w:val="Nadpis2"/>
        <w:numPr>
          <w:ilvl w:val="1"/>
          <w:numId w:val="7"/>
        </w:numPr>
        <w:ind w:left="697" w:hanging="357"/>
      </w:pPr>
      <w:r>
        <w:t>Uchazeč předloží kopii pojistné smlouvy (nebo jiný odpovídající doklad), jejímž předmětem je pojištění odpovědnosti za škodu způsobenou dodavatelem třetí osobě, z níž bude patrná výše pojistné částky pro tento druh pojištění. Minimální výše pojistné částky je 1.000.000,- Kč.</w:t>
      </w:r>
    </w:p>
    <w:p w:rsidR="00806875" w:rsidRDefault="00806875" w:rsidP="00806875"/>
    <w:p w:rsidR="00806875" w:rsidRDefault="00806875" w:rsidP="00806875">
      <w:pPr>
        <w:pStyle w:val="Nadpis1"/>
        <w:numPr>
          <w:ilvl w:val="0"/>
          <w:numId w:val="4"/>
        </w:numPr>
      </w:pPr>
      <w:bookmarkStart w:id="1" w:name="_Toc225235302"/>
      <w:r>
        <w:t xml:space="preserve">Podmínky a požadavky na zpracování nabídky </w:t>
      </w:r>
      <w:bookmarkEnd w:id="1"/>
    </w:p>
    <w:p w:rsidR="00806875" w:rsidRDefault="00806875" w:rsidP="00806875">
      <w:pPr>
        <w:rPr>
          <w:rFonts w:eastAsia="SimSun"/>
        </w:rPr>
      </w:pPr>
      <w:r>
        <w:rPr>
          <w:rFonts w:eastAsia="SimSun"/>
        </w:rPr>
        <w:t>Nabídka uchazeče bude zpracována v písemné formě výhradně v českém jazyce, v souladu s požadavky zadavatele uvedenými v této zadávací dokumentaci.</w:t>
      </w:r>
    </w:p>
    <w:p w:rsidR="00806875" w:rsidRDefault="00806875" w:rsidP="00806875">
      <w:pPr>
        <w:rPr>
          <w:rFonts w:eastAsia="SimSun"/>
        </w:rPr>
      </w:pPr>
      <w:r>
        <w:rPr>
          <w:rFonts w:eastAsia="SimSun"/>
        </w:rPr>
        <w:t>Nabídka musí obsahovat popis a jednoznačnou identifikaci použitého materiálu a služeb.</w:t>
      </w:r>
    </w:p>
    <w:p w:rsidR="00806875" w:rsidRDefault="00806875" w:rsidP="00806875">
      <w:pPr>
        <w:rPr>
          <w:rFonts w:eastAsia="SimSun"/>
        </w:rPr>
      </w:pPr>
      <w:r>
        <w:rPr>
          <w:rFonts w:eastAsia="SimSun"/>
        </w:rPr>
        <w:t>Uchazeč závazně použije následující pořadí dokumentů nabídky:</w:t>
      </w:r>
    </w:p>
    <w:p w:rsidR="00806875" w:rsidRDefault="00806875" w:rsidP="00806875">
      <w:pPr>
        <w:pStyle w:val="Nadpis3"/>
        <w:keepNext w:val="0"/>
        <w:numPr>
          <w:ilvl w:val="2"/>
          <w:numId w:val="8"/>
        </w:numPr>
        <w:rPr>
          <w:u w:val="none"/>
        </w:rPr>
      </w:pPr>
      <w:r>
        <w:rPr>
          <w:u w:val="none"/>
        </w:rPr>
        <w:t>Doklady, jimiž uchazeč o VZ prokazuje kvalifikaci dle čl. 6:</w:t>
      </w:r>
    </w:p>
    <w:p w:rsidR="00806875" w:rsidRDefault="00806875" w:rsidP="00806875">
      <w:pPr>
        <w:pStyle w:val="Nadpis3"/>
        <w:keepNext w:val="0"/>
        <w:numPr>
          <w:ilvl w:val="2"/>
          <w:numId w:val="8"/>
        </w:numPr>
        <w:rPr>
          <w:u w:val="none"/>
        </w:rPr>
      </w:pPr>
      <w:r>
        <w:rPr>
          <w:u w:val="none"/>
        </w:rPr>
        <w:t>Souhlasné prohlášení Uchazeče, že akceptuje veškeré podmínky stanovené zadavatelem v této zadávací dokumentaci.</w:t>
      </w:r>
    </w:p>
    <w:p w:rsidR="00806875" w:rsidRDefault="00806875" w:rsidP="00806875">
      <w:pPr>
        <w:pStyle w:val="Nadpis3"/>
        <w:keepNext w:val="0"/>
        <w:numPr>
          <w:ilvl w:val="2"/>
          <w:numId w:val="8"/>
        </w:numPr>
        <w:rPr>
          <w:u w:val="none"/>
        </w:rPr>
      </w:pPr>
      <w:r>
        <w:rPr>
          <w:u w:val="none"/>
        </w:rPr>
        <w:t>Další dokumenty předkládané uchazečem v nabídce.</w:t>
      </w:r>
    </w:p>
    <w:p w:rsidR="00806875" w:rsidRDefault="00806875" w:rsidP="00806875"/>
    <w:p w:rsidR="00806875" w:rsidRDefault="00806875" w:rsidP="00806875">
      <w:pPr>
        <w:pStyle w:val="Nadpis1"/>
        <w:numPr>
          <w:ilvl w:val="0"/>
          <w:numId w:val="4"/>
        </w:numPr>
      </w:pPr>
      <w:bookmarkStart w:id="2" w:name="_Toc225235310"/>
      <w:bookmarkStart w:id="3" w:name="_Ref204655410"/>
      <w:r>
        <w:t>Požadavky na zpracování nabídkové ceny</w:t>
      </w:r>
      <w:bookmarkEnd w:id="2"/>
    </w:p>
    <w:bookmarkEnd w:id="3"/>
    <w:p w:rsidR="00806875" w:rsidRDefault="00806875" w:rsidP="00806875">
      <w:r>
        <w:t>Nabídková cena musí být v české měně a musí být zpracována v souladu s požadavky této zadávací dokumentace.</w:t>
      </w:r>
    </w:p>
    <w:p w:rsidR="00806875" w:rsidRDefault="00806875" w:rsidP="00806875">
      <w:r>
        <w:t xml:space="preserve">Nabídková cena musí být doložena za celý předmět zakázky. </w:t>
      </w:r>
    </w:p>
    <w:p w:rsidR="00806875" w:rsidRDefault="00806875" w:rsidP="00806875">
      <w:pPr>
        <w:tabs>
          <w:tab w:val="left" w:pos="360"/>
        </w:tabs>
      </w:pPr>
      <w:r>
        <w:t>Celková nabídková cena je úhrnem jednotkových cen položek a objemem požadovaných služeb.</w:t>
      </w:r>
    </w:p>
    <w:p w:rsidR="00806875" w:rsidRDefault="00806875" w:rsidP="00806875">
      <w:pPr>
        <w:tabs>
          <w:tab w:val="left" w:pos="360"/>
        </w:tabs>
      </w:pPr>
      <w:r>
        <w:t>Nabídková cena bude uvedena v tomto členění:</w:t>
      </w:r>
    </w:p>
    <w:p w:rsidR="00806875" w:rsidRDefault="00806875" w:rsidP="00806875">
      <w:pPr>
        <w:pStyle w:val="Odrka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nabídková cena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806875" w:rsidRDefault="00806875" w:rsidP="00806875">
      <w:pPr>
        <w:pStyle w:val="Odrka1"/>
        <w:numPr>
          <w:ilvl w:val="0"/>
          <w:numId w:val="0"/>
        </w:numPr>
        <w:tabs>
          <w:tab w:val="left" w:pos="708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0"/>
          <w:szCs w:val="20"/>
        </w:rPr>
        <w:tab/>
        <w:t xml:space="preserve">cena za dodávku technologie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6875" w:rsidRDefault="00806875" w:rsidP="00806875">
      <w:pPr>
        <w:pStyle w:val="Odrka1"/>
        <w:numPr>
          <w:ilvl w:val="0"/>
          <w:numId w:val="0"/>
        </w:numPr>
        <w:tabs>
          <w:tab w:val="left" w:pos="708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celková cena za instalaci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6875" w:rsidRDefault="00806875" w:rsidP="00806875">
      <w:pPr>
        <w:pStyle w:val="Odrka1"/>
        <w:numPr>
          <w:ilvl w:val="0"/>
          <w:numId w:val="0"/>
        </w:numPr>
        <w:tabs>
          <w:tab w:val="left" w:pos="708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cena za ostatní práce (systémová integrace, úpravy </w:t>
      </w:r>
      <w:r w:rsidR="005D20F7">
        <w:rPr>
          <w:rFonts w:ascii="Arial" w:hAnsi="Arial" w:cs="Arial"/>
          <w:sz w:val="20"/>
          <w:szCs w:val="20"/>
        </w:rPr>
        <w:t>rozvodů, apod.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</w:p>
    <w:p w:rsidR="00806875" w:rsidRDefault="00806875" w:rsidP="00806875">
      <w:pPr>
        <w:pStyle w:val="Odrka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vždy v rozložení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</w:p>
    <w:p w:rsidR="00806875" w:rsidRDefault="00806875" w:rsidP="00806875">
      <w:pPr>
        <w:pStyle w:val="Odrka1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 bez</w:t>
      </w:r>
      <w:r>
        <w:rPr>
          <w:rFonts w:ascii="Arial" w:hAnsi="Arial" w:cs="Arial"/>
          <w:bCs/>
          <w:sz w:val="20"/>
          <w:szCs w:val="20"/>
        </w:rPr>
        <w:t xml:space="preserve"> daně z přidané hodnoty</w:t>
      </w:r>
      <w:r>
        <w:rPr>
          <w:rFonts w:ascii="Arial" w:hAnsi="Arial" w:cs="Arial"/>
          <w:sz w:val="20"/>
          <w:szCs w:val="20"/>
        </w:rPr>
        <w:t xml:space="preserve"> (DPH) v Kč,</w:t>
      </w:r>
    </w:p>
    <w:p w:rsidR="00806875" w:rsidRDefault="00806875" w:rsidP="00806875">
      <w:pPr>
        <w:pStyle w:val="Odrka1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sazba DPH v procentech a výše DPH v Kč,</w:t>
      </w:r>
    </w:p>
    <w:p w:rsidR="00806875" w:rsidRDefault="00806875" w:rsidP="00806875">
      <w:pPr>
        <w:pStyle w:val="Odrka1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cena včetně DPH v Kč.</w:t>
      </w:r>
    </w:p>
    <w:p w:rsidR="00806875" w:rsidRDefault="00806875" w:rsidP="00806875">
      <w:pPr>
        <w:tabs>
          <w:tab w:val="left" w:pos="360"/>
        </w:tabs>
        <w:rPr>
          <w:szCs w:val="20"/>
        </w:rPr>
      </w:pPr>
      <w:r>
        <w:rPr>
          <w:szCs w:val="20"/>
        </w:rPr>
        <w:t>Celková nabídková cena je úhrnem jednotkových cen položek, objemem požadovaných služeb a materiálu.</w:t>
      </w:r>
    </w:p>
    <w:p w:rsidR="00806875" w:rsidRDefault="00806875" w:rsidP="00806875">
      <w:r>
        <w:t xml:space="preserve">Uvedená celková nabídková cena v Kč bez DPH je za jinak nezměněných podmínek </w:t>
      </w:r>
      <w:r>
        <w:rPr>
          <w:bCs/>
        </w:rPr>
        <w:t>cenou nejvýše přípustnou</w:t>
      </w:r>
      <w:r>
        <w:t>. To znamená, že jak po podání nabídky, tak ani v průběhu realizace veřejné zakázky nesmí být po celou dobu realizace předmětu plnění této veřejné zakázky v žádném případě překročena nebo jakkoliv navyšována.</w:t>
      </w:r>
    </w:p>
    <w:p w:rsidR="00806875" w:rsidRDefault="00806875" w:rsidP="00806875">
      <w:r>
        <w:t xml:space="preserve">Uchazeč odpovídá za to, že jeho </w:t>
      </w:r>
      <w:r>
        <w:rPr>
          <w:bCs/>
        </w:rPr>
        <w:t>nabídková cena bude zahrnovat veškeré náklady na splnění předmětu veřejné zakázky,</w:t>
      </w:r>
      <w:r>
        <w:t xml:space="preserve"> včetně veškerých nákladů a výdajů souvisejících s přípravou, projednáním a předložením jednotlivých písemných zpráv, doporučení, ocenění, apod., uvedených v popisu prací, které bude Uchazeč provádět a poskytovat podle této zadávací dokumentace.</w:t>
      </w:r>
    </w:p>
    <w:p w:rsidR="00806875" w:rsidRDefault="00806875" w:rsidP="00806875">
      <w:r>
        <w:t>Z nabídky uchazeče musí být patrné veškeré jednotkové ceny (položky), na základě kterých uchazeč zpracoval nabídkovou cenu.</w:t>
      </w:r>
    </w:p>
    <w:p w:rsidR="00806875" w:rsidRDefault="00806875" w:rsidP="00806875">
      <w:r>
        <w:t>Jinou formu zpracování nabídkové ceny zadavatel nepřipouští.</w:t>
      </w:r>
    </w:p>
    <w:p w:rsidR="00806875" w:rsidRDefault="00806875" w:rsidP="00806875">
      <w:r>
        <w:t>Nabídková cena může být překročena pouze z následujících důvodů:</w:t>
      </w:r>
    </w:p>
    <w:p w:rsidR="00806875" w:rsidRDefault="00806875" w:rsidP="00806875">
      <w:pPr>
        <w:numPr>
          <w:ilvl w:val="0"/>
          <w:numId w:val="10"/>
        </w:numPr>
        <w:ind w:left="1077" w:hanging="357"/>
        <w:rPr>
          <w:rFonts w:cs="Arial"/>
          <w:szCs w:val="20"/>
        </w:rPr>
      </w:pPr>
      <w:r>
        <w:rPr>
          <w:rFonts w:cs="Arial"/>
          <w:szCs w:val="20"/>
        </w:rPr>
        <w:t>dojde ke změnám, doplňkům nebo rozšíření předmětu díla na základě požadavku Zadavatele,</w:t>
      </w:r>
    </w:p>
    <w:p w:rsidR="00806875" w:rsidRDefault="00806875" w:rsidP="00806875">
      <w:pPr>
        <w:numPr>
          <w:ilvl w:val="0"/>
          <w:numId w:val="10"/>
        </w:numPr>
        <w:ind w:left="1077" w:hanging="357"/>
        <w:rPr>
          <w:rFonts w:cs="Arial"/>
          <w:szCs w:val="20"/>
        </w:rPr>
      </w:pPr>
      <w:r>
        <w:rPr>
          <w:rFonts w:cs="Arial"/>
          <w:szCs w:val="20"/>
        </w:rPr>
        <w:t>v průběhu provádění díla dojde ke změnám sazeb daně z přidané hodnoty,</w:t>
      </w:r>
    </w:p>
    <w:p w:rsidR="00806875" w:rsidRDefault="00806875" w:rsidP="00806875">
      <w:pPr>
        <w:numPr>
          <w:ilvl w:val="0"/>
          <w:numId w:val="10"/>
        </w:numPr>
        <w:ind w:left="1077" w:hanging="357"/>
        <w:rPr>
          <w:rFonts w:cs="Arial"/>
          <w:szCs w:val="20"/>
        </w:rPr>
      </w:pPr>
      <w:r>
        <w:rPr>
          <w:rFonts w:cs="Arial"/>
          <w:szCs w:val="20"/>
        </w:rPr>
        <w:t>v průběhu poskytování požadovaných služeb dojde ke změnám legislativních či technických předpisů a norem, které mají prokazatelný vliv na překročení ceny</w:t>
      </w:r>
    </w:p>
    <w:p w:rsidR="00095B07" w:rsidRDefault="00095B07" w:rsidP="00095B07">
      <w:pPr>
        <w:ind w:left="720"/>
        <w:rPr>
          <w:rFonts w:cs="Arial"/>
          <w:szCs w:val="20"/>
        </w:rPr>
      </w:pPr>
    </w:p>
    <w:p w:rsidR="00806875" w:rsidRDefault="00806875" w:rsidP="00806875">
      <w:pPr>
        <w:pStyle w:val="Nadpis1"/>
        <w:numPr>
          <w:ilvl w:val="0"/>
          <w:numId w:val="4"/>
        </w:numPr>
      </w:pPr>
      <w:bookmarkStart w:id="4" w:name="_Toc225235313"/>
      <w:r>
        <w:t>Obchodní a platební podmínky</w:t>
      </w:r>
      <w:bookmarkEnd w:id="4"/>
    </w:p>
    <w:p w:rsidR="00806875" w:rsidRDefault="00806875" w:rsidP="00806875">
      <w:pPr>
        <w:rPr>
          <w:rFonts w:cs="Arial"/>
          <w:szCs w:val="20"/>
        </w:rPr>
      </w:pPr>
      <w:r>
        <w:rPr>
          <w:rFonts w:cs="Arial"/>
          <w:szCs w:val="20"/>
        </w:rPr>
        <w:t>Zadavatel stanovuje pro provedení díla následující obchodní a platební podmínky, které je uchazeč povinen akceptovat.</w:t>
      </w:r>
    </w:p>
    <w:p w:rsidR="00806875" w:rsidRDefault="00806875" w:rsidP="00806875">
      <w:pPr>
        <w:pStyle w:val="Odr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nebude poskytovat zálohy</w:t>
      </w:r>
    </w:p>
    <w:p w:rsidR="00806875" w:rsidRDefault="00806875" w:rsidP="00806875">
      <w:pPr>
        <w:pStyle w:val="Odr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zadavatel požaduje záruku v délce nejméně 1 rok na veškeré dodané komponenty a nejméně 1 rok servisní podpory. </w:t>
      </w:r>
    </w:p>
    <w:p w:rsidR="00806875" w:rsidRDefault="00806875" w:rsidP="00806875">
      <w:pPr>
        <w:pStyle w:val="Odrka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úhrada bude provedena na základě daňového dokladu (faktury) vystavené Dodavatelem v objemu skutečně poskytnutých a vzájemně odsouhlasených služeb/dodávek, maximálně však do výše smluvní ceny uvedené v realizační smlouvě. Faktura bude doložena soupisem skutečně poskytnutých služeb/dodávek a zjišťovacím protokolem s podpisy zástupců obou smluvních stran. </w:t>
      </w:r>
    </w:p>
    <w:p w:rsidR="00806875" w:rsidRDefault="00806875" w:rsidP="00806875">
      <w:pPr>
        <w:pStyle w:val="Odr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splatnosti daňového dokladu bude stanovena na 21 kalendářních dnů ode dne jeho doručení objednateli</w:t>
      </w:r>
    </w:p>
    <w:p w:rsidR="00806875" w:rsidRDefault="00806875" w:rsidP="00806875">
      <w:pPr>
        <w:pStyle w:val="Odr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vystavený daňový doklad (faktura) musí mít náležitosti podle § 28 zákona č. 235/2004 Sb., o dani z přidané hodnoty, v platném znění.</w:t>
      </w:r>
    </w:p>
    <w:p w:rsidR="00806875" w:rsidRDefault="00806875" w:rsidP="00806875">
      <w:pPr>
        <w:numPr>
          <w:ilvl w:val="0"/>
          <w:numId w:val="10"/>
        </w:numPr>
        <w:ind w:left="697" w:hanging="357"/>
      </w:pPr>
      <w:r>
        <w:t>Dodavatel se smluvně zaváže k sankčním pokutám za nedodržení veškerých požadavků na plnění předmětu veřejné zakázky. Minimální rozsah sankční pokuty k tíži uchazeče za nesplnění maximální doby zřízení služeb dle předchozího je 0,1% z  ceny díla za každý den prodlení s předáním díla.</w:t>
      </w:r>
    </w:p>
    <w:p w:rsidR="00806875" w:rsidRDefault="00806875" w:rsidP="00806875">
      <w:pPr>
        <w:numPr>
          <w:ilvl w:val="0"/>
          <w:numId w:val="10"/>
        </w:numPr>
        <w:ind w:left="697" w:hanging="357"/>
      </w:pPr>
      <w:r>
        <w:t>Jednotkové ceny za práci a materiál, udané uchazečem v návrhu smlouvy a použité pro výpočet celkové nabídkové ceny jsou považovány za ceny nejvýše přípustné. Cena za materiál bude účtována dle skutečné spotřeby při realizaci díla.</w:t>
      </w:r>
    </w:p>
    <w:p w:rsidR="00806875" w:rsidRDefault="00806875" w:rsidP="00806875">
      <w:pPr>
        <w:numPr>
          <w:ilvl w:val="0"/>
          <w:numId w:val="10"/>
        </w:numPr>
        <w:ind w:left="697" w:hanging="357"/>
      </w:pPr>
      <w:r>
        <w:t>Smluvní podmínky zvlášť neupravené zadavatelem v této zadávací dokumentaci se řídí zákonem č. 513/1991 Sb., obchodní zákoník, ve znění pozdějších předpisů.</w:t>
      </w:r>
    </w:p>
    <w:p w:rsidR="00806875" w:rsidRDefault="00806875" w:rsidP="00806875">
      <w:pPr>
        <w:numPr>
          <w:ilvl w:val="0"/>
          <w:numId w:val="10"/>
        </w:numPr>
        <w:ind w:left="697" w:hanging="357"/>
      </w:pPr>
      <w:r>
        <w:t>Vybraný dodavatel bude akceptovat návrh Smlouvy o dílo, který je obsahem přílohy č. 4</w:t>
      </w:r>
    </w:p>
    <w:p w:rsidR="00806875" w:rsidRDefault="00806875" w:rsidP="00806875">
      <w:pPr>
        <w:pStyle w:val="Odstavecseseznamem"/>
        <w:numPr>
          <w:ilvl w:val="0"/>
          <w:numId w:val="10"/>
        </w:numPr>
        <w:ind w:left="680"/>
        <w:rPr>
          <w:b/>
        </w:rPr>
      </w:pPr>
      <w:r>
        <w:rPr>
          <w:b/>
        </w:rPr>
        <w:t>Návrh smlouvy musí obsahovat následující ustanovení:</w:t>
      </w:r>
    </w:p>
    <w:p w:rsidR="00806875" w:rsidRDefault="00806875" w:rsidP="00806875">
      <w:pPr>
        <w:ind w:left="680"/>
      </w:pPr>
      <w:r>
        <w:t>Objednatel prohlašuje, že přijaté plnění, vyplývající z této smlouvy, bude použito výlučně pro účely, které nejsou předmětem daně. Na objednatele se tedy přenesení daňové povinnosti DPH nevztahuje, protože přijaté plnění je určeno pro hlavní, tedy neekonomickou činnost.</w:t>
      </w:r>
    </w:p>
    <w:p w:rsidR="00806875" w:rsidRDefault="00806875" w:rsidP="00806875"/>
    <w:p w:rsidR="00806875" w:rsidRDefault="00806875" w:rsidP="00806875"/>
    <w:p w:rsidR="00806875" w:rsidRDefault="005D20F7" w:rsidP="00806875">
      <w:pPr>
        <w:pStyle w:val="Nadpis1"/>
        <w:numPr>
          <w:ilvl w:val="0"/>
          <w:numId w:val="4"/>
        </w:numPr>
      </w:pPr>
      <w:r>
        <w:t xml:space="preserve"> </w:t>
      </w:r>
      <w:r w:rsidR="00806875">
        <w:t xml:space="preserve">Hodnotící </w:t>
      </w:r>
      <w:proofErr w:type="spellStart"/>
      <w:r w:rsidR="00806875">
        <w:t>kriteria</w:t>
      </w:r>
      <w:proofErr w:type="spellEnd"/>
      <w:r w:rsidR="00806875">
        <w:t xml:space="preserve"> nabídky</w:t>
      </w:r>
    </w:p>
    <w:p w:rsidR="00806875" w:rsidRDefault="00806875" w:rsidP="00806875">
      <w:r>
        <w:t xml:space="preserve">Hodnotícím </w:t>
      </w:r>
      <w:proofErr w:type="spellStart"/>
      <w:r>
        <w:t>kriteriem</w:t>
      </w:r>
      <w:proofErr w:type="spellEnd"/>
      <w:r>
        <w:t xml:space="preserve"> nabídek je nejnižší nabídková cena.</w:t>
      </w:r>
    </w:p>
    <w:p w:rsidR="00806875" w:rsidRDefault="00806875" w:rsidP="00806875">
      <w:r>
        <w:t xml:space="preserve"> </w:t>
      </w:r>
    </w:p>
    <w:p w:rsidR="00806875" w:rsidRDefault="005D20F7" w:rsidP="00806875">
      <w:pPr>
        <w:pStyle w:val="Nadpis1"/>
        <w:numPr>
          <w:ilvl w:val="0"/>
          <w:numId w:val="4"/>
        </w:numPr>
      </w:pPr>
      <w:r>
        <w:t xml:space="preserve"> </w:t>
      </w:r>
      <w:r w:rsidR="00806875">
        <w:t>Ostatní ujednání</w:t>
      </w:r>
    </w:p>
    <w:p w:rsidR="00806875" w:rsidRDefault="00806875" w:rsidP="00806875">
      <w:r>
        <w:t>Všechny informace podané uchazečům v tomto výběrovém řízenou jsou považovány za důvěrné. Uchazeč je povinen se zavázat, že použije poskytnuté informace výhradně pro účely tohoto výběrového řízení a neposkytne je třetím osobám.</w:t>
      </w:r>
    </w:p>
    <w:p w:rsidR="00806875" w:rsidRDefault="00806875" w:rsidP="00806875">
      <w:r>
        <w:t xml:space="preserve">Veškeré změny nebo rozšíření rozsahu díla proti zadání plynoucí z této výzvy, včetně jejich oceňování, musí být před jejich realizací projednány a schváleny Zadavatelem veřejné zakázky formou dodatku ke smlouvě o dílo. </w:t>
      </w:r>
    </w:p>
    <w:p w:rsidR="00806875" w:rsidRDefault="00806875" w:rsidP="00806875">
      <w:r>
        <w:t xml:space="preserve">Zadavatel si vyhrazuje právo akceptovat jemu nejvhodnější nabídku podle výše nabídkové ceny, případně nevybrat z předložených nabídek žádnou a výběrové řízení zrušit bez udání důvodů. </w:t>
      </w:r>
    </w:p>
    <w:p w:rsidR="00806875" w:rsidRDefault="00806875" w:rsidP="00806875">
      <w:r>
        <w:t>Uchazeči nemají nárok na úhradu nákladů spojených s účastí v tomto výběrovém řízení.</w:t>
      </w:r>
    </w:p>
    <w:p w:rsidR="00806875" w:rsidRDefault="00806875" w:rsidP="00806875">
      <w:r>
        <w:t>Předložené nabídky se uchazečům nevrací.</w:t>
      </w:r>
    </w:p>
    <w:p w:rsidR="00806875" w:rsidRDefault="00806875" w:rsidP="00806875"/>
    <w:p w:rsidR="00806875" w:rsidRDefault="005D20F7" w:rsidP="00806875">
      <w:pPr>
        <w:pStyle w:val="Nadpis1"/>
        <w:numPr>
          <w:ilvl w:val="0"/>
          <w:numId w:val="4"/>
        </w:numPr>
      </w:pPr>
      <w:bookmarkStart w:id="5" w:name="_Toc213141072"/>
      <w:bookmarkStart w:id="6" w:name="_Toc214007483"/>
      <w:bookmarkStart w:id="7" w:name="_Toc215903598"/>
      <w:r>
        <w:lastRenderedPageBreak/>
        <w:t xml:space="preserve"> </w:t>
      </w:r>
      <w:r w:rsidR="00806875">
        <w:t>Přílohy</w:t>
      </w:r>
      <w:bookmarkEnd w:id="5"/>
      <w:bookmarkEnd w:id="6"/>
      <w:bookmarkEnd w:id="7"/>
    </w:p>
    <w:p w:rsidR="00806875" w:rsidRDefault="00806875" w:rsidP="00806875">
      <w:pPr>
        <w:pStyle w:val="Zkladntext-plohy"/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Podrobné vymezení předmětu zakázky</w:t>
      </w:r>
    </w:p>
    <w:p w:rsidR="00806875" w:rsidRDefault="00806875" w:rsidP="00806875">
      <w:pPr>
        <w:rPr>
          <w:lang w:eastAsia="cs-CZ"/>
        </w:rPr>
      </w:pPr>
      <w:r>
        <w:rPr>
          <w:lang w:eastAsia="cs-CZ"/>
        </w:rPr>
        <w:t>Příloha č. 2:       Čestné prohlášení – vzor</w:t>
      </w:r>
    </w:p>
    <w:p w:rsidR="00806875" w:rsidRDefault="00806875" w:rsidP="00806875">
      <w:pPr>
        <w:rPr>
          <w:lang w:eastAsia="cs-CZ"/>
        </w:rPr>
      </w:pPr>
      <w:r>
        <w:rPr>
          <w:lang w:eastAsia="cs-CZ"/>
        </w:rPr>
        <w:t xml:space="preserve">Příloha </w:t>
      </w:r>
      <w:proofErr w:type="gramStart"/>
      <w:r>
        <w:rPr>
          <w:lang w:eastAsia="cs-CZ"/>
        </w:rPr>
        <w:t>č. 3        Smlouva</w:t>
      </w:r>
      <w:proofErr w:type="gramEnd"/>
      <w:r>
        <w:rPr>
          <w:lang w:eastAsia="cs-CZ"/>
        </w:rPr>
        <w:t xml:space="preserve"> o dílo - návrh</w:t>
      </w:r>
    </w:p>
    <w:p w:rsidR="00806875" w:rsidRDefault="00806875" w:rsidP="00806875">
      <w:pPr>
        <w:rPr>
          <w:lang w:eastAsia="cs-CZ"/>
        </w:rPr>
      </w:pPr>
    </w:p>
    <w:p w:rsidR="00806875" w:rsidRPr="0041507E" w:rsidRDefault="00806875" w:rsidP="00806875">
      <w:pPr>
        <w:rPr>
          <w:color w:val="FF0000"/>
        </w:rPr>
      </w:pPr>
      <w:r>
        <w:t xml:space="preserve">V Praze dne </w:t>
      </w:r>
      <w:r w:rsidR="009B4EFF" w:rsidRPr="009B4EFF">
        <w:t>19</w:t>
      </w:r>
      <w:r w:rsidRPr="009B4EFF">
        <w:t>.</w:t>
      </w:r>
      <w:r w:rsidR="009B4EFF" w:rsidRPr="009B4EFF">
        <w:t xml:space="preserve"> </w:t>
      </w:r>
      <w:r w:rsidRPr="009B4EFF">
        <w:t>9.</w:t>
      </w:r>
      <w:r w:rsidR="009B4EFF" w:rsidRPr="009B4EFF">
        <w:t xml:space="preserve"> </w:t>
      </w:r>
      <w:r w:rsidRPr="009B4EFF">
        <w:t xml:space="preserve">2013 </w:t>
      </w:r>
    </w:p>
    <w:p w:rsidR="00806875" w:rsidRDefault="00806875" w:rsidP="00806875">
      <w:pPr>
        <w:spacing w:line="240" w:lineRule="auto"/>
        <w:jc w:val="left"/>
      </w:pPr>
      <w:r>
        <w:t xml:space="preserve">                                                                                                                 Ing. Bronislav Šilinger </w:t>
      </w:r>
      <w:proofErr w:type="gramStart"/>
      <w:r>
        <w:t>v.r.</w:t>
      </w:r>
      <w:proofErr w:type="gramEnd"/>
    </w:p>
    <w:p w:rsidR="00806875" w:rsidRDefault="00806875" w:rsidP="00806875">
      <w:pPr>
        <w:spacing w:line="240" w:lineRule="auto"/>
        <w:jc w:val="left"/>
      </w:pPr>
      <w:r>
        <w:t xml:space="preserve">                                                                                                                  Vedoucí oddělení OIT                </w:t>
      </w:r>
    </w:p>
    <w:p w:rsidR="00806875" w:rsidRDefault="00806875" w:rsidP="00806875"/>
    <w:p w:rsidR="00806875" w:rsidRDefault="00806875" w:rsidP="00806875"/>
    <w:p w:rsidR="00806875" w:rsidRDefault="00806875" w:rsidP="00806875"/>
    <w:p w:rsidR="00806875" w:rsidRDefault="00806875" w:rsidP="00806875">
      <w:pPr>
        <w:spacing w:line="240" w:lineRule="auto"/>
        <w:jc w:val="left"/>
      </w:pPr>
      <w:r>
        <w:t xml:space="preserve">                 </w:t>
      </w: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/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  <w:r>
        <w:t xml:space="preserve">                   </w:t>
      </w: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  <w:r>
        <w:t xml:space="preserve">                               </w:t>
      </w: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</w:p>
    <w:p w:rsidR="00806875" w:rsidRDefault="00806875" w:rsidP="00806875">
      <w:pPr>
        <w:spacing w:line="240" w:lineRule="auto"/>
        <w:jc w:val="left"/>
      </w:pPr>
      <w:r>
        <w:t xml:space="preserve">                                            </w:t>
      </w:r>
    </w:p>
    <w:p w:rsidR="00806875" w:rsidRDefault="00806875" w:rsidP="00806875">
      <w:pPr>
        <w:jc w:val="left"/>
      </w:pPr>
    </w:p>
    <w:p w:rsidR="00806875" w:rsidRDefault="00806875" w:rsidP="00806875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 xml:space="preserve">Oddělení informačních technologií </w:t>
      </w:r>
    </w:p>
    <w:p w:rsidR="00806875" w:rsidRDefault="00806875" w:rsidP="00806875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pro hl. m. Prahu</w:t>
      </w: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Štěpánská </w:t>
      </w:r>
      <w:proofErr w:type="gramStart"/>
      <w:r>
        <w:rPr>
          <w:rFonts w:cs="Arial"/>
          <w:b/>
          <w:sz w:val="28"/>
          <w:szCs w:val="28"/>
        </w:rPr>
        <w:t>28,   111 21</w:t>
      </w:r>
      <w:proofErr w:type="gramEnd"/>
      <w:r>
        <w:rPr>
          <w:rFonts w:cs="Arial"/>
          <w:b/>
          <w:sz w:val="28"/>
          <w:szCs w:val="28"/>
        </w:rPr>
        <w:t xml:space="preserve">  Praha 1</w:t>
      </w: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Upgrade firmware </w:t>
      </w:r>
      <w:proofErr w:type="spellStart"/>
      <w:r>
        <w:rPr>
          <w:b/>
          <w:sz w:val="28"/>
          <w:szCs w:val="28"/>
        </w:rPr>
        <w:t>Pbú</w:t>
      </w:r>
      <w:proofErr w:type="spellEnd"/>
      <w:r>
        <w:rPr>
          <w:b/>
          <w:sz w:val="28"/>
          <w:szCs w:val="28"/>
        </w:rPr>
        <w:t xml:space="preserve"> Petrohradská na V 6.0</w:t>
      </w: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Příloha č. 1 – Podrobné vymezení předmětu veřejné zakázky</w:t>
      </w: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jc w:val="center"/>
        <w:rPr>
          <w:rFonts w:cs="Arial"/>
          <w:b/>
          <w:sz w:val="28"/>
          <w:szCs w:val="28"/>
        </w:rPr>
      </w:pPr>
    </w:p>
    <w:p w:rsidR="00806875" w:rsidRDefault="00806875" w:rsidP="00806875">
      <w:pPr>
        <w:rPr>
          <w:b/>
        </w:rPr>
      </w:pPr>
    </w:p>
    <w:p w:rsidR="00806875" w:rsidRDefault="00806875" w:rsidP="00806875">
      <w:pPr>
        <w:pStyle w:val="Nadpis1"/>
        <w:numPr>
          <w:ilvl w:val="0"/>
          <w:numId w:val="11"/>
        </w:numPr>
        <w:spacing w:line="240" w:lineRule="auto"/>
        <w:jc w:val="left"/>
      </w:pPr>
      <w:r>
        <w:lastRenderedPageBreak/>
        <w:t>Úvodní informace</w:t>
      </w:r>
    </w:p>
    <w:p w:rsidR="00806875" w:rsidRDefault="00806875" w:rsidP="00806875"/>
    <w:p w:rsidR="00806875" w:rsidRDefault="00806875" w:rsidP="00806875">
      <w:pPr>
        <w:pStyle w:val="Nadpis2"/>
        <w:numPr>
          <w:ilvl w:val="1"/>
          <w:numId w:val="11"/>
        </w:numPr>
        <w:spacing w:line="240" w:lineRule="auto"/>
        <w:jc w:val="left"/>
      </w:pPr>
      <w:r>
        <w:t>Stávající situace</w:t>
      </w:r>
    </w:p>
    <w:p w:rsidR="00806875" w:rsidRDefault="00806875" w:rsidP="00806875">
      <w:r>
        <w:t>V současné době je v objektu Petrohradská 6 ( ÚzP 10) na telefonní ústředně (</w:t>
      </w:r>
      <w:proofErr w:type="spellStart"/>
      <w:r>
        <w:t>Pbú</w:t>
      </w:r>
      <w:proofErr w:type="spellEnd"/>
      <w:r>
        <w:t>) nainstalován podpůrný firmware ve verzích V</w:t>
      </w:r>
      <w:r w:rsidR="00083851">
        <w:t xml:space="preserve"> </w:t>
      </w:r>
      <w:r>
        <w:t xml:space="preserve">2, </w:t>
      </w:r>
      <w:proofErr w:type="spellStart"/>
      <w:proofErr w:type="gramStart"/>
      <w:r>
        <w:t>resp.V</w:t>
      </w:r>
      <w:proofErr w:type="spellEnd"/>
      <w:r w:rsidR="00083851">
        <w:t xml:space="preserve"> </w:t>
      </w:r>
      <w:r>
        <w:t>3.</w:t>
      </w:r>
      <w:proofErr w:type="gramEnd"/>
      <w:r>
        <w:t xml:space="preserve"> Každá </w:t>
      </w:r>
      <w:proofErr w:type="gramStart"/>
      <w:r>
        <w:t>závada a nebo problém</w:t>
      </w:r>
      <w:proofErr w:type="gramEnd"/>
      <w:r>
        <w:t xml:space="preserve"> na řídícím systému </w:t>
      </w:r>
      <w:proofErr w:type="spellStart"/>
      <w:r>
        <w:t>Pbú</w:t>
      </w:r>
      <w:proofErr w:type="spellEnd"/>
      <w:r>
        <w:t xml:space="preserve"> nebo periferních zařízeních, resp. jejich výměna způsobuje problémy s kompatibilitou se stávajícími používanými verzemi firmwaru nebo periferních zařízení na jiných </w:t>
      </w:r>
      <w:proofErr w:type="spellStart"/>
      <w:r>
        <w:t>Pbú</w:t>
      </w:r>
      <w:proofErr w:type="spellEnd"/>
      <w:r>
        <w:t xml:space="preserve"> v neveřejné síti FINET. </w:t>
      </w:r>
      <w:r w:rsidR="00DC1632">
        <w:t>V poslední řadě byl výrobcem oznámen konec podpory HW a SW</w:t>
      </w:r>
      <w:r w:rsidR="00083851">
        <w:t xml:space="preserve"> V</w:t>
      </w:r>
      <w:r w:rsidR="00DC1632">
        <w:t> 2.0.</w:t>
      </w:r>
    </w:p>
    <w:p w:rsidR="00DC1632" w:rsidRDefault="00DC1632" w:rsidP="00806875">
      <w:r>
        <w:t>K telefonní ústředně je připojena mikrovlnným pojítkem vzdálená vana IPDA umístěná v sousedním objektu FÚ Petrohradská 16.</w:t>
      </w:r>
    </w:p>
    <w:p w:rsidR="00806875" w:rsidRDefault="00806875" w:rsidP="00806875">
      <w:pPr>
        <w:pStyle w:val="Nadpis2"/>
        <w:numPr>
          <w:ilvl w:val="1"/>
          <w:numId w:val="11"/>
        </w:numPr>
        <w:spacing w:line="240" w:lineRule="auto"/>
      </w:pPr>
      <w:r>
        <w:t>Záměr zadavatele</w:t>
      </w:r>
    </w:p>
    <w:p w:rsidR="00806875" w:rsidRDefault="00806875" w:rsidP="00806875">
      <w:pPr>
        <w:rPr>
          <w:bCs/>
        </w:rPr>
      </w:pPr>
      <w:r>
        <w:rPr>
          <w:bCs/>
        </w:rPr>
        <w:t xml:space="preserve">Cílem je provést upgrade firmware </w:t>
      </w:r>
      <w:proofErr w:type="spellStart"/>
      <w:r>
        <w:rPr>
          <w:bCs/>
        </w:rPr>
        <w:t>Pbú</w:t>
      </w:r>
      <w:proofErr w:type="spellEnd"/>
      <w:r>
        <w:rPr>
          <w:bCs/>
        </w:rPr>
        <w:t xml:space="preserve"> na současně provozovanou a podporovanou  verzi V</w:t>
      </w:r>
      <w:r w:rsidR="00083851">
        <w:rPr>
          <w:bCs/>
        </w:rPr>
        <w:t xml:space="preserve"> </w:t>
      </w:r>
      <w:r>
        <w:rPr>
          <w:bCs/>
        </w:rPr>
        <w:t xml:space="preserve">6 a tím dosáhnout kvalitnější podpory </w:t>
      </w:r>
      <w:proofErr w:type="gramStart"/>
      <w:r>
        <w:rPr>
          <w:bCs/>
        </w:rPr>
        <w:t>řídícího</w:t>
      </w:r>
      <w:proofErr w:type="gramEnd"/>
      <w:r>
        <w:rPr>
          <w:bCs/>
        </w:rPr>
        <w:t xml:space="preserve"> systému </w:t>
      </w:r>
      <w:proofErr w:type="spellStart"/>
      <w:r>
        <w:rPr>
          <w:bCs/>
        </w:rPr>
        <w:t>Pbú</w:t>
      </w:r>
      <w:proofErr w:type="spellEnd"/>
      <w:r>
        <w:rPr>
          <w:bCs/>
        </w:rPr>
        <w:t>, zvýšit míru kompatibility v síti a zároveň  dosáhnout i sna</w:t>
      </w:r>
      <w:r w:rsidR="00F33134">
        <w:rPr>
          <w:bCs/>
        </w:rPr>
        <w:t>z</w:t>
      </w:r>
      <w:r>
        <w:rPr>
          <w:bCs/>
        </w:rPr>
        <w:t>ší administraci při detekci poruch a závad.</w:t>
      </w:r>
    </w:p>
    <w:p w:rsidR="00806875" w:rsidRDefault="00806875" w:rsidP="00806875">
      <w:pPr>
        <w:rPr>
          <w:bCs/>
        </w:rPr>
      </w:pPr>
    </w:p>
    <w:p w:rsidR="00806875" w:rsidRDefault="00806875" w:rsidP="00806875">
      <w:pPr>
        <w:keepLines/>
        <w:numPr>
          <w:ilvl w:val="1"/>
          <w:numId w:val="11"/>
        </w:numPr>
        <w:spacing w:after="0"/>
        <w:rPr>
          <w:b/>
          <w:bCs/>
        </w:rPr>
      </w:pPr>
      <w:r>
        <w:rPr>
          <w:b/>
          <w:bCs/>
        </w:rPr>
        <w:t>Obecná východiska</w:t>
      </w:r>
    </w:p>
    <w:p w:rsidR="00806875" w:rsidRDefault="00806875" w:rsidP="00806875">
      <w:pPr>
        <w:rPr>
          <w:bCs/>
        </w:rPr>
      </w:pPr>
      <w:r>
        <w:rPr>
          <w:bCs/>
        </w:rPr>
        <w:t xml:space="preserve">Provedením upgrade telefonní ústředny zůstane zachována současná struktura a nastavení zákaznických dat i připojení </w:t>
      </w:r>
      <w:proofErr w:type="spellStart"/>
      <w:r>
        <w:rPr>
          <w:bCs/>
        </w:rPr>
        <w:t>Pbú</w:t>
      </w:r>
      <w:proofErr w:type="spellEnd"/>
      <w:r>
        <w:rPr>
          <w:bCs/>
        </w:rPr>
        <w:t xml:space="preserve"> do veřejné i neveřejné sítě. Dojde k výměně </w:t>
      </w:r>
      <w:proofErr w:type="gramStart"/>
      <w:r>
        <w:rPr>
          <w:bCs/>
        </w:rPr>
        <w:t>řídícího</w:t>
      </w:r>
      <w:proofErr w:type="gramEnd"/>
      <w:r>
        <w:rPr>
          <w:bCs/>
        </w:rPr>
        <w:t xml:space="preserve"> systému a periferních zařízení. Administrace </w:t>
      </w:r>
      <w:proofErr w:type="spellStart"/>
      <w:r>
        <w:rPr>
          <w:bCs/>
        </w:rPr>
        <w:t>Pb</w:t>
      </w:r>
      <w:r w:rsidR="00F33134">
        <w:rPr>
          <w:bCs/>
        </w:rPr>
        <w:t>ú</w:t>
      </w:r>
      <w:proofErr w:type="spellEnd"/>
      <w:r>
        <w:rPr>
          <w:bCs/>
        </w:rPr>
        <w:t xml:space="preserve"> bude i nadále dálkovým přístupem z jednoho centra, zároveň dojde ke zkvalitnění </w:t>
      </w:r>
      <w:proofErr w:type="gramStart"/>
      <w:r>
        <w:rPr>
          <w:bCs/>
        </w:rPr>
        <w:t>podpory  IP</w:t>
      </w:r>
      <w:proofErr w:type="gramEnd"/>
      <w:r>
        <w:rPr>
          <w:bCs/>
        </w:rPr>
        <w:t xml:space="preserve">  telefonie v lokalitě i na síti </w:t>
      </w:r>
      <w:proofErr w:type="spellStart"/>
      <w:r>
        <w:rPr>
          <w:bCs/>
        </w:rPr>
        <w:t>Pbú</w:t>
      </w:r>
      <w:proofErr w:type="spellEnd"/>
      <w:r>
        <w:rPr>
          <w:bCs/>
        </w:rPr>
        <w:t>.</w:t>
      </w:r>
    </w:p>
    <w:p w:rsidR="00806875" w:rsidRDefault="00806875" w:rsidP="00806875">
      <w:pPr>
        <w:rPr>
          <w:b/>
        </w:rPr>
      </w:pPr>
    </w:p>
    <w:p w:rsidR="00806875" w:rsidRDefault="00806875" w:rsidP="00806875">
      <w:pPr>
        <w:keepLines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Řešení</w:t>
      </w:r>
    </w:p>
    <w:p w:rsidR="00806875" w:rsidRDefault="00806875" w:rsidP="00806875">
      <w:pPr>
        <w:rPr>
          <w:bCs/>
        </w:rPr>
      </w:pPr>
      <w:r>
        <w:t xml:space="preserve">Zadavatel předpokládá, že nejprve dojde k zálohování zákaznických dat na dané lokalitě, následně bude provedena demontáž stávající technologie </w:t>
      </w:r>
      <w:proofErr w:type="gramStart"/>
      <w:r>
        <w:t>řídícího</w:t>
      </w:r>
      <w:proofErr w:type="gramEnd"/>
      <w:r>
        <w:t xml:space="preserve"> systému </w:t>
      </w:r>
      <w:proofErr w:type="spellStart"/>
      <w:r>
        <w:t>Pbú</w:t>
      </w:r>
      <w:proofErr w:type="spellEnd"/>
      <w:r>
        <w:t xml:space="preserve"> včetně periferních zařízení. Dalším krokem bude montáž a instalace nových </w:t>
      </w:r>
      <w:proofErr w:type="gramStart"/>
      <w:r>
        <w:t>řídících</w:t>
      </w:r>
      <w:proofErr w:type="gramEnd"/>
      <w:r>
        <w:t xml:space="preserve"> systémů a periferií a nakonec instalace nové verze V.6. Nakonec proběhne kontrola systému a správné činnosti </w:t>
      </w:r>
      <w:proofErr w:type="spellStart"/>
      <w:r>
        <w:t>Pbú</w:t>
      </w:r>
      <w:proofErr w:type="spellEnd"/>
      <w:r>
        <w:t>. Součástí tohoto kroku bude kontrola nastavení všech zákaznických dat včetně připojení do veřejných i neveřejných sítí.</w:t>
      </w:r>
      <w:r>
        <w:rPr>
          <w:bCs/>
        </w:rPr>
        <w:t xml:space="preserve"> </w:t>
      </w:r>
    </w:p>
    <w:p w:rsidR="00806875" w:rsidRDefault="00806875" w:rsidP="00806875">
      <w:pPr>
        <w:rPr>
          <w:bCs/>
        </w:rPr>
      </w:pPr>
    </w:p>
    <w:p w:rsidR="00806875" w:rsidRDefault="00806875" w:rsidP="00806875">
      <w:pPr>
        <w:rPr>
          <w:b/>
          <w:bCs/>
          <w:sz w:val="24"/>
          <w:szCs w:val="24"/>
        </w:rPr>
      </w:pPr>
    </w:p>
    <w:p w:rsidR="00806875" w:rsidRDefault="00806875" w:rsidP="008068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Technické požadavky na Upgrade firmware </w:t>
      </w:r>
      <w:proofErr w:type="spellStart"/>
      <w:r>
        <w:rPr>
          <w:b/>
          <w:bCs/>
          <w:sz w:val="24"/>
          <w:szCs w:val="24"/>
        </w:rPr>
        <w:t>Pbú</w:t>
      </w:r>
      <w:proofErr w:type="spellEnd"/>
    </w:p>
    <w:p w:rsidR="00806875" w:rsidRDefault="00806875" w:rsidP="00806875">
      <w:pPr>
        <w:rPr>
          <w:b/>
          <w:bCs/>
        </w:rPr>
      </w:pPr>
    </w:p>
    <w:p w:rsidR="00806875" w:rsidRDefault="00806875" w:rsidP="00806875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Pbú</w:t>
      </w:r>
      <w:proofErr w:type="spellEnd"/>
      <w:r>
        <w:rPr>
          <w:b/>
          <w:bCs/>
        </w:rPr>
        <w:t xml:space="preserve">  v objektu Petrohradská 6 - ÚzP 10, Praha 10</w:t>
      </w:r>
    </w:p>
    <w:p w:rsidR="00806875" w:rsidRDefault="00806875" w:rsidP="00806875">
      <w:pPr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>Výměna procesorové desky za DSCXL2</w:t>
      </w:r>
    </w:p>
    <w:p w:rsidR="00806875" w:rsidRDefault="00806875" w:rsidP="00806875">
      <w:pPr>
        <w:rPr>
          <w:bCs/>
        </w:rPr>
      </w:pPr>
      <w:r>
        <w:rPr>
          <w:bCs/>
        </w:rPr>
        <w:t xml:space="preserve">            Základní licence </w:t>
      </w:r>
      <w:proofErr w:type="spellStart"/>
      <w:r>
        <w:rPr>
          <w:bCs/>
        </w:rPr>
        <w:t>HiPath</w:t>
      </w:r>
      <w:proofErr w:type="spellEnd"/>
      <w:r>
        <w:rPr>
          <w:bCs/>
        </w:rPr>
        <w:t xml:space="preserve"> 4000 V6</w:t>
      </w:r>
    </w:p>
    <w:p w:rsidR="00806875" w:rsidRDefault="00806875" w:rsidP="00806875">
      <w:pPr>
        <w:rPr>
          <w:bCs/>
        </w:rPr>
      </w:pPr>
      <w:r>
        <w:rPr>
          <w:bCs/>
          <w:color w:val="FF0000"/>
        </w:rPr>
        <w:t xml:space="preserve">            </w:t>
      </w:r>
      <w:r w:rsidR="005D20F7" w:rsidRPr="005D20F7">
        <w:rPr>
          <w:bCs/>
        </w:rPr>
        <w:t>823x</w:t>
      </w:r>
      <w:r>
        <w:rPr>
          <w:bCs/>
          <w:color w:val="FF0000"/>
        </w:rPr>
        <w:t xml:space="preserve"> </w:t>
      </w:r>
      <w:r>
        <w:rPr>
          <w:bCs/>
        </w:rPr>
        <w:t xml:space="preserve">Upgrade </w:t>
      </w:r>
      <w:proofErr w:type="spellStart"/>
      <w:r>
        <w:rPr>
          <w:bCs/>
        </w:rPr>
        <w:t>ComScendo</w:t>
      </w:r>
      <w:proofErr w:type="spellEnd"/>
      <w:r>
        <w:rPr>
          <w:bCs/>
        </w:rPr>
        <w:t xml:space="preserve"> V2 na </w:t>
      </w:r>
      <w:proofErr w:type="spellStart"/>
      <w:r>
        <w:rPr>
          <w:bCs/>
        </w:rPr>
        <w:t>Flex</w:t>
      </w:r>
      <w:proofErr w:type="spellEnd"/>
      <w:r>
        <w:rPr>
          <w:bCs/>
        </w:rPr>
        <w:t xml:space="preserve"> V6 licenci </w:t>
      </w:r>
    </w:p>
    <w:p w:rsidR="00806875" w:rsidRDefault="00806875" w:rsidP="00806875">
      <w:pPr>
        <w:rPr>
          <w:bCs/>
        </w:rPr>
      </w:pPr>
      <w:r>
        <w:rPr>
          <w:bCs/>
        </w:rPr>
        <w:tab/>
      </w:r>
      <w:r w:rsidR="005D20F7">
        <w:rPr>
          <w:bCs/>
        </w:rPr>
        <w:t>Výměna HG 3575 a procesorové desky v IPDA</w:t>
      </w:r>
    </w:p>
    <w:p w:rsidR="00806875" w:rsidRDefault="00806875" w:rsidP="00806875">
      <w:pPr>
        <w:rPr>
          <w:bCs/>
        </w:rPr>
      </w:pPr>
      <w:r>
        <w:rPr>
          <w:bCs/>
        </w:rPr>
        <w:tab/>
      </w:r>
    </w:p>
    <w:p w:rsidR="00806875" w:rsidRDefault="00806875" w:rsidP="00806875">
      <w:pPr>
        <w:rPr>
          <w:bCs/>
        </w:rPr>
      </w:pPr>
    </w:p>
    <w:p w:rsidR="00806875" w:rsidRDefault="00806875" w:rsidP="00806875">
      <w:pPr>
        <w:spacing w:before="0" w:line="240" w:lineRule="auto"/>
        <w:jc w:val="left"/>
        <w:rPr>
          <w:rFonts w:eastAsia="Times New Roman"/>
          <w:b/>
          <w:bCs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b/>
          <w:bCs/>
          <w:szCs w:val="20"/>
          <w:lang w:eastAsia="cs-CZ"/>
        </w:rPr>
      </w:pPr>
      <w:bookmarkStart w:id="8" w:name="_Toc128887192"/>
      <w:bookmarkStart w:id="9" w:name="_Toc200511479"/>
      <w:bookmarkStart w:id="10" w:name="_Toc200518721"/>
      <w:bookmarkStart w:id="11" w:name="_Toc200882139"/>
      <w:bookmarkStart w:id="12" w:name="_Toc200947298"/>
      <w:bookmarkStart w:id="13" w:name="_Toc200950850"/>
      <w:bookmarkStart w:id="14" w:name="_Toc201030730"/>
      <w:bookmarkStart w:id="15" w:name="_Ref220999708"/>
      <w:bookmarkStart w:id="16" w:name="_Ref220999780"/>
      <w:bookmarkStart w:id="17" w:name="_Ref220999786"/>
      <w:bookmarkStart w:id="18" w:name="_Ref169001075"/>
      <w:bookmarkStart w:id="19" w:name="_Toc226786761"/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lastRenderedPageBreak/>
        <w:t>Příloha č. 2 - Čestné prohlášení o splnění základních kvalifikačních předpokladů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    Čestné prohlášení o splnění základních kvalifikačních předpokladů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 xml:space="preserve">       podle § 53 odst. 1) písm. a) až 1) zákona</w:t>
      </w:r>
      <w:r>
        <w:rPr>
          <w:rFonts w:eastAsia="Times New Roman" w:cs="Arial"/>
          <w:szCs w:val="20"/>
          <w:lang w:eastAsia="cs-CZ"/>
        </w:rPr>
        <w:t xml:space="preserve"> (mimo písm. i) zákona) </w:t>
      </w:r>
      <w:r>
        <w:rPr>
          <w:rFonts w:eastAsia="Times New Roman" w:cs="Arial"/>
          <w:b/>
          <w:bCs/>
          <w:szCs w:val="20"/>
          <w:lang w:eastAsia="cs-CZ"/>
        </w:rPr>
        <w:t>č. 137/2006 Sb., o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 xml:space="preserve">                               veřejných </w:t>
      </w:r>
      <w:proofErr w:type="gramStart"/>
      <w:r>
        <w:rPr>
          <w:rFonts w:eastAsia="Times New Roman" w:cs="Arial"/>
          <w:b/>
          <w:bCs/>
          <w:szCs w:val="20"/>
          <w:lang w:eastAsia="cs-CZ"/>
        </w:rPr>
        <w:t>zakázkách</w:t>
      </w:r>
      <w:proofErr w:type="gramEnd"/>
      <w:r>
        <w:rPr>
          <w:rFonts w:eastAsia="Times New Roman" w:cs="Arial"/>
          <w:b/>
          <w:bCs/>
          <w:szCs w:val="20"/>
          <w:lang w:eastAsia="cs-CZ"/>
        </w:rPr>
        <w:t>, ve znění pozdějších předpisů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Prohlašuji tímto čestně, že: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dodavatel:   ……</w:t>
      </w:r>
      <w:proofErr w:type="gramStart"/>
      <w:r>
        <w:rPr>
          <w:rFonts w:eastAsia="Times New Roman" w:cs="Arial"/>
          <w:szCs w:val="20"/>
          <w:lang w:eastAsia="cs-CZ"/>
        </w:rPr>
        <w:t>…..…</w:t>
      </w:r>
      <w:proofErr w:type="gramEnd"/>
      <w:r>
        <w:rPr>
          <w:rFonts w:eastAsia="Times New Roman" w:cs="Arial"/>
          <w:szCs w:val="20"/>
          <w:lang w:eastAsia="cs-CZ"/>
        </w:rPr>
        <w:t>. (doplněny budou identifikační údaje dodavatele)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a)    nebyl</w:t>
      </w:r>
      <w:proofErr w:type="gramEnd"/>
      <w:r>
        <w:rPr>
          <w:rFonts w:eastAsia="Times New Roman" w:cs="Arial"/>
          <w:szCs w:val="20"/>
          <w:lang w:eastAsia="cs-CZ"/>
        </w:rPr>
        <w:t xml:space="preserve"> pravomocně odsouzen pro trestný čin spáchaný ve prospěch organizované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zločinecké skupiny, trestný čin účasti na organizované zločinecké skupině, legalizace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výnosů z trestné činnosti, podílnictví, přijímání úplatku, podplácení, nepřímého 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úplatkářství, podvodu, úvěrového podvodu, včetně případů, kdy jde o přípravu nebo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pokus nebo účastenství na takovém trestném činu, nebo došlo k zahlazení odsouzení </w:t>
      </w:r>
      <w:proofErr w:type="gramStart"/>
      <w:r>
        <w:rPr>
          <w:rFonts w:eastAsia="Times New Roman" w:cs="Arial"/>
          <w:szCs w:val="20"/>
          <w:lang w:eastAsia="cs-CZ"/>
        </w:rPr>
        <w:t>za</w:t>
      </w:r>
      <w:proofErr w:type="gramEnd"/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spáchání takového trestného činu; jde-li o právnickou osobu, musí tento předpoklad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splňovat statutární orgán nebo každý člen statutárního orgánu, a je-li statutárním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orgánem dodavatele či členem statutárního orgánu </w:t>
      </w:r>
      <w:proofErr w:type="spellStart"/>
      <w:r>
        <w:rPr>
          <w:rFonts w:eastAsia="Times New Roman" w:cs="Arial"/>
          <w:szCs w:val="20"/>
          <w:lang w:eastAsia="cs-CZ"/>
        </w:rPr>
        <w:t>dadavatele</w:t>
      </w:r>
      <w:proofErr w:type="spellEnd"/>
      <w:r>
        <w:rPr>
          <w:rFonts w:eastAsia="Times New Roman" w:cs="Arial"/>
          <w:szCs w:val="20"/>
          <w:lang w:eastAsia="cs-CZ"/>
        </w:rPr>
        <w:t xml:space="preserve"> právnická osoba, musí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tento předpoklad splňovat statutární orgán nebo každý člen statutárního orgánu této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právnické osoby; podává-li nabídku či žádost o účast zahraniční právnická osoba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prostřednictvím své organizační složky, musí předpoklad podle tohoto písmene splňovat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vedle uvedených osob rovněž vedoucí této organizační složky; tento základní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kvalifikační předpoklad musí dodavatel </w:t>
      </w:r>
      <w:proofErr w:type="spellStart"/>
      <w:r>
        <w:rPr>
          <w:rFonts w:eastAsia="Times New Roman" w:cs="Arial"/>
          <w:szCs w:val="20"/>
          <w:lang w:eastAsia="cs-CZ"/>
        </w:rPr>
        <w:t>splnovat</w:t>
      </w:r>
      <w:proofErr w:type="spellEnd"/>
      <w:r>
        <w:rPr>
          <w:rFonts w:eastAsia="Times New Roman" w:cs="Arial"/>
          <w:szCs w:val="20"/>
          <w:lang w:eastAsia="cs-CZ"/>
        </w:rPr>
        <w:t xml:space="preserve"> jak ve vztahu k území České republiky,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tak k zemi svého sídla, místa podnikání či bydliště,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b)    nebyl</w:t>
      </w:r>
      <w:proofErr w:type="gramEnd"/>
      <w:r>
        <w:rPr>
          <w:rFonts w:eastAsia="Times New Roman" w:cs="Arial"/>
          <w:szCs w:val="20"/>
          <w:lang w:eastAsia="cs-CZ"/>
        </w:rPr>
        <w:t xml:space="preserve"> pravomocně odsouzen pro trestný čin, jehož skutková podstata souvisí s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předmětem podnikání dodavatele podle zvláštních právních předpisů nebo došlo k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zahlazení odsouzení za spáchání takového trestného činu; jde-li o právnickou osobu,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musí tuto podmínku splňovat statutární orgán nebo každý člen statutárního orgánu, a je-li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statutárním orgánem dodavatele či členem statutárního orgánu dodavatele právnická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osoba, musí tento předpoklad splňovat statutární orgán nebo každý člen statutárního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orgánu této právnické osoby; podává-li nabídku či žádost o účast zahraniční právnická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osoba prostřednictvím své organizační složky, musí předpoklad podle tohoto písmene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splňovat vedle uvedených osob rovněž vedoucí této organizační složky; tento základní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kvalifikační předpoklad musí dodavatel splňovat jak ve vztahu k území České republiky,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tak k zemi svého sídla, místa podnikání či bydliště,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c)    v posledních</w:t>
      </w:r>
      <w:proofErr w:type="gramEnd"/>
      <w:r>
        <w:rPr>
          <w:rFonts w:eastAsia="Times New Roman" w:cs="Arial"/>
          <w:szCs w:val="20"/>
          <w:lang w:eastAsia="cs-CZ"/>
        </w:rPr>
        <w:t xml:space="preserve"> 3 letech nenaplnil skutkovou podstatu jednání nekalé soutěže formou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podplácení podle zvláštního právního předpisu (§ 49 zákona č. 513/1991 Sb., obchodní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zákoník),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d)    vůči</w:t>
      </w:r>
      <w:proofErr w:type="gramEnd"/>
      <w:r>
        <w:rPr>
          <w:rFonts w:eastAsia="Times New Roman" w:cs="Arial"/>
          <w:szCs w:val="20"/>
          <w:lang w:eastAsia="cs-CZ"/>
        </w:rPr>
        <w:t xml:space="preserve"> jehož majetku neprobíhá nebo v posledních 3 letech neproběhlo insolvenční řízení,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v němž bylo vydáno rozhodnutí o úpadku nebo insolvenční návrh nebyl zamítnut proto,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že majetek nepostačuje k úhradě nákladů insolvenčního řízení, nebo nebyl konkurs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zrušen proto, že majetek byl zcela </w:t>
      </w:r>
      <w:proofErr w:type="gramStart"/>
      <w:r>
        <w:rPr>
          <w:rFonts w:eastAsia="Times New Roman" w:cs="Arial"/>
          <w:szCs w:val="20"/>
          <w:lang w:eastAsia="cs-CZ"/>
        </w:rPr>
        <w:t>nepostačující ( zákon</w:t>
      </w:r>
      <w:proofErr w:type="gramEnd"/>
      <w:r>
        <w:rPr>
          <w:rFonts w:eastAsia="Times New Roman" w:cs="Arial"/>
          <w:szCs w:val="20"/>
          <w:lang w:eastAsia="cs-CZ"/>
        </w:rPr>
        <w:t xml:space="preserve"> č. 182/2006 Sb., o úpadku a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</w:t>
      </w:r>
      <w:proofErr w:type="gramStart"/>
      <w:r>
        <w:rPr>
          <w:rFonts w:eastAsia="Times New Roman" w:cs="Arial"/>
          <w:szCs w:val="20"/>
          <w:lang w:eastAsia="cs-CZ"/>
        </w:rPr>
        <w:t>způsobech</w:t>
      </w:r>
      <w:proofErr w:type="gramEnd"/>
      <w:r>
        <w:rPr>
          <w:rFonts w:eastAsia="Times New Roman" w:cs="Arial"/>
          <w:szCs w:val="20"/>
          <w:lang w:eastAsia="cs-CZ"/>
        </w:rPr>
        <w:t xml:space="preserve"> jeho řešení (insolvenční zákon), ve znění pozdějších předpisů) nebo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zavedena nucená správa podle zvláštních právních předpisů,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e)    není</w:t>
      </w:r>
      <w:proofErr w:type="gramEnd"/>
      <w:r>
        <w:rPr>
          <w:rFonts w:eastAsia="Times New Roman" w:cs="Arial"/>
          <w:szCs w:val="20"/>
          <w:lang w:eastAsia="cs-CZ"/>
        </w:rPr>
        <w:t xml:space="preserve"> v likvidaci,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f)     nemá</w:t>
      </w:r>
      <w:proofErr w:type="gramEnd"/>
      <w:r>
        <w:rPr>
          <w:rFonts w:eastAsia="Times New Roman" w:cs="Arial"/>
          <w:szCs w:val="20"/>
          <w:lang w:eastAsia="cs-CZ"/>
        </w:rPr>
        <w:t xml:space="preserve"> v evidenci daní zachyceny daňové nedoplatky, a to jak v České republice, tak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v zemi sídla, místa podnikání či bydliště dodavatele. Toto čestné prohlášení platí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rovněž </w:t>
      </w:r>
      <w:r>
        <w:rPr>
          <w:rFonts w:eastAsia="Times New Roman" w:cs="Arial"/>
          <w:szCs w:val="20"/>
          <w:u w:val="single"/>
          <w:lang w:eastAsia="cs-CZ"/>
        </w:rPr>
        <w:t>ve vztahu ke spotřební dani</w:t>
      </w:r>
      <w:r>
        <w:rPr>
          <w:rFonts w:eastAsia="Times New Roman" w:cs="Arial"/>
          <w:szCs w:val="20"/>
          <w:lang w:eastAsia="cs-CZ"/>
        </w:rPr>
        <w:t>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g)    nemá</w:t>
      </w:r>
      <w:proofErr w:type="gramEnd"/>
      <w:r>
        <w:rPr>
          <w:rFonts w:eastAsia="Times New Roman" w:cs="Arial"/>
          <w:szCs w:val="20"/>
          <w:lang w:eastAsia="cs-CZ"/>
        </w:rPr>
        <w:t xml:space="preserve"> nedoplatek na pojistném a na penále ve veřejném zdravotním pojištění, a to jak v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České republice, tak v zemi sídla, místa podnikání či bydliště dodavatele,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 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h)    nemá</w:t>
      </w:r>
      <w:proofErr w:type="gramEnd"/>
      <w:r>
        <w:rPr>
          <w:rFonts w:eastAsia="Times New Roman" w:cs="Arial"/>
          <w:szCs w:val="20"/>
          <w:lang w:eastAsia="cs-CZ"/>
        </w:rPr>
        <w:t xml:space="preserve"> nedoplatek na pojistném a na penále na sociální zabezpečení a příspěvku na státní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politiku zaměstnanosti, a to jak v České republice, tak v zemi sídla, místa podnikání či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bydliště dodavatele,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j)     není</w:t>
      </w:r>
      <w:proofErr w:type="gramEnd"/>
      <w:r>
        <w:rPr>
          <w:rFonts w:eastAsia="Times New Roman" w:cs="Arial"/>
          <w:szCs w:val="20"/>
          <w:lang w:eastAsia="cs-CZ"/>
        </w:rPr>
        <w:t xml:space="preserve"> veden v rejstříku osob se zákazem plnění veřejných zakázek,      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k)    předloží</w:t>
      </w:r>
      <w:proofErr w:type="gramEnd"/>
      <w:r>
        <w:rPr>
          <w:rFonts w:eastAsia="Times New Roman" w:cs="Arial"/>
          <w:szCs w:val="20"/>
          <w:lang w:eastAsia="cs-CZ"/>
        </w:rPr>
        <w:t xml:space="preserve"> seznam statutárních orgánů nebo členů statutárních orgánů, kteří v </w:t>
      </w:r>
      <w:proofErr w:type="gramStart"/>
      <w:r>
        <w:rPr>
          <w:rFonts w:eastAsia="Times New Roman" w:cs="Arial"/>
          <w:szCs w:val="20"/>
          <w:lang w:eastAsia="cs-CZ"/>
        </w:rPr>
        <w:t>posledních</w:t>
      </w:r>
      <w:proofErr w:type="gramEnd"/>
      <w:r>
        <w:rPr>
          <w:rFonts w:eastAsia="Times New Roman" w:cs="Arial"/>
          <w:szCs w:val="20"/>
          <w:lang w:eastAsia="cs-CZ"/>
        </w:rPr>
        <w:t xml:space="preserve">   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3 </w:t>
      </w:r>
      <w:proofErr w:type="gramStart"/>
      <w:r>
        <w:rPr>
          <w:rFonts w:eastAsia="Times New Roman" w:cs="Arial"/>
          <w:szCs w:val="20"/>
          <w:lang w:eastAsia="cs-CZ"/>
        </w:rPr>
        <w:t>letech</w:t>
      </w:r>
      <w:proofErr w:type="gramEnd"/>
      <w:r>
        <w:rPr>
          <w:rFonts w:eastAsia="Times New Roman" w:cs="Arial"/>
          <w:szCs w:val="20"/>
          <w:lang w:eastAsia="cs-CZ"/>
        </w:rPr>
        <w:t xml:space="preserve"> pracovali u zadavatele,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szCs w:val="20"/>
          <w:lang w:eastAsia="cs-CZ"/>
        </w:rPr>
        <w:t>l)     který</w:t>
      </w:r>
      <w:proofErr w:type="gramEnd"/>
      <w:r>
        <w:rPr>
          <w:rFonts w:eastAsia="Times New Roman" w:cs="Arial"/>
          <w:szCs w:val="20"/>
          <w:lang w:eastAsia="cs-CZ"/>
        </w:rPr>
        <w:t xml:space="preserve"> má formu akciové společnosti, předloží aktuální seznam akcionářů s podílem akcií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vyšším než 10 %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 Toto čestné prohlášení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  podepisuji jako   ……………………………………………………………………………</w:t>
      </w:r>
      <w:proofErr w:type="gramStart"/>
      <w:r>
        <w:rPr>
          <w:rFonts w:eastAsia="Times New Roman" w:cs="Arial"/>
          <w:szCs w:val="20"/>
          <w:lang w:eastAsia="cs-CZ"/>
        </w:rPr>
        <w:t>…..</w:t>
      </w:r>
      <w:proofErr w:type="gramEnd"/>
      <w:r>
        <w:rPr>
          <w:rFonts w:eastAsia="Times New Roman" w:cs="Arial"/>
          <w:szCs w:val="20"/>
          <w:lang w:eastAsia="cs-CZ"/>
        </w:rPr>
        <w:t xml:space="preserve"> 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                                   (titul, jméno, příjmení osoby oprávněné jednat jménem/za dodavatele)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         V </w:t>
      </w:r>
      <w:r>
        <w:rPr>
          <w:rFonts w:eastAsia="Times New Roman" w:cs="Arial"/>
          <w:b/>
          <w:bCs/>
          <w:szCs w:val="20"/>
          <w:lang w:eastAsia="cs-CZ"/>
        </w:rPr>
        <w:t xml:space="preserve">…………………. </w:t>
      </w:r>
      <w:r>
        <w:rPr>
          <w:rFonts w:eastAsia="Times New Roman" w:cs="Arial"/>
          <w:szCs w:val="20"/>
          <w:lang w:eastAsia="cs-CZ"/>
        </w:rPr>
        <w:t xml:space="preserve">Dne </w:t>
      </w:r>
      <w:r>
        <w:rPr>
          <w:rFonts w:eastAsia="Times New Roman" w:cs="Arial"/>
          <w:b/>
          <w:bCs/>
          <w:szCs w:val="20"/>
          <w:lang w:eastAsia="cs-CZ"/>
        </w:rPr>
        <w:t>……………………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b/>
          <w:bCs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</w:t>
      </w: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</w:t>
      </w:r>
    </w:p>
    <w:p w:rsidR="00806875" w:rsidRDefault="00806875" w:rsidP="00806875">
      <w:pPr>
        <w:rPr>
          <w:rFonts w:cs="Arial"/>
          <w:szCs w:val="20"/>
        </w:rPr>
      </w:pPr>
    </w:p>
    <w:p w:rsidR="00806875" w:rsidRDefault="00806875" w:rsidP="00806875">
      <w:pPr>
        <w:autoSpaceDE w:val="0"/>
        <w:autoSpaceDN w:val="0"/>
        <w:adjustRightInd w:val="0"/>
        <w:rPr>
          <w:rFonts w:cs="Arial"/>
        </w:rPr>
      </w:pPr>
      <w: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tbl>
      <w:tblPr>
        <w:tblW w:w="775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260"/>
        <w:gridCol w:w="43"/>
        <w:gridCol w:w="4297"/>
        <w:gridCol w:w="148"/>
        <w:gridCol w:w="812"/>
        <w:gridCol w:w="182"/>
      </w:tblGrid>
      <w:tr w:rsidR="00806875" w:rsidTr="00806875">
        <w:trPr>
          <w:gridBefore w:val="1"/>
          <w:gridAfter w:val="1"/>
          <w:wBefore w:w="15" w:type="dxa"/>
          <w:wAfter w:w="182" w:type="dxa"/>
          <w:trHeight w:val="270"/>
        </w:trPr>
        <w:tc>
          <w:tcPr>
            <w:tcW w:w="2260" w:type="dxa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56"/>
        </w:trPr>
        <w:tc>
          <w:tcPr>
            <w:tcW w:w="2260" w:type="dxa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56"/>
        </w:trPr>
        <w:tc>
          <w:tcPr>
            <w:tcW w:w="2260" w:type="dxa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56"/>
        </w:trPr>
        <w:tc>
          <w:tcPr>
            <w:tcW w:w="2260" w:type="dxa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56"/>
        </w:trPr>
        <w:tc>
          <w:tcPr>
            <w:tcW w:w="2260" w:type="dxa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56"/>
        </w:trPr>
        <w:tc>
          <w:tcPr>
            <w:tcW w:w="2260" w:type="dxa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70"/>
        </w:trPr>
        <w:tc>
          <w:tcPr>
            <w:tcW w:w="2260" w:type="dxa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56"/>
        </w:trPr>
        <w:tc>
          <w:tcPr>
            <w:tcW w:w="2260" w:type="dxa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56"/>
        </w:trPr>
        <w:tc>
          <w:tcPr>
            <w:tcW w:w="2260" w:type="dxa"/>
            <w:noWrap/>
            <w:vAlign w:val="center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center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56"/>
        </w:trPr>
        <w:tc>
          <w:tcPr>
            <w:tcW w:w="2260" w:type="dxa"/>
            <w:noWrap/>
            <w:vAlign w:val="center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center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06875" w:rsidTr="00806875">
        <w:trPr>
          <w:gridBefore w:val="1"/>
          <w:gridAfter w:val="1"/>
          <w:wBefore w:w="15" w:type="dxa"/>
          <w:wAfter w:w="182" w:type="dxa"/>
          <w:trHeight w:val="256"/>
        </w:trPr>
        <w:tc>
          <w:tcPr>
            <w:tcW w:w="2260" w:type="dxa"/>
            <w:noWrap/>
            <w:vAlign w:val="center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340" w:type="dxa"/>
            <w:gridSpan w:val="2"/>
            <w:noWrap/>
            <w:vAlign w:val="center"/>
          </w:tcPr>
          <w:p w:rsidR="00806875" w:rsidRDefault="00806875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806875" w:rsidRDefault="00806875">
            <w:pPr>
              <w:spacing w:before="0" w:after="0"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06875" w:rsidTr="00806875">
        <w:trPr>
          <w:trHeight w:val="259"/>
        </w:trPr>
        <w:tc>
          <w:tcPr>
            <w:tcW w:w="231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44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99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="00806875" w:rsidTr="00806875">
        <w:trPr>
          <w:trHeight w:val="247"/>
        </w:trPr>
        <w:tc>
          <w:tcPr>
            <w:tcW w:w="231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44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994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06875" w:rsidRDefault="00806875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</w:tbl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806875" w:rsidRDefault="00806875" w:rsidP="00806875">
      <w:pPr>
        <w:spacing w:before="0"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 </w:t>
      </w:r>
    </w:p>
    <w:p w:rsidR="00132D0D" w:rsidRDefault="00132D0D"/>
    <w:sectPr w:rsidR="0013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B7B"/>
    <w:multiLevelType w:val="hybridMultilevel"/>
    <w:tmpl w:val="04B86F06"/>
    <w:lvl w:ilvl="0" w:tplc="B0AA2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75A4C"/>
    <w:multiLevelType w:val="multilevel"/>
    <w:tmpl w:val="AA96CB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1C12E19"/>
    <w:multiLevelType w:val="hybridMultilevel"/>
    <w:tmpl w:val="A0EAE0B6"/>
    <w:lvl w:ilvl="0" w:tplc="77A68A3C">
      <w:start w:val="1"/>
      <w:numFmt w:val="bullet"/>
      <w:pStyle w:val="fou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2D832AFA"/>
    <w:multiLevelType w:val="hybridMultilevel"/>
    <w:tmpl w:val="B4466EEA"/>
    <w:lvl w:ilvl="0" w:tplc="64628AFE">
      <w:start w:val="1"/>
      <w:numFmt w:val="decimal"/>
      <w:pStyle w:val="Zkladntext-plohy"/>
      <w:lvlText w:val="Příloha č. %1:"/>
      <w:lvlJc w:val="left"/>
      <w:pPr>
        <w:tabs>
          <w:tab w:val="num" w:pos="1800"/>
        </w:tabs>
        <w:ind w:left="1259" w:hanging="1259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D4D62"/>
    <w:multiLevelType w:val="hybridMultilevel"/>
    <w:tmpl w:val="DC986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B5223"/>
    <w:multiLevelType w:val="multilevel"/>
    <w:tmpl w:val="4266B2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679467EF"/>
    <w:multiLevelType w:val="multilevel"/>
    <w:tmpl w:val="CE029F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sz w:val="2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6AE11778"/>
    <w:multiLevelType w:val="multilevel"/>
    <w:tmpl w:val="033C7D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AEC1B90"/>
    <w:multiLevelType w:val="hybridMultilevel"/>
    <w:tmpl w:val="9EDA871E"/>
    <w:lvl w:ilvl="0" w:tplc="64628A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314225"/>
    <w:multiLevelType w:val="multilevel"/>
    <w:tmpl w:val="AE4C22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9C0AD1"/>
    <w:multiLevelType w:val="hybridMultilevel"/>
    <w:tmpl w:val="7BD631DE"/>
    <w:lvl w:ilvl="0" w:tplc="91225196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9"/>
    <w:rsid w:val="00083851"/>
    <w:rsid w:val="00095B07"/>
    <w:rsid w:val="00132D0D"/>
    <w:rsid w:val="0041507E"/>
    <w:rsid w:val="005D20F7"/>
    <w:rsid w:val="007F3E1F"/>
    <w:rsid w:val="00806875"/>
    <w:rsid w:val="008D7A5B"/>
    <w:rsid w:val="009B4EFF"/>
    <w:rsid w:val="00CB4459"/>
    <w:rsid w:val="00DC1632"/>
    <w:rsid w:val="00F33134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875"/>
    <w:pPr>
      <w:spacing w:before="120" w:after="120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806875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06875"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Arial"/>
      <w:bCs/>
      <w:iCs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6875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Cs w:val="24"/>
      <w:u w:val="single"/>
    </w:rPr>
  </w:style>
  <w:style w:type="paragraph" w:styleId="Nadpis4">
    <w:name w:val="heading 4"/>
    <w:aliases w:val="h4,Odstavec 1,Odstavec 11,Odstavec 12,Odstavec 13,Odstavec 14,Odstavec 111,Odstavec 121,Odstavec 131,Odstavec 15,Odstavec 141,Odstavec 16,Odstavec 112,Odstavec 122,Odstavec 132,Odstavec 142,Odstavec 17,Odstavec 18,Odstavec 113,Odstavec 123,H4,l"/>
    <w:basedOn w:val="Normln"/>
    <w:next w:val="Normln"/>
    <w:link w:val="Nadpis4Char"/>
    <w:semiHidden/>
    <w:unhideWhenUsed/>
    <w:qFormat/>
    <w:rsid w:val="0080687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0687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0687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0687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0687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0687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68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806875"/>
    <w:rPr>
      <w:rFonts w:ascii="Arial" w:eastAsia="Times New Roman" w:hAnsi="Arial" w:cs="Arial"/>
      <w:bCs/>
      <w:iCs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06875"/>
    <w:rPr>
      <w:rFonts w:ascii="Arial" w:eastAsia="Times New Roman" w:hAnsi="Arial" w:cs="Times New Roman"/>
      <w:bCs/>
      <w:sz w:val="20"/>
      <w:szCs w:val="24"/>
      <w:u w:val="single"/>
    </w:rPr>
  </w:style>
  <w:style w:type="character" w:customStyle="1" w:styleId="Nadpis4Char">
    <w:name w:val="Nadpis 4 Char"/>
    <w:aliases w:val="h4 Char,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semiHidden/>
    <w:rsid w:val="00806875"/>
    <w:rPr>
      <w:rFonts w:ascii="Calibri" w:eastAsia="Times New Roman" w:hAnsi="Calibri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8068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806875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806875"/>
    <w:rPr>
      <w:rFonts w:ascii="Calibri" w:eastAsia="Times New Roman" w:hAnsi="Calibri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806875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806875"/>
    <w:rPr>
      <w:rFonts w:ascii="Cambria" w:eastAsia="Times New Roman" w:hAnsi="Cambria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0687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806875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0687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06875"/>
    <w:pPr>
      <w:ind w:left="720"/>
      <w:contextualSpacing/>
    </w:pPr>
  </w:style>
  <w:style w:type="paragraph" w:customStyle="1" w:styleId="Zkladntext-plohy">
    <w:name w:val="Základní text - přílohy"/>
    <w:basedOn w:val="Zkladntext"/>
    <w:next w:val="Normln"/>
    <w:rsid w:val="00806875"/>
    <w:pPr>
      <w:numPr>
        <w:numId w:val="2"/>
      </w:numPr>
      <w:spacing w:after="0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fous">
    <w:name w:val="fous"/>
    <w:basedOn w:val="Normln"/>
    <w:rsid w:val="00806875"/>
    <w:pPr>
      <w:keepLines/>
      <w:numPr>
        <w:numId w:val="3"/>
      </w:numPr>
      <w:spacing w:before="60" w:after="0" w:line="240" w:lineRule="auto"/>
      <w:jc w:val="left"/>
    </w:pPr>
    <w:rPr>
      <w:rFonts w:eastAsia="Times New Roman" w:cs="Arial"/>
      <w:szCs w:val="20"/>
      <w:lang w:eastAsia="cs-CZ"/>
    </w:rPr>
  </w:style>
  <w:style w:type="paragraph" w:customStyle="1" w:styleId="Odrka1">
    <w:name w:val="Odrážka_1"/>
    <w:basedOn w:val="fous"/>
    <w:rsid w:val="00806875"/>
    <w:pPr>
      <w:keepLines w:val="0"/>
      <w:tabs>
        <w:tab w:val="num" w:pos="720"/>
      </w:tabs>
      <w:spacing w:before="120"/>
      <w:ind w:left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687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6875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875"/>
    <w:pPr>
      <w:spacing w:before="120" w:after="120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806875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06875"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Arial"/>
      <w:bCs/>
      <w:iCs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6875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Cs w:val="24"/>
      <w:u w:val="single"/>
    </w:rPr>
  </w:style>
  <w:style w:type="paragraph" w:styleId="Nadpis4">
    <w:name w:val="heading 4"/>
    <w:aliases w:val="h4,Odstavec 1,Odstavec 11,Odstavec 12,Odstavec 13,Odstavec 14,Odstavec 111,Odstavec 121,Odstavec 131,Odstavec 15,Odstavec 141,Odstavec 16,Odstavec 112,Odstavec 122,Odstavec 132,Odstavec 142,Odstavec 17,Odstavec 18,Odstavec 113,Odstavec 123,H4,l"/>
    <w:basedOn w:val="Normln"/>
    <w:next w:val="Normln"/>
    <w:link w:val="Nadpis4Char"/>
    <w:semiHidden/>
    <w:unhideWhenUsed/>
    <w:qFormat/>
    <w:rsid w:val="0080687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0687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0687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0687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0687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0687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68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806875"/>
    <w:rPr>
      <w:rFonts w:ascii="Arial" w:eastAsia="Times New Roman" w:hAnsi="Arial" w:cs="Arial"/>
      <w:bCs/>
      <w:iCs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06875"/>
    <w:rPr>
      <w:rFonts w:ascii="Arial" w:eastAsia="Times New Roman" w:hAnsi="Arial" w:cs="Times New Roman"/>
      <w:bCs/>
      <w:sz w:val="20"/>
      <w:szCs w:val="24"/>
      <w:u w:val="single"/>
    </w:rPr>
  </w:style>
  <w:style w:type="character" w:customStyle="1" w:styleId="Nadpis4Char">
    <w:name w:val="Nadpis 4 Char"/>
    <w:aliases w:val="h4 Char,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semiHidden/>
    <w:rsid w:val="00806875"/>
    <w:rPr>
      <w:rFonts w:ascii="Calibri" w:eastAsia="Times New Roman" w:hAnsi="Calibri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8068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806875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806875"/>
    <w:rPr>
      <w:rFonts w:ascii="Calibri" w:eastAsia="Times New Roman" w:hAnsi="Calibri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806875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806875"/>
    <w:rPr>
      <w:rFonts w:ascii="Cambria" w:eastAsia="Times New Roman" w:hAnsi="Cambria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0687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806875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0687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06875"/>
    <w:pPr>
      <w:ind w:left="720"/>
      <w:contextualSpacing/>
    </w:pPr>
  </w:style>
  <w:style w:type="paragraph" w:customStyle="1" w:styleId="Zkladntext-plohy">
    <w:name w:val="Základní text - přílohy"/>
    <w:basedOn w:val="Zkladntext"/>
    <w:next w:val="Normln"/>
    <w:rsid w:val="00806875"/>
    <w:pPr>
      <w:numPr>
        <w:numId w:val="2"/>
      </w:numPr>
      <w:spacing w:after="0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fous">
    <w:name w:val="fous"/>
    <w:basedOn w:val="Normln"/>
    <w:rsid w:val="00806875"/>
    <w:pPr>
      <w:keepLines/>
      <w:numPr>
        <w:numId w:val="3"/>
      </w:numPr>
      <w:spacing w:before="60" w:after="0" w:line="240" w:lineRule="auto"/>
      <w:jc w:val="left"/>
    </w:pPr>
    <w:rPr>
      <w:rFonts w:eastAsia="Times New Roman" w:cs="Arial"/>
      <w:szCs w:val="20"/>
      <w:lang w:eastAsia="cs-CZ"/>
    </w:rPr>
  </w:style>
  <w:style w:type="paragraph" w:customStyle="1" w:styleId="Odrka1">
    <w:name w:val="Odrážka_1"/>
    <w:basedOn w:val="fous"/>
    <w:rsid w:val="00806875"/>
    <w:pPr>
      <w:keepLines w:val="0"/>
      <w:tabs>
        <w:tab w:val="num" w:pos="720"/>
      </w:tabs>
      <w:spacing w:before="120"/>
      <w:ind w:left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687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6875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m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2448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 Ing. (GFŘ)</dc:creator>
  <cp:lastModifiedBy>Šilinger Bronislav Ing.</cp:lastModifiedBy>
  <cp:revision>5</cp:revision>
  <dcterms:created xsi:type="dcterms:W3CDTF">2013-09-17T16:13:00Z</dcterms:created>
  <dcterms:modified xsi:type="dcterms:W3CDTF">2013-09-19T13:58:00Z</dcterms:modified>
</cp:coreProperties>
</file>