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10BA" w14:textId="77777777" w:rsidR="004625CF" w:rsidRDefault="007239F7">
      <w:pPr>
        <w:rPr>
          <w:color w:val="000000"/>
        </w:rPr>
      </w:pPr>
      <w:r>
        <w:rPr>
          <w:color w:val="000000"/>
        </w:rPr>
        <w:t>Zadavatel – odbor informatiky MŽP – poskytuje v rámci realizace průzkumu trhu účastníkům níže uvedený popis předmětu budoucí veřejné zakázky (dále jen „</w:t>
      </w:r>
      <w:r>
        <w:rPr>
          <w:b/>
          <w:color w:val="000000"/>
        </w:rPr>
        <w:t>VZ</w:t>
      </w:r>
      <w:r>
        <w:rPr>
          <w:color w:val="000000"/>
        </w:rPr>
        <w:t xml:space="preserve">“) s názvem </w:t>
      </w:r>
      <w:r>
        <w:rPr>
          <w:b/>
          <w:color w:val="000000"/>
        </w:rPr>
        <w:t xml:space="preserve">„Dodání řešení pro úplné elektronické podání a vyřízení včetně zajištění podpory a rozvoje“ </w:t>
      </w:r>
      <w:r>
        <w:rPr>
          <w:bCs/>
          <w:color w:val="000000"/>
        </w:rPr>
        <w:t>(dále jen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EnviÚEP</w:t>
      </w:r>
      <w:r>
        <w:rPr>
          <w:bCs/>
          <w:color w:val="000000"/>
        </w:rPr>
        <w:t>)</w:t>
      </w:r>
      <w:r>
        <w:rPr>
          <w:color w:val="000000"/>
        </w:rPr>
        <w:t xml:space="preserve"> s cílem získat odhad finančního rámce pro stanovení předpokládané hodnoty budoucí VZ.</w:t>
      </w:r>
    </w:p>
    <w:p w14:paraId="77687567" w14:textId="77777777" w:rsidR="004625CF" w:rsidRDefault="007239F7">
      <w:pPr>
        <w:spacing w:after="120"/>
        <w:rPr>
          <w:color w:val="000000"/>
        </w:rPr>
      </w:pPr>
      <w:r>
        <w:rPr>
          <w:color w:val="000000"/>
        </w:rPr>
        <w:t>Požadavky na zaslání nabídkové ceny a další informace pro zpracování odpovědi na tento průzkum trhu popisují další kapitoly této výzvy.</w:t>
      </w:r>
    </w:p>
    <w:p w14:paraId="7D6CD558" w14:textId="77777777" w:rsidR="004625CF" w:rsidRDefault="007239F7">
      <w:pPr>
        <w:pStyle w:val="Nadpis1"/>
      </w:pPr>
      <w:bookmarkStart w:id="0" w:name="_Ref23241129"/>
      <w:r>
        <w:t>Rámcová specifikace plnění budoucí VZ</w:t>
      </w:r>
      <w:bookmarkEnd w:id="0"/>
    </w:p>
    <w:p w14:paraId="53418495" w14:textId="77777777" w:rsidR="004625CF" w:rsidRDefault="007239F7">
      <w:r>
        <w:t>Předmětem budoucí VZ, navazující na tento průzkum trhu, bude:</w:t>
      </w:r>
    </w:p>
    <w:p w14:paraId="13882C76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7" w:hanging="283"/>
        <w:rPr>
          <w:color w:val="000000"/>
        </w:rPr>
      </w:pPr>
      <w:r>
        <w:rPr>
          <w:color w:val="000000" w:themeColor="text1"/>
        </w:rPr>
        <w:t>dodat, vyvinout a nasadit,</w:t>
      </w:r>
    </w:p>
    <w:p w14:paraId="6A1E66A8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7" w:hanging="283"/>
        <w:rPr>
          <w:color w:val="000000"/>
        </w:rPr>
      </w:pPr>
      <w:r>
        <w:rPr>
          <w:color w:val="000000" w:themeColor="text1"/>
        </w:rPr>
        <w:t>zajistit podporu (služby provozní a servisní podpory), a</w:t>
      </w:r>
    </w:p>
    <w:p w14:paraId="2B553949" w14:textId="77777777" w:rsidR="004625CF" w:rsidRDefault="007239F7">
      <w:pPr>
        <w:pStyle w:val="Odstavecseseznamem"/>
        <w:numPr>
          <w:ilvl w:val="0"/>
          <w:numId w:val="21"/>
        </w:numPr>
        <w:ind w:left="568" w:hanging="284"/>
        <w:contextualSpacing w:val="0"/>
        <w:rPr>
          <w:color w:val="000000"/>
        </w:rPr>
      </w:pPr>
      <w:r>
        <w:rPr>
          <w:color w:val="000000" w:themeColor="text1"/>
        </w:rPr>
        <w:t>zajistit rozvoj (služby rozvoje – vývoje, integrace apod.),</w:t>
      </w:r>
    </w:p>
    <w:p w14:paraId="7F8381D4" w14:textId="77777777" w:rsidR="004625CF" w:rsidRDefault="007239F7">
      <w:pPr>
        <w:contextualSpacing/>
        <w:rPr>
          <w:color w:val="000000"/>
        </w:rPr>
      </w:pPr>
      <w:r>
        <w:rPr>
          <w:color w:val="000000" w:themeColor="text1"/>
        </w:rPr>
        <w:t xml:space="preserve">SW řešení pro </w:t>
      </w:r>
      <w:r>
        <w:rPr>
          <w:b/>
          <w:bCs/>
          <w:color w:val="000000" w:themeColor="text1"/>
        </w:rPr>
        <w:t>úplné elektronické podání</w:t>
      </w:r>
      <w:r>
        <w:rPr>
          <w:color w:val="000000" w:themeColor="text1"/>
        </w:rPr>
        <w:t xml:space="preserve"> a </w:t>
      </w:r>
      <w:r>
        <w:rPr>
          <w:b/>
          <w:bCs/>
          <w:color w:val="000000" w:themeColor="text1"/>
        </w:rPr>
        <w:t>vyřízení</w:t>
      </w:r>
      <w:r>
        <w:rPr>
          <w:color w:val="000000" w:themeColor="text1"/>
        </w:rPr>
        <w:t xml:space="preserve"> skládající se minimálně z následujících komponent:</w:t>
      </w:r>
    </w:p>
    <w:p w14:paraId="731899D3" w14:textId="23F0CEC1" w:rsidR="004625CF" w:rsidRDefault="007239F7">
      <w:pPr>
        <w:pStyle w:val="Odstavecseseznamem"/>
        <w:numPr>
          <w:ilvl w:val="0"/>
          <w:numId w:val="21"/>
        </w:numPr>
        <w:spacing w:after="120"/>
        <w:ind w:left="567" w:hanging="283"/>
        <w:rPr>
          <w:color w:val="000000"/>
        </w:rPr>
      </w:pPr>
      <w:r>
        <w:rPr>
          <w:color w:val="000000" w:themeColor="text1"/>
        </w:rPr>
        <w:t xml:space="preserve">interakčního a transakčního </w:t>
      </w:r>
      <w:r w:rsidR="004B5D82">
        <w:rPr>
          <w:color w:val="000000" w:themeColor="text1"/>
        </w:rPr>
        <w:t xml:space="preserve">samoobslužného </w:t>
      </w:r>
      <w:r>
        <w:rPr>
          <w:color w:val="000000" w:themeColor="text1"/>
        </w:rPr>
        <w:t xml:space="preserve">portálu (dále také </w:t>
      </w:r>
      <w:r w:rsidRPr="004B5D82">
        <w:rPr>
          <w:b/>
          <w:bCs/>
          <w:color w:val="000000" w:themeColor="text1"/>
        </w:rPr>
        <w:t>ITSP</w:t>
      </w:r>
      <w:r>
        <w:rPr>
          <w:color w:val="000000" w:themeColor="text1"/>
        </w:rPr>
        <w:t xml:space="preserve">) pro účely podání žádostí, hlášení, oznámení apod. koncovými uživateli (subjekty práva – Klienty VS) do agend MŽP (rezortu ŽP) a vyřízení těchto podání úředníky ministerstva, rezortních organizací nebo obecně VS/SS – dále také modul </w:t>
      </w:r>
      <w:r>
        <w:rPr>
          <w:b/>
          <w:bCs/>
          <w:color w:val="000000" w:themeColor="text1"/>
        </w:rPr>
        <w:t>EnviPORTAL</w:t>
      </w:r>
      <w:r>
        <w:rPr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Občana</w:t>
      </w:r>
      <w:r w:rsidR="004B5D82">
        <w:rPr>
          <w:b/>
          <w:bCs/>
          <w:color w:val="000000" w:themeColor="text1"/>
        </w:rPr>
        <w:t xml:space="preserve"> </w:t>
      </w:r>
      <w:r w:rsidR="004B5D82" w:rsidRPr="004B5D82">
        <w:rPr>
          <w:color w:val="000000" w:themeColor="text1"/>
        </w:rPr>
        <w:t>(</w:t>
      </w:r>
      <w:r w:rsidR="004B5D82">
        <w:rPr>
          <w:b/>
          <w:bCs/>
          <w:color w:val="000000" w:themeColor="text1"/>
        </w:rPr>
        <w:t>PO</w:t>
      </w:r>
      <w:r w:rsidR="004B5D82" w:rsidRPr="004B5D82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Podnikatele</w:t>
      </w:r>
      <w:r>
        <w:rPr>
          <w:color w:val="000000" w:themeColor="text1"/>
        </w:rPr>
        <w:t xml:space="preserve"> </w:t>
      </w:r>
      <w:r w:rsidR="004B5D82">
        <w:rPr>
          <w:color w:val="000000" w:themeColor="text1"/>
        </w:rPr>
        <w:t>(</w:t>
      </w:r>
      <w:r w:rsidR="004B5D82" w:rsidRPr="004B5D82">
        <w:rPr>
          <w:b/>
          <w:bCs/>
          <w:color w:val="000000" w:themeColor="text1"/>
        </w:rPr>
        <w:t>PP</w:t>
      </w:r>
      <w:r w:rsidR="004B5D82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a </w:t>
      </w:r>
      <w:r>
        <w:rPr>
          <w:b/>
          <w:bCs/>
          <w:color w:val="000000" w:themeColor="text1"/>
        </w:rPr>
        <w:t>Úředníka</w:t>
      </w:r>
      <w:r w:rsidR="004B5D82">
        <w:rPr>
          <w:b/>
          <w:bCs/>
          <w:color w:val="000000" w:themeColor="text1"/>
        </w:rPr>
        <w:t xml:space="preserve"> </w:t>
      </w:r>
      <w:r w:rsidR="004B5D82" w:rsidRPr="004B5D82">
        <w:rPr>
          <w:color w:val="000000" w:themeColor="text1"/>
        </w:rPr>
        <w:t>(</w:t>
      </w:r>
      <w:r w:rsidR="004B5D82">
        <w:rPr>
          <w:b/>
          <w:bCs/>
          <w:color w:val="000000" w:themeColor="text1"/>
        </w:rPr>
        <w:t>PÚ</w:t>
      </w:r>
      <w:r w:rsidR="004B5D82" w:rsidRPr="004B5D82">
        <w:rPr>
          <w:color w:val="000000" w:themeColor="text1"/>
        </w:rPr>
        <w:t>)</w:t>
      </w:r>
      <w:r w:rsidR="004B5D82">
        <w:rPr>
          <w:color w:val="000000" w:themeColor="text1"/>
        </w:rPr>
        <w:t xml:space="preserve"> – </w:t>
      </w:r>
      <w:r w:rsidR="004B5D82" w:rsidRPr="005B6BC8">
        <w:rPr>
          <w:b/>
          <w:bCs/>
          <w:i/>
          <w:iCs/>
          <w:color w:val="000000" w:themeColor="text1"/>
        </w:rPr>
        <w:t>Front-End</w:t>
      </w:r>
      <w:r w:rsidR="0052049B" w:rsidRPr="005B6BC8">
        <w:rPr>
          <w:b/>
          <w:bCs/>
          <w:i/>
          <w:iCs/>
          <w:color w:val="000000" w:themeColor="text1"/>
        </w:rPr>
        <w:t xml:space="preserve"> (Office)</w:t>
      </w:r>
      <w:r w:rsidR="004B5D82" w:rsidRPr="005B6BC8">
        <w:rPr>
          <w:b/>
          <w:bCs/>
          <w:i/>
          <w:iCs/>
          <w:color w:val="000000" w:themeColor="text1"/>
        </w:rPr>
        <w:t xml:space="preserve"> část</w:t>
      </w:r>
      <w:r>
        <w:rPr>
          <w:color w:val="000000" w:themeColor="text1"/>
        </w:rPr>
        <w:t>.</w:t>
      </w:r>
    </w:p>
    <w:p w14:paraId="11D21E94" w14:textId="0F537E21" w:rsidR="004625CF" w:rsidRDefault="007239F7">
      <w:pPr>
        <w:pStyle w:val="Odstavecseseznamem"/>
        <w:numPr>
          <w:ilvl w:val="0"/>
          <w:numId w:val="21"/>
        </w:numPr>
        <w:spacing w:after="120"/>
        <w:ind w:left="567" w:hanging="283"/>
        <w:rPr>
          <w:color w:val="000000"/>
        </w:rPr>
      </w:pPr>
      <w:r>
        <w:rPr>
          <w:color w:val="000000" w:themeColor="text1"/>
        </w:rPr>
        <w:t xml:space="preserve">modulu </w:t>
      </w:r>
      <w:r>
        <w:rPr>
          <w:b/>
          <w:bCs/>
          <w:color w:val="000000" w:themeColor="text1"/>
        </w:rPr>
        <w:t>EnviESB</w:t>
      </w:r>
      <w:r>
        <w:rPr>
          <w:rStyle w:val="Znakapoznpodarou"/>
          <w:color w:val="000000" w:themeColor="text1"/>
        </w:rPr>
        <w:footnoteReference w:id="2"/>
      </w:r>
      <w:r>
        <w:rPr>
          <w:color w:val="000000" w:themeColor="text1"/>
        </w:rPr>
        <w:t xml:space="preserve"> zajišťujícího oblast datové výměny, integrace a orchestrace </w:t>
      </w:r>
      <w:r>
        <w:rPr>
          <w:b/>
          <w:bCs/>
          <w:color w:val="000000" w:themeColor="text1"/>
        </w:rPr>
        <w:t>AIS/ISVS/PIS</w:t>
      </w:r>
      <w:r>
        <w:rPr>
          <w:rStyle w:val="Znakapoznpodarou"/>
          <w:color w:val="000000" w:themeColor="text1"/>
        </w:rPr>
        <w:footnoteReference w:id="3"/>
      </w:r>
      <w:r>
        <w:rPr>
          <w:color w:val="000000" w:themeColor="text1"/>
        </w:rPr>
        <w:t xml:space="preserve"> MŽP; </w:t>
      </w:r>
      <w:r w:rsidR="004B5D82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modulu </w:t>
      </w:r>
      <w:r>
        <w:rPr>
          <w:b/>
          <w:bCs/>
          <w:color w:val="000000" w:themeColor="text1"/>
        </w:rPr>
        <w:t>EnviBPM</w:t>
      </w:r>
      <w:r>
        <w:rPr>
          <w:color w:val="000000" w:themeColor="text1"/>
        </w:rPr>
        <w:t xml:space="preserve"> zajištujícího business procesní platformu i s nástrojem pro návrh a tvorbu procesů a obsluhu řízení jednotlivých podání v rámci AIS/ISVS/PIS MŽP (případně rezortu ŽP)</w:t>
      </w:r>
      <w:r w:rsidR="004B5D82">
        <w:rPr>
          <w:color w:val="000000" w:themeColor="text1"/>
        </w:rPr>
        <w:t xml:space="preserve"> – </w:t>
      </w:r>
      <w:proofErr w:type="spellStart"/>
      <w:r w:rsidR="004B5D82" w:rsidRPr="005B6BC8">
        <w:rPr>
          <w:b/>
          <w:bCs/>
          <w:i/>
          <w:iCs/>
          <w:color w:val="000000" w:themeColor="text1"/>
        </w:rPr>
        <w:t>Back</w:t>
      </w:r>
      <w:proofErr w:type="spellEnd"/>
      <w:r w:rsidR="004B5D82" w:rsidRPr="005B6BC8">
        <w:rPr>
          <w:b/>
          <w:bCs/>
          <w:i/>
          <w:iCs/>
          <w:color w:val="000000" w:themeColor="text1"/>
        </w:rPr>
        <w:t>-End</w:t>
      </w:r>
      <w:r w:rsidR="0052049B" w:rsidRPr="005B6BC8">
        <w:rPr>
          <w:b/>
          <w:bCs/>
          <w:i/>
          <w:iCs/>
          <w:color w:val="000000" w:themeColor="text1"/>
        </w:rPr>
        <w:t xml:space="preserve"> (Office)</w:t>
      </w:r>
      <w:r w:rsidR="004B5D82" w:rsidRPr="005B6BC8">
        <w:rPr>
          <w:b/>
          <w:bCs/>
          <w:i/>
          <w:iCs/>
          <w:color w:val="000000" w:themeColor="text1"/>
        </w:rPr>
        <w:t xml:space="preserve"> část</w:t>
      </w:r>
      <w:r>
        <w:rPr>
          <w:color w:val="000000" w:themeColor="text1"/>
        </w:rPr>
        <w:t xml:space="preserve">; a </w:t>
      </w:r>
    </w:p>
    <w:p w14:paraId="598B24E6" w14:textId="597D1E34" w:rsidR="004625CF" w:rsidRDefault="007239F7">
      <w:pPr>
        <w:pStyle w:val="Odstavecseseznamem"/>
        <w:numPr>
          <w:ilvl w:val="0"/>
          <w:numId w:val="21"/>
        </w:numPr>
        <w:ind w:left="568" w:hanging="284"/>
        <w:contextualSpacing w:val="0"/>
        <w:rPr>
          <w:color w:val="000000"/>
        </w:rPr>
      </w:pPr>
      <w:r>
        <w:rPr>
          <w:color w:val="000000" w:themeColor="text1"/>
        </w:rPr>
        <w:t xml:space="preserve">modul </w:t>
      </w:r>
      <w:r>
        <w:rPr>
          <w:b/>
          <w:bCs/>
          <w:color w:val="000000" w:themeColor="text1"/>
        </w:rPr>
        <w:t>EnviDMS,</w:t>
      </w:r>
      <w:r>
        <w:rPr>
          <w:color w:val="000000" w:themeColor="text1"/>
        </w:rPr>
        <w:t xml:space="preserve"> který bude sloužit primárně pro podporu bezpapírové kanceláře a tedy podporu řízení, správy a uložení dokumentů, které nemají oporu v žádném konkrétním AIS/ISVS, ale přesto vznikají a mají svůj vlastní životní cyklus (procesy) při vyřizování různých typů podání (žádostí, hlášení, …) od Klientů VS, než se jejich finální verze stane součástí evidence v ESSS a</w:t>
      </w:r>
      <w:r w:rsidR="003045AC">
        <w:rPr>
          <w:color w:val="000000" w:themeColor="text1"/>
        </w:rPr>
        <w:t> </w:t>
      </w:r>
      <w:r>
        <w:rPr>
          <w:color w:val="000000" w:themeColor="text1"/>
        </w:rPr>
        <w:t xml:space="preserve">jejich uložení buď v AIS/ISVS, ESSS nebo případně i v DMS nebo jiném </w:t>
      </w:r>
      <w:proofErr w:type="spellStart"/>
      <w:r>
        <w:rPr>
          <w:color w:val="000000" w:themeColor="text1"/>
        </w:rPr>
        <w:t>eArchivu</w:t>
      </w:r>
      <w:proofErr w:type="spellEnd"/>
      <w:r>
        <w:rPr>
          <w:color w:val="000000" w:themeColor="text1"/>
        </w:rPr>
        <w:t xml:space="preserve"> (např. Dlouhodobý důvěryhodný archiv), do kterého bude odkazovat jejich evidence</w:t>
      </w:r>
      <w:r w:rsidR="0052049B">
        <w:rPr>
          <w:color w:val="000000" w:themeColor="text1"/>
        </w:rPr>
        <w:t xml:space="preserve"> – </w:t>
      </w:r>
      <w:r w:rsidR="0052049B" w:rsidRPr="005B6BC8">
        <w:rPr>
          <w:b/>
          <w:bCs/>
          <w:color w:val="000000" w:themeColor="text1"/>
        </w:rPr>
        <w:t>Front/</w:t>
      </w:r>
      <w:proofErr w:type="spellStart"/>
      <w:r w:rsidR="0052049B" w:rsidRPr="005B6BC8">
        <w:rPr>
          <w:b/>
          <w:bCs/>
          <w:color w:val="000000" w:themeColor="text1"/>
        </w:rPr>
        <w:t>Back</w:t>
      </w:r>
      <w:proofErr w:type="spellEnd"/>
      <w:r w:rsidR="0052049B" w:rsidRPr="005B6BC8">
        <w:rPr>
          <w:b/>
          <w:bCs/>
          <w:color w:val="000000" w:themeColor="text1"/>
        </w:rPr>
        <w:t>-End (Office) část</w:t>
      </w:r>
      <w:r>
        <w:rPr>
          <w:color w:val="000000" w:themeColor="text1"/>
        </w:rPr>
        <w:t>.</w:t>
      </w:r>
    </w:p>
    <w:p w14:paraId="4A1368B1" w14:textId="118CA3F2" w:rsidR="004625CF" w:rsidRDefault="007239F7">
      <w:pPr>
        <w:rPr>
          <w:color w:val="000000"/>
        </w:rPr>
      </w:pPr>
      <w:r>
        <w:rPr>
          <w:color w:val="000000" w:themeColor="text1"/>
        </w:rPr>
        <w:t xml:space="preserve">Řešení EnviÚEP bude splňovat veškeré požadavky Zadavatele na moderní informační systém </w:t>
      </w:r>
      <w:r>
        <w:rPr>
          <w:color w:val="000000" w:themeColor="text1"/>
        </w:rPr>
        <w:br/>
        <w:t xml:space="preserve">a informační systém veřejné správy dle </w:t>
      </w:r>
      <w:r w:rsidR="005B6BC8">
        <w:rPr>
          <w:color w:val="000000" w:themeColor="text1"/>
        </w:rPr>
        <w:t xml:space="preserve">legislativy </w:t>
      </w:r>
      <w:proofErr w:type="spellStart"/>
      <w:r w:rsidR="005B6BC8">
        <w:rPr>
          <w:color w:val="000000" w:themeColor="text1"/>
        </w:rPr>
        <w:t>eGovermentu</w:t>
      </w:r>
      <w:proofErr w:type="spellEnd"/>
      <w:r w:rsidR="005B6BC8">
        <w:rPr>
          <w:color w:val="000000" w:themeColor="text1"/>
        </w:rPr>
        <w:t xml:space="preserve"> ČR, zejména </w:t>
      </w:r>
      <w:r>
        <w:rPr>
          <w:color w:val="000000" w:themeColor="text1"/>
        </w:rPr>
        <w:t>zákona č. 365/2000 Sb., o informačních systémech veřejné správy a o změně některých dalších zákonů</w:t>
      </w:r>
      <w:r w:rsidR="00DC1E14">
        <w:rPr>
          <w:color w:val="000000" w:themeColor="text1"/>
        </w:rPr>
        <w:t xml:space="preserve"> v aktuálním znění a jeho prováděcích předpisech (viz </w:t>
      </w:r>
      <w:hyperlink r:id="rId9" w:history="1">
        <w:r w:rsidR="00F04E4B" w:rsidRPr="00591EF0">
          <w:rPr>
            <w:rStyle w:val="Hypertextovodkaz"/>
          </w:rPr>
          <w:t>https://archi.gov.cz</w:t>
        </w:r>
      </w:hyperlink>
      <w:r w:rsidR="00DC1E14">
        <w:rPr>
          <w:color w:val="000000" w:themeColor="text1"/>
        </w:rPr>
        <w:t>)</w:t>
      </w:r>
      <w:r>
        <w:rPr>
          <w:color w:val="000000" w:themeColor="text1"/>
        </w:rPr>
        <w:t xml:space="preserve">. V rámci záměru je též uvažováno, že jednotlivé komponenty (moduly) budou vystavěny jako sdílené služby MŽP a rezortu ŽP. Do budoucna se tak stane toto řešení, respektive jeho některé komponenty (moduly) součástí </w:t>
      </w:r>
      <w:r w:rsidR="00F04E4B">
        <w:rPr>
          <w:color w:val="000000" w:themeColor="text1"/>
        </w:rPr>
        <w:t xml:space="preserve">služeb </w:t>
      </w:r>
      <w:r>
        <w:rPr>
          <w:color w:val="000000" w:themeColor="text1"/>
        </w:rPr>
        <w:t>každého nového informačního systému.</w:t>
      </w:r>
    </w:p>
    <w:p w14:paraId="65A41FAC" w14:textId="54C88C09" w:rsidR="004625CF" w:rsidRDefault="007239F7">
      <w:pPr>
        <w:contextualSpacing/>
        <w:rPr>
          <w:color w:val="000000"/>
        </w:rPr>
      </w:pPr>
      <w:r>
        <w:rPr>
          <w:color w:val="000000" w:themeColor="text1"/>
        </w:rPr>
        <w:t xml:space="preserve">Jednotlivé </w:t>
      </w:r>
      <w:r w:rsidR="00F04E4B">
        <w:rPr>
          <w:color w:val="000000" w:themeColor="text1"/>
        </w:rPr>
        <w:t>komponenty (</w:t>
      </w:r>
      <w:r>
        <w:rPr>
          <w:color w:val="000000" w:themeColor="text1"/>
        </w:rPr>
        <w:t>moduly</w:t>
      </w:r>
      <w:r w:rsidR="00F04E4B">
        <w:rPr>
          <w:color w:val="000000" w:themeColor="text1"/>
        </w:rPr>
        <w:t>)</w:t>
      </w:r>
      <w:r>
        <w:rPr>
          <w:color w:val="000000" w:themeColor="text1"/>
        </w:rPr>
        <w:t xml:space="preserve"> řešení EnviÚEP jsou:</w:t>
      </w:r>
    </w:p>
    <w:p w14:paraId="645FED5D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rPr>
          <w:color w:val="000000"/>
        </w:rPr>
      </w:pPr>
      <w:r>
        <w:rPr>
          <w:color w:val="000000" w:themeColor="text1"/>
        </w:rPr>
        <w:t>EnviPORTAL,</w:t>
      </w:r>
    </w:p>
    <w:p w14:paraId="4F21E77E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rPr>
          <w:color w:val="000000"/>
        </w:rPr>
      </w:pPr>
      <w:r>
        <w:rPr>
          <w:color w:val="000000" w:themeColor="text1"/>
        </w:rPr>
        <w:t>EnviESB,</w:t>
      </w:r>
    </w:p>
    <w:p w14:paraId="62BABD64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rPr>
          <w:color w:val="000000"/>
        </w:rPr>
      </w:pPr>
      <w:r>
        <w:rPr>
          <w:color w:val="000000" w:themeColor="text1"/>
        </w:rPr>
        <w:t xml:space="preserve">EnviBPM, a </w:t>
      </w:r>
    </w:p>
    <w:p w14:paraId="31007F65" w14:textId="77777777" w:rsidR="004625CF" w:rsidRDefault="007239F7">
      <w:pPr>
        <w:pStyle w:val="Odstavecseseznamem"/>
        <w:numPr>
          <w:ilvl w:val="0"/>
          <w:numId w:val="21"/>
        </w:numPr>
        <w:ind w:left="568" w:hanging="284"/>
        <w:contextualSpacing w:val="0"/>
        <w:rPr>
          <w:color w:val="000000"/>
        </w:rPr>
      </w:pPr>
      <w:r>
        <w:rPr>
          <w:color w:val="000000" w:themeColor="text1"/>
        </w:rPr>
        <w:t>EnviDMS.</w:t>
      </w:r>
    </w:p>
    <w:p w14:paraId="7B2405E7" w14:textId="77777777" w:rsidR="004625CF" w:rsidRDefault="007239F7">
      <w:pPr>
        <w:rPr>
          <w:color w:val="000000"/>
        </w:rPr>
      </w:pPr>
      <w:r>
        <w:lastRenderedPageBreak/>
        <w:t>Stávajících</w:t>
      </w:r>
      <w:r>
        <w:rPr>
          <w:color w:val="000000" w:themeColor="text1"/>
        </w:rPr>
        <w:t xml:space="preserve"> informační systémy MŽP (případně i rezortních organizací) budou postupně modernizovány tak, aby efektivně využívaly v rámci ICT architektury výše uvedené komponenty (moduly), to samé bude platit i pro IS (AIS/ISVS/PIS), které budou budovány nově.</w:t>
      </w:r>
    </w:p>
    <w:p w14:paraId="3003624F" w14:textId="77777777" w:rsidR="004625CF" w:rsidRDefault="007239F7">
      <w:pPr>
        <w:pStyle w:val="Nadpis2"/>
      </w:pPr>
      <w:r>
        <w:t>Předpokládané etapy projektu</w:t>
      </w:r>
    </w:p>
    <w:p w14:paraId="0CDF400D" w14:textId="77777777" w:rsidR="004625CF" w:rsidRDefault="007239F7">
      <w:r>
        <w:rPr>
          <w:color w:val="000000" w:themeColor="text1"/>
        </w:rPr>
        <w:t>Očekáváme</w:t>
      </w:r>
      <w:r>
        <w:t xml:space="preserve">, že dodání, podpora a rozvoj EnviÚEP bude sestávat minimálně z následujících Etap a úkolů (tzv. WBS –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).</w:t>
      </w:r>
    </w:p>
    <w:p w14:paraId="6BA8F3E8" w14:textId="77777777" w:rsidR="004625CF" w:rsidRDefault="007239F7">
      <w:pPr>
        <w:spacing w:before="120"/>
      </w:pPr>
      <w:r>
        <w:rPr>
          <w:b/>
          <w:bCs/>
        </w:rPr>
        <w:t>Etapa I.</w:t>
      </w:r>
      <w:r>
        <w:t xml:space="preserve"> – </w:t>
      </w:r>
      <w:r>
        <w:rPr>
          <w:b/>
          <w:bCs/>
        </w:rPr>
        <w:t>Analýza a návrh:</w:t>
      </w:r>
      <w:bookmarkStart w:id="1" w:name="_Hlk536084264"/>
    </w:p>
    <w:p w14:paraId="4BA20C88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Tvorba Prováděcího projektu;</w:t>
      </w:r>
    </w:p>
    <w:p w14:paraId="22C7A3FC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Detailní analýza (legislativní, business, funkční/nefunkční požadavky, …);</w:t>
      </w:r>
    </w:p>
    <w:p w14:paraId="5FEAC792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Tvorba Technického návrhu nasazení prototypu (PoC):</w:t>
      </w:r>
    </w:p>
    <w:p w14:paraId="4CF721C0" w14:textId="77777777" w:rsidR="004625CF" w:rsidRDefault="007239F7">
      <w:pPr>
        <w:pStyle w:val="Odstavecseseznamem"/>
        <w:numPr>
          <w:ilvl w:val="1"/>
          <w:numId w:val="17"/>
        </w:numPr>
        <w:spacing w:before="0" w:after="0"/>
        <w:ind w:left="1134" w:hanging="284"/>
        <w:contextualSpacing w:val="0"/>
      </w:pPr>
      <w:r>
        <w:t>EnviPORTAL (PO, PP, PÚ);</w:t>
      </w:r>
    </w:p>
    <w:p w14:paraId="3FD6AA4D" w14:textId="77777777" w:rsidR="004625CF" w:rsidRDefault="007239F7">
      <w:pPr>
        <w:pStyle w:val="Odstavecseseznamem"/>
        <w:numPr>
          <w:ilvl w:val="1"/>
          <w:numId w:val="17"/>
        </w:numPr>
        <w:spacing w:before="0" w:after="0"/>
        <w:ind w:left="1134" w:hanging="284"/>
        <w:contextualSpacing w:val="0"/>
      </w:pPr>
      <w:r>
        <w:t>EnviESB;</w:t>
      </w:r>
    </w:p>
    <w:p w14:paraId="295026DD" w14:textId="77777777" w:rsidR="004625CF" w:rsidRDefault="007239F7">
      <w:pPr>
        <w:pStyle w:val="Odstavecseseznamem"/>
        <w:numPr>
          <w:ilvl w:val="1"/>
          <w:numId w:val="17"/>
        </w:numPr>
        <w:spacing w:before="0" w:after="0"/>
        <w:ind w:left="1134" w:hanging="284"/>
        <w:contextualSpacing w:val="0"/>
      </w:pPr>
      <w:r>
        <w:t>EnviBPM;</w:t>
      </w:r>
    </w:p>
    <w:p w14:paraId="02EFAC6E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5" w:hanging="284"/>
        <w:contextualSpacing w:val="0"/>
      </w:pPr>
      <w:r>
        <w:t>EnviDMS;</w:t>
      </w:r>
    </w:p>
    <w:p w14:paraId="3FB697A8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Tvorba Technického návrhu řešení dle požadavků Zadavatele a detailní analýzy – zejména</w:t>
      </w:r>
      <w:bookmarkEnd w:id="1"/>
      <w:r>
        <w:t>:</w:t>
      </w:r>
    </w:p>
    <w:p w14:paraId="5AE4DB81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 xml:space="preserve">integrace s API rozhraním – ESSS (DS/ISDS), </w:t>
      </w:r>
      <w:proofErr w:type="spellStart"/>
      <w:r>
        <w:t>eGSB</w:t>
      </w:r>
      <w:proofErr w:type="spellEnd"/>
      <w:r>
        <w:t>, ZR/ISZR; PVS (PO, PP, PÚ);</w:t>
      </w:r>
    </w:p>
    <w:p w14:paraId="18C5BBAF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5" w:hanging="284"/>
        <w:contextualSpacing w:val="0"/>
      </w:pPr>
      <w:r>
        <w:t xml:space="preserve">integrace s rozhraním AIS/ISVS – CRŽP, ISPOP2 a </w:t>
      </w:r>
      <w:proofErr w:type="spellStart"/>
      <w:r>
        <w:t>EnviIAM</w:t>
      </w:r>
      <w:proofErr w:type="spellEnd"/>
      <w:r>
        <w:t xml:space="preserve"> (</w:t>
      </w:r>
      <w:proofErr w:type="spellStart"/>
      <w:r>
        <w:t>IdP</w:t>
      </w:r>
      <w:proofErr w:type="spellEnd"/>
      <w:r>
        <w:t>);</w:t>
      </w:r>
    </w:p>
    <w:p w14:paraId="74BDD78D" w14:textId="77777777" w:rsidR="004625CF" w:rsidRPr="00420F51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 w:rsidRPr="00420F51">
        <w:t>Tvorba detailního návrhu nasazení UC a jejich prezentace (použití) na EnviPORTAL a PVS/PO:</w:t>
      </w:r>
    </w:p>
    <w:p w14:paraId="26A6A36E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bookmarkStart w:id="2" w:name="_Hlk87521216"/>
      <w:r>
        <w:t>Registrace Klienta a Subjektu (CRŽP);</w:t>
      </w:r>
    </w:p>
    <w:p w14:paraId="61D889F3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Registrace Plné moci (zmocnění, CRŽP);</w:t>
      </w:r>
    </w:p>
    <w:p w14:paraId="4B312B0F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Registrace Subjektu zmocněncem (CRŽP);</w:t>
      </w:r>
    </w:p>
    <w:p w14:paraId="384DBAFD" w14:textId="52576CA4" w:rsidR="004625CF" w:rsidRPr="00420F51" w:rsidRDefault="007239F7" w:rsidP="00C95536">
      <w:pPr>
        <w:pStyle w:val="Odstavecseseznamem"/>
        <w:numPr>
          <w:ilvl w:val="1"/>
          <w:numId w:val="17"/>
        </w:numPr>
        <w:spacing w:before="0"/>
        <w:ind w:left="1134" w:hanging="284"/>
      </w:pPr>
      <w:r w:rsidRPr="00420F51">
        <w:t>Získání osvědčení odborné způsobilosti (EVOS)</w:t>
      </w:r>
      <w:r w:rsidR="00C26551" w:rsidRPr="00420F51">
        <w:t xml:space="preserve"> – viz Příloha 1</w:t>
      </w:r>
      <w:r w:rsidRPr="00420F51">
        <w:t>;</w:t>
      </w:r>
      <w:bookmarkEnd w:id="2"/>
    </w:p>
    <w:p w14:paraId="190B3BE7" w14:textId="2AF97237" w:rsidR="004625CF" w:rsidRPr="00C95536" w:rsidRDefault="007239F7">
      <w:pPr>
        <w:pStyle w:val="Odstavecseseznamem"/>
        <w:numPr>
          <w:ilvl w:val="1"/>
          <w:numId w:val="17"/>
        </w:numPr>
        <w:spacing w:before="0"/>
        <w:ind w:left="1135" w:hanging="284"/>
        <w:contextualSpacing w:val="0"/>
      </w:pPr>
      <w:r w:rsidRPr="00C95536">
        <w:t>Povolovací řízení</w:t>
      </w:r>
      <w:r w:rsidR="00B8102D" w:rsidRPr="00C95536">
        <w:t xml:space="preserve"> (</w:t>
      </w:r>
      <w:proofErr w:type="spellStart"/>
      <w:r w:rsidR="00B8102D" w:rsidRPr="00C95536">
        <w:t>PoŘ</w:t>
      </w:r>
      <w:proofErr w:type="spellEnd"/>
      <w:r w:rsidR="00B8102D" w:rsidRPr="00C95536">
        <w:t xml:space="preserve">) </w:t>
      </w:r>
      <w:r w:rsidR="00C26551" w:rsidRPr="00C95536">
        <w:t>– viz Příloha 2</w:t>
      </w:r>
      <w:r w:rsidR="00B8102D" w:rsidRPr="00C95536">
        <w:t>;</w:t>
      </w:r>
    </w:p>
    <w:p w14:paraId="7B64EC57" w14:textId="77777777" w:rsidR="004625CF" w:rsidRDefault="007239F7">
      <w:pPr>
        <w:spacing w:before="120"/>
        <w:rPr>
          <w:b/>
          <w:bCs/>
        </w:rPr>
      </w:pPr>
      <w:r>
        <w:rPr>
          <w:b/>
          <w:bCs/>
        </w:rPr>
        <w:t>Etapa II. – Implementace prototypu řešení (PoC, testovací prostředí)</w:t>
      </w:r>
    </w:p>
    <w:p w14:paraId="2CA58F0B" w14:textId="65145E31" w:rsidR="00F813A7" w:rsidRDefault="00F813A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 xml:space="preserve">Vytvoření a konfigurace </w:t>
      </w:r>
      <w:r w:rsidR="005631F4">
        <w:t>infrastruktury – cloudové služby</w:t>
      </w:r>
      <w:r>
        <w:t xml:space="preserve"> </w:t>
      </w:r>
      <w:r w:rsidR="00420F51">
        <w:t xml:space="preserve">(dle potřeby řešení: </w:t>
      </w:r>
      <w:proofErr w:type="spellStart"/>
      <w:r w:rsidR="005631F4">
        <w:t>IaaS</w:t>
      </w:r>
      <w:proofErr w:type="spellEnd"/>
      <w:r w:rsidR="005631F4">
        <w:t xml:space="preserve">, </w:t>
      </w:r>
      <w:proofErr w:type="spellStart"/>
      <w:r w:rsidR="005631F4">
        <w:t>PaaS</w:t>
      </w:r>
      <w:proofErr w:type="spellEnd"/>
      <w:r w:rsidR="005631F4">
        <w:t xml:space="preserve"> a </w:t>
      </w:r>
      <w:proofErr w:type="spellStart"/>
      <w:r w:rsidR="005631F4">
        <w:t>SaaS</w:t>
      </w:r>
      <w:proofErr w:type="spellEnd"/>
      <w:r w:rsidR="00420F51">
        <w:t>)</w:t>
      </w:r>
      <w:r>
        <w:t>;</w:t>
      </w:r>
    </w:p>
    <w:p w14:paraId="69CBD265" w14:textId="19033F71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Nasazení EnviESB;</w:t>
      </w:r>
    </w:p>
    <w:p w14:paraId="4B535238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Nasazení EnviBPM;</w:t>
      </w:r>
    </w:p>
    <w:p w14:paraId="56860CE7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Tvorba a nasazení EnviPORTAL – PO/PP a PÚ;</w:t>
      </w:r>
    </w:p>
    <w:p w14:paraId="6FA9DC99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Nasazení EnviDMS;</w:t>
      </w:r>
    </w:p>
    <w:p w14:paraId="6280BBE3" w14:textId="77777777" w:rsidR="004625CF" w:rsidRPr="00420F51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 w:rsidRPr="00420F51">
        <w:t>Tvorba a nasazení EVOS (Evidence osvědčení) a Povolovacího řízení;</w:t>
      </w:r>
    </w:p>
    <w:p w14:paraId="7FB4D94A" w14:textId="7DFC6855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Integrace jednotlivých modulů (EnviESB/BPM/PORTAL/DMS, CRŽP</w:t>
      </w:r>
      <w:r w:rsidR="00C95536">
        <w:t xml:space="preserve">, </w:t>
      </w:r>
      <w:r>
        <w:t xml:space="preserve">ISPOP2, </w:t>
      </w:r>
      <w:r w:rsidRPr="00420F51">
        <w:t>EVOS</w:t>
      </w:r>
      <w:r w:rsidR="00B8102D">
        <w:t xml:space="preserve"> a </w:t>
      </w:r>
      <w:proofErr w:type="spellStart"/>
      <w:r w:rsidR="00B8102D" w:rsidRPr="00C95536">
        <w:t>PoŘ</w:t>
      </w:r>
      <w:proofErr w:type="spellEnd"/>
      <w:r>
        <w:t>) dle Etapy I.;</w:t>
      </w:r>
    </w:p>
    <w:p w14:paraId="5800E651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Testování;</w:t>
      </w:r>
    </w:p>
    <w:p w14:paraId="359083C6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contextualSpacing w:val="0"/>
      </w:pPr>
      <w:r>
        <w:t>Dodání potřebných SW (SW licencí);</w:t>
      </w:r>
    </w:p>
    <w:p w14:paraId="041C0E50" w14:textId="77777777" w:rsidR="004625CF" w:rsidRDefault="007239F7">
      <w:pPr>
        <w:spacing w:before="120"/>
      </w:pPr>
      <w:r>
        <w:rPr>
          <w:b/>
          <w:bCs/>
        </w:rPr>
        <w:t>Etapa</w:t>
      </w:r>
      <w:r>
        <w:rPr>
          <w:b/>
        </w:rPr>
        <w:t xml:space="preserve"> III. – Implementace řešení (</w:t>
      </w:r>
      <w:proofErr w:type="spellStart"/>
      <w:r>
        <w:rPr>
          <w:b/>
        </w:rPr>
        <w:t>DoS</w:t>
      </w:r>
      <w:proofErr w:type="spellEnd"/>
      <w:r>
        <w:rPr>
          <w:b/>
        </w:rPr>
        <w:t>, provozní prostředí)</w:t>
      </w:r>
    </w:p>
    <w:p w14:paraId="435DBC33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Vyhodnocení Etapy II. a návrh potřebných změn pro nasazení řešení do provozu;</w:t>
      </w:r>
    </w:p>
    <w:p w14:paraId="7E09BFA6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Nasazení – EnviESB/BPM/PORTAL/DMS (konfigurace, parametrizace, přizpůsobení atd.);</w:t>
      </w:r>
    </w:p>
    <w:p w14:paraId="570A3C50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Integrace jednotlivých komponent dle vyhodnocení Etapy II.;</w:t>
      </w:r>
    </w:p>
    <w:p w14:paraId="3EB8B064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Testování (unit a integrační, funkční, výkonové a bezpečnostní);</w:t>
      </w:r>
    </w:p>
    <w:p w14:paraId="4E53B250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Dokumentace (finální stav);</w:t>
      </w:r>
    </w:p>
    <w:p w14:paraId="7BEC7390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Školení;</w:t>
      </w:r>
    </w:p>
    <w:p w14:paraId="391A469C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contextualSpacing w:val="0"/>
      </w:pPr>
      <w:r>
        <w:t>Akceptace a zahájení produkčního provozu;</w:t>
      </w:r>
    </w:p>
    <w:p w14:paraId="4013ACB5" w14:textId="77777777" w:rsidR="004625CF" w:rsidRDefault="007239F7">
      <w:pPr>
        <w:spacing w:before="120"/>
        <w:rPr>
          <w:b/>
          <w:bCs/>
        </w:rPr>
      </w:pPr>
      <w:r>
        <w:rPr>
          <w:b/>
          <w:bCs/>
        </w:rPr>
        <w:t>Etapa IV. - Zajištění podpory a rozvoje řešení</w:t>
      </w:r>
    </w:p>
    <w:p w14:paraId="4DD57405" w14:textId="77777777" w:rsidR="004625CF" w:rsidRDefault="007239F7">
      <w:pPr>
        <w:numPr>
          <w:ilvl w:val="0"/>
          <w:numId w:val="22"/>
        </w:numPr>
        <w:spacing w:before="120"/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>Podpora</w:t>
      </w:r>
    </w:p>
    <w:p w14:paraId="10D0BC9C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služby provozní a servisní podpory na základě definované SLA;</w:t>
      </w:r>
    </w:p>
    <w:p w14:paraId="32E06984" w14:textId="77777777" w:rsidR="004625CF" w:rsidRDefault="007239F7">
      <w:pPr>
        <w:pStyle w:val="Odstavecseseznamem"/>
        <w:numPr>
          <w:ilvl w:val="0"/>
          <w:numId w:val="21"/>
        </w:numPr>
        <w:ind w:left="568" w:hanging="284"/>
        <w:contextualSpacing w:val="0"/>
      </w:pPr>
      <w:r>
        <w:lastRenderedPageBreak/>
        <w:t>volitelně Přesun řešení a realizace Exit plánu (ukončení služeb zajišťujících provoz);</w:t>
      </w:r>
    </w:p>
    <w:p w14:paraId="663CB34F" w14:textId="77777777" w:rsidR="004625CF" w:rsidRDefault="007239F7">
      <w:pPr>
        <w:keepNext/>
        <w:numPr>
          <w:ilvl w:val="0"/>
          <w:numId w:val="22"/>
        </w:numPr>
        <w:spacing w:before="120"/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>Rozvoj</w:t>
      </w:r>
    </w:p>
    <w:p w14:paraId="41B7CD0B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 xml:space="preserve">rozvoj (analýzy/návrhy, tvorba, integrace, konzultace/školení apod.) na základě definovaných požadavků s plánovaným rozvojem AIS/ISVS MŽP/RO a </w:t>
      </w:r>
      <w:proofErr w:type="spellStart"/>
      <w:r>
        <w:t>eGov</w:t>
      </w:r>
      <w:proofErr w:type="spellEnd"/>
      <w:r>
        <w:t xml:space="preserve"> ČR;</w:t>
      </w:r>
    </w:p>
    <w:p w14:paraId="4341F5B0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contextualSpacing w:val="0"/>
      </w:pPr>
      <w:r>
        <w:t xml:space="preserve">zadavatelem stanovený počet </w:t>
      </w:r>
      <w:r>
        <w:rPr>
          <w:b/>
          <w:bCs/>
        </w:rPr>
        <w:t>MD/rok bude 300</w:t>
      </w:r>
      <w:r>
        <w:t xml:space="preserve"> (nenároková položka).</w:t>
      </w:r>
    </w:p>
    <w:p w14:paraId="547B40D8" w14:textId="44F54F6B" w:rsidR="004625CF" w:rsidRDefault="007239F7">
      <w:pPr>
        <w:pStyle w:val="Nadpis1"/>
      </w:pPr>
      <w:r>
        <w:t xml:space="preserve">Požadavky na budoucí (cílový) stav </w:t>
      </w:r>
      <w:proofErr w:type="spellStart"/>
      <w:r>
        <w:t>EnviÚEP</w:t>
      </w:r>
      <w:proofErr w:type="spellEnd"/>
    </w:p>
    <w:p w14:paraId="17738B7E" w14:textId="28124F08" w:rsidR="004625CF" w:rsidRDefault="007239F7">
      <w:pPr>
        <w:contextualSpacing/>
        <w:rPr>
          <w:color w:val="000000"/>
        </w:rPr>
      </w:pPr>
      <w:r>
        <w:rPr>
          <w:color w:val="000000"/>
        </w:rPr>
        <w:t xml:space="preserve">Projekt </w:t>
      </w:r>
      <w:r>
        <w:rPr>
          <w:color w:val="000000" w:themeColor="text1"/>
        </w:rPr>
        <w:t>přispěje</w:t>
      </w:r>
      <w:r>
        <w:rPr>
          <w:color w:val="000000"/>
        </w:rPr>
        <w:t xml:space="preserve"> k naplnění digitální transformace</w:t>
      </w:r>
      <w:r w:rsidR="004B5AF7">
        <w:rPr>
          <w:color w:val="000000"/>
        </w:rPr>
        <w:t xml:space="preserve"> IS rezortu ŽP</w:t>
      </w:r>
      <w:r>
        <w:rPr>
          <w:color w:val="000000"/>
        </w:rPr>
        <w:t>, která je součástí Infomační koncepce MŽP (IK MŽP), jež navazuje na Informační koncepci ČR (IKČR), a naplní požadavky úplného elektronického</w:t>
      </w:r>
      <w:r w:rsidR="004B5AF7">
        <w:rPr>
          <w:color w:val="000000"/>
        </w:rPr>
        <w:t xml:space="preserve"> </w:t>
      </w:r>
      <w:r>
        <w:rPr>
          <w:color w:val="000000"/>
        </w:rPr>
        <w:t>podání</w:t>
      </w:r>
      <w:r w:rsidR="004B5AF7">
        <w:rPr>
          <w:color w:val="000000"/>
        </w:rPr>
        <w:t xml:space="preserve"> </w:t>
      </w:r>
      <w:r>
        <w:rPr>
          <w:color w:val="000000"/>
        </w:rPr>
        <w:t>a úplného elektronického vyřízení (dále jen EnviÚEP). Projekt pomůže naplnit nebo přímo naplní základní principy IKČR</w:t>
      </w:r>
      <w:r>
        <w:rPr>
          <w:rStyle w:val="Znakapoznpodarou"/>
          <w:color w:val="000000"/>
        </w:rPr>
        <w:footnoteReference w:id="4"/>
      </w:r>
      <w:r>
        <w:rPr>
          <w:color w:val="000000"/>
        </w:rPr>
        <w:t>/IK MŽP:</w:t>
      </w:r>
    </w:p>
    <w:p w14:paraId="13AB39EA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Standardně digitalizované (Digital by default)</w:t>
      </w:r>
      <w:r>
        <w:rPr>
          <w:lang w:val="en-US"/>
        </w:rPr>
        <w:t>;</w:t>
      </w:r>
    </w:p>
    <w:p w14:paraId="2AD9810E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Zásada „pouze jednou“ (</w:t>
      </w:r>
      <w:proofErr w:type="spellStart"/>
      <w:r>
        <w:t>Once</w:t>
      </w:r>
      <w:proofErr w:type="spellEnd"/>
      <w:r>
        <w:t xml:space="preserve"> </w:t>
      </w:r>
      <w:proofErr w:type="spellStart"/>
      <w:r>
        <w:t>only</w:t>
      </w:r>
      <w:proofErr w:type="spellEnd"/>
      <w:r>
        <w:t>)</w:t>
      </w:r>
      <w:r>
        <w:rPr>
          <w:lang w:val="en-US"/>
        </w:rPr>
        <w:t>;</w:t>
      </w:r>
    </w:p>
    <w:p w14:paraId="7538AEA7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Podpora začlenění a přístupnost (</w:t>
      </w:r>
      <w:proofErr w:type="spellStart"/>
      <w:r>
        <w:t>Inclusiveness</w:t>
      </w:r>
      <w:proofErr w:type="spellEnd"/>
      <w:r>
        <w:t xml:space="preserve"> and </w:t>
      </w:r>
      <w:proofErr w:type="spellStart"/>
      <w:r>
        <w:t>Accessibility</w:t>
      </w:r>
      <w:proofErr w:type="spellEnd"/>
      <w:r>
        <w:t>)</w:t>
      </w:r>
      <w:r>
        <w:rPr>
          <w:lang w:val="en-US"/>
        </w:rPr>
        <w:t>;</w:t>
      </w:r>
    </w:p>
    <w:p w14:paraId="1A914231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Sdílené služby veřejné správy (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)</w:t>
      </w:r>
      <w:r>
        <w:rPr>
          <w:lang w:val="en-US"/>
        </w:rPr>
        <w:t>;</w:t>
      </w:r>
    </w:p>
    <w:p w14:paraId="51A51FA7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Vnitřně pouze digitální (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>)</w:t>
      </w:r>
      <w:r>
        <w:rPr>
          <w:lang w:val="en-US"/>
        </w:rPr>
        <w:t>;</w:t>
      </w:r>
    </w:p>
    <w:p w14:paraId="46BC18F1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rPr>
          <w:color w:val="000000"/>
        </w:rPr>
      </w:pPr>
      <w:r>
        <w:rPr>
          <w:color w:val="000000"/>
        </w:rPr>
        <w:t>Uživatelská přívětivost (User-</w:t>
      </w:r>
      <w:proofErr w:type="spellStart"/>
      <w:r>
        <w:rPr>
          <w:color w:val="000000"/>
        </w:rPr>
        <w:t>friendliness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accessibility</w:t>
      </w:r>
      <w:proofErr w:type="spellEnd"/>
      <w:r>
        <w:rPr>
          <w:color w:val="000000"/>
        </w:rPr>
        <w:t>)</w:t>
      </w:r>
      <w:r>
        <w:rPr>
          <w:lang w:val="en-US"/>
        </w:rPr>
        <w:t>;</w:t>
      </w:r>
    </w:p>
    <w:p w14:paraId="3915B622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rPr>
          <w:color w:val="000000"/>
        </w:rPr>
      </w:pPr>
      <w:r>
        <w:t xml:space="preserve">Konsolidace a propojování ISVS (IT </w:t>
      </w:r>
      <w:proofErr w:type="spellStart"/>
      <w:r>
        <w:t>Consolidation</w:t>
      </w:r>
      <w:proofErr w:type="spellEnd"/>
      <w:r>
        <w:t>)</w:t>
      </w:r>
      <w:r>
        <w:rPr>
          <w:lang w:val="en-US"/>
        </w:rPr>
        <w:t>;</w:t>
      </w:r>
    </w:p>
    <w:p w14:paraId="10F9155D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  <w:rPr>
          <w:color w:val="000000"/>
        </w:rPr>
      </w:pPr>
      <w:r>
        <w:t>Omezení budování monolitických systémů (</w:t>
      </w:r>
      <w:proofErr w:type="spellStart"/>
      <w: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decomposition</w:t>
      </w:r>
      <w:proofErr w:type="spellEnd"/>
      <w:r>
        <w:rPr>
          <w:color w:val="000000"/>
        </w:rPr>
        <w:t>)</w:t>
      </w:r>
      <w:r>
        <w:rPr>
          <w:lang w:val="en-US"/>
        </w:rPr>
        <w:t>;</w:t>
      </w:r>
    </w:p>
    <w:p w14:paraId="3EB5508D" w14:textId="365C15F8" w:rsidR="004625CF" w:rsidRDefault="007239F7">
      <w:pPr>
        <w:rPr>
          <w:color w:val="000000"/>
        </w:rPr>
      </w:pPr>
      <w:r>
        <w:rPr>
          <w:color w:val="000000"/>
        </w:rPr>
        <w:t xml:space="preserve">Tyto </w:t>
      </w:r>
      <w:r>
        <w:rPr>
          <w:color w:val="000000" w:themeColor="text1"/>
        </w:rPr>
        <w:t>principy</w:t>
      </w:r>
      <w:r>
        <w:rPr>
          <w:color w:val="000000"/>
        </w:rPr>
        <w:t xml:space="preserve"> budou realizovány pomocí implementace datové sběrnice (EnviESB), procesní orchestrační platformy (EnviBPM), formulářového serveru a samoobslužného portálu (ITSP neboli EnviPORTAL) jakožto rozhraní pro obsluhu Klienta VS (subjektu práva), ale i rozhraní pro obsluhu interních klientů (úředníků ministerstva) a řešení pro správu dokumentů EnviDMS. Součástí bude </w:t>
      </w:r>
      <w:r>
        <w:rPr>
          <w:color w:val="000000"/>
        </w:rPr>
        <w:br/>
        <w:t>i federace s Portálem veřejné správy (PVS/PO/PP a PÚ) tak, aby se stal(</w:t>
      </w:r>
      <w:r w:rsidR="00A07033">
        <w:rPr>
          <w:color w:val="000000"/>
        </w:rPr>
        <w:t>y</w:t>
      </w:r>
      <w:r>
        <w:rPr>
          <w:color w:val="000000"/>
        </w:rPr>
        <w:t>) jeho nedílnou součástí. Projekt EnviÚEP vytvoří a zavede příslušné rezortní standardy (technický standard datových výměn, standardy formulářové, standard webových služeb, jejich integrace apod.), a zároveň budou na tento projekt průběžně uplatňovány standardy vznikající v rámci ostatních běžících projektů v rámci MŽP (ITIL, architektura, bezpečnostní standardy atd.). Postupně tak vznikne základ pro podporu tvorby nových standardních služeb, a jedna ze základních komponent páteřní platformy pro úplné elektronické podání a vyřízení – procesování a řízení správních a agendových informačních systémů.</w:t>
      </w:r>
    </w:p>
    <w:p w14:paraId="4CDFFACD" w14:textId="516F4C31" w:rsidR="004625CF" w:rsidRDefault="007239F7">
      <w:pPr>
        <w:rPr>
          <w:color w:val="000000"/>
        </w:rPr>
      </w:pPr>
      <w:r>
        <w:rPr>
          <w:color w:val="000000"/>
        </w:rPr>
        <w:t xml:space="preserve">Projekt EnviÚEP vytvoří klientsky </w:t>
      </w:r>
      <w:r>
        <w:rPr>
          <w:color w:val="000000" w:themeColor="text1"/>
        </w:rPr>
        <w:t>transparentní</w:t>
      </w:r>
      <w:r>
        <w:rPr>
          <w:color w:val="000000"/>
        </w:rPr>
        <w:t>, jednotné prostředí, ve kterém jakákoli agenda, ke které bude mít přístup Klient VS z důvodu plnění povinnosti nebo pro účely komunikace požadavků na MŽP, bude moci využívat jako Front-End interaktivní a transakční samoobslužný portál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EnviPORTAL, ke kterému bude Klient VS přistupovat buď přímo nebo pomocí služeb PVS – PO a za pomoci prostředku </w:t>
      </w:r>
      <w:proofErr w:type="spellStart"/>
      <w:r>
        <w:rPr>
          <w:color w:val="000000"/>
        </w:rPr>
        <w:t>eOP</w:t>
      </w:r>
      <w:proofErr w:type="spellEnd"/>
      <w:r>
        <w:rPr>
          <w:color w:val="000000"/>
        </w:rPr>
        <w:t>/NIA nebo jiného prostředku se stejnou úrovní záruky pro elektronickou identifikaci a autorizaci. Klient VS zde bude moci (bez zatížení složitosti technického prostředí) v jednotném webovém prostředí realizovat svá podání, komunikovat s MŽP/RO v rámci jeho agend, provádět samoobslužné úkony typu nahlížení na stav svého podání (jeho vyřízení), či nahlížet do spisu daného případu a např. kontrolovat, kdo je dalším účastníkem řízení. Z jednotného prostředí bude možné, pomocí interaktivních on-line služeb, zažádat a získat potvrzení, které jakákoli organizace MŽP nabízí. Uvažovanými formami realizace výpisů je jejich zaslání a přijetí do datové schránky Klienta VS nebo přímého zobrazení na obrazovku Klienta a možného uložení výpisu, opatřeného elektronickou pečetí úřadu, na Klientem vybrané paměťové médium. Portál je uvažován jako veřejně přístupný z webových prohlížečů (</w:t>
      </w:r>
      <w:proofErr w:type="spellStart"/>
      <w:r>
        <w:rPr>
          <w:color w:val="000000"/>
        </w:rPr>
        <w:t>Edge</w:t>
      </w:r>
      <w:proofErr w:type="spellEnd"/>
      <w:r>
        <w:rPr>
          <w:color w:val="000000"/>
        </w:rPr>
        <w:t xml:space="preserve">, Chrome, </w:t>
      </w:r>
      <w:proofErr w:type="spellStart"/>
      <w:r>
        <w:rPr>
          <w:color w:val="000000"/>
        </w:rPr>
        <w:t>Firefox</w:t>
      </w:r>
      <w:proofErr w:type="spellEnd"/>
      <w:r>
        <w:rPr>
          <w:color w:val="000000"/>
        </w:rPr>
        <w:t xml:space="preserve">, …) včetně přístupu z mobilních zařízení (plně responzivní) tak, aby Klient mohl v tomto </w:t>
      </w:r>
      <w:r>
        <w:rPr>
          <w:color w:val="000000"/>
        </w:rPr>
        <w:lastRenderedPageBreak/>
        <w:t xml:space="preserve">mobilním prostředí využít stejné služby a provést stejné úkony jako ve webovém prohlížeči. Jako standardní formát výstupu podání z formulářů je požadován formát </w:t>
      </w:r>
      <w:proofErr w:type="spellStart"/>
      <w:r>
        <w:rPr>
          <w:b/>
          <w:bCs/>
          <w:color w:val="000000"/>
        </w:rPr>
        <w:t>XForms</w:t>
      </w:r>
      <w:proofErr w:type="spellEnd"/>
      <w:r>
        <w:rPr>
          <w:b/>
          <w:bCs/>
          <w:color w:val="000000"/>
        </w:rPr>
        <w:t xml:space="preserve"> 2.0</w:t>
      </w:r>
      <w:r>
        <w:rPr>
          <w:rStyle w:val="Znakapoznpodarou"/>
          <w:color w:val="000000"/>
        </w:rPr>
        <w:footnoteReference w:id="5"/>
      </w:r>
      <w:r>
        <w:rPr>
          <w:color w:val="000000"/>
        </w:rPr>
        <w:t>.</w:t>
      </w:r>
    </w:p>
    <w:p w14:paraId="31284A2A" w14:textId="3ED8ACF0" w:rsidR="004625CF" w:rsidRDefault="007239F7">
      <w:pPr>
        <w:rPr>
          <w:color w:val="000000"/>
        </w:rPr>
      </w:pPr>
      <w:r>
        <w:rPr>
          <w:color w:val="000000"/>
        </w:rPr>
        <w:t xml:space="preserve">Projektem dodání EnviÚEP bude vytvořen základ pro možnost dalšího jednoduchého budování nových a sdílení stávajících on-line služeb v souladu s architektonickými a bezpečnostními principy, </w:t>
      </w:r>
      <w:r>
        <w:rPr>
          <w:color w:val="000000"/>
        </w:rPr>
        <w:br/>
        <w:t>a obecnými i rezortními standardy tak, aby byly (s ohledem na hospodárnost, účinnost a dlouhodobou udržitelnost) vytvářeny se vzájemnou logickou a datovou integrací.</w:t>
      </w:r>
    </w:p>
    <w:p w14:paraId="71B1F6E9" w14:textId="196F4769" w:rsidR="004625CF" w:rsidRDefault="00C968D7">
      <w:pPr>
        <w:rPr>
          <w:color w:val="000000"/>
        </w:rPr>
      </w:pPr>
      <w:r>
        <w:rPr>
          <w:noProof/>
        </w:rPr>
        <w:drawing>
          <wp:anchor distT="0" distB="36195" distL="114300" distR="114300" simplePos="0" relativeHeight="251663360" behindDoc="0" locked="0" layoutInCell="1" allowOverlap="1" wp14:anchorId="4B4DB5C8" wp14:editId="20DC39CD">
            <wp:simplePos x="0" y="0"/>
            <wp:positionH relativeFrom="margin">
              <wp:align>center</wp:align>
            </wp:positionH>
            <wp:positionV relativeFrom="paragraph">
              <wp:posOffset>400929</wp:posOffset>
            </wp:positionV>
            <wp:extent cx="5760000" cy="37980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7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F7">
        <w:rPr>
          <w:color w:val="000000"/>
        </w:rPr>
        <w:t>Níže je uvedené základní logické schéma (aplikační architektura) řešení EnviÚEP.</w:t>
      </w:r>
    </w:p>
    <w:p w14:paraId="535A37B0" w14:textId="2074044C" w:rsidR="004625CF" w:rsidRDefault="007239F7" w:rsidP="00C968D7">
      <w:pPr>
        <w:pStyle w:val="Nadpis1"/>
      </w:pPr>
      <w:r>
        <w:t>Požadavky na podporu a rozvoje řešení</w:t>
      </w:r>
    </w:p>
    <w:p w14:paraId="47173C45" w14:textId="762C0373" w:rsidR="004625CF" w:rsidRDefault="007239F7">
      <w:r>
        <w:t xml:space="preserve">Dodavatel zajistí </w:t>
      </w:r>
      <w:r>
        <w:rPr>
          <w:color w:val="000000"/>
        </w:rPr>
        <w:t>podporu</w:t>
      </w:r>
      <w:r>
        <w:t xml:space="preserve"> řešení EnviÚEP zahrnujícího všechna běhová prostředí</w:t>
      </w:r>
      <w:r w:rsidR="005631F4">
        <w:t>, v</w:t>
      </w:r>
      <w:r w:rsidR="004B5AF7">
        <w:t xml:space="preserve">četně </w:t>
      </w:r>
      <w:r w:rsidR="004E4C2E">
        <w:t xml:space="preserve">potřebných </w:t>
      </w:r>
      <w:proofErr w:type="spellStart"/>
      <w:r w:rsidR="005631F4">
        <w:t>cloudových</w:t>
      </w:r>
      <w:proofErr w:type="spellEnd"/>
      <w:r w:rsidR="002C14D6">
        <w:t xml:space="preserve"> služeb </w:t>
      </w:r>
      <w:r w:rsidR="005631F4">
        <w:t>(</w:t>
      </w:r>
      <w:proofErr w:type="spellStart"/>
      <w:r w:rsidR="005631F4">
        <w:t>IaaS</w:t>
      </w:r>
      <w:proofErr w:type="spellEnd"/>
      <w:r w:rsidR="005631F4">
        <w:t xml:space="preserve">, </w:t>
      </w:r>
      <w:proofErr w:type="spellStart"/>
      <w:r w:rsidR="005631F4">
        <w:t>PaaS</w:t>
      </w:r>
      <w:proofErr w:type="spellEnd"/>
      <w:r w:rsidR="005631F4">
        <w:t xml:space="preserve">, </w:t>
      </w:r>
      <w:proofErr w:type="spellStart"/>
      <w:r w:rsidR="005631F4">
        <w:t>SaaS</w:t>
      </w:r>
      <w:proofErr w:type="spellEnd"/>
      <w:r w:rsidR="005631F4">
        <w:t xml:space="preserve">) </w:t>
      </w:r>
      <w:r w:rsidR="002C14D6">
        <w:t xml:space="preserve">na úrovni HA a v souladu s požadavky kladenými MVČR na poskytovatele komerčních </w:t>
      </w:r>
      <w:r w:rsidR="005631F4">
        <w:t>c</w:t>
      </w:r>
      <w:r w:rsidR="002C14D6">
        <w:t>loud</w:t>
      </w:r>
      <w:r w:rsidR="005631F4">
        <w:t>ových služeb</w:t>
      </w:r>
      <w:r w:rsidR="004E4C2E">
        <w:t xml:space="preserve"> (včetně přímých linek na CMS2/KIVS)</w:t>
      </w:r>
      <w:r w:rsidR="005631F4">
        <w:t xml:space="preserve">, </w:t>
      </w:r>
      <w:r w:rsidR="004E4C2E">
        <w:t xml:space="preserve">a to </w:t>
      </w:r>
      <w:r>
        <w:t>na dobu neurčitou minimálně však na období 8 let od okamžiku předání řešení EnviÚEP do provozu, dle požadavků a parametrů uvedených ve smlouvě.</w:t>
      </w:r>
    </w:p>
    <w:p w14:paraId="616FFB08" w14:textId="77777777" w:rsidR="004625CF" w:rsidRDefault="007239F7">
      <w:r>
        <w:rPr>
          <w:color w:val="000000"/>
        </w:rPr>
        <w:t>Dodávaná</w:t>
      </w:r>
      <w:r>
        <w:t xml:space="preserve"> úroveň podpory výrobce (tzv. SW Maintenance) pro řešení EnviÚEP je plně v kompetenci Dodavatele a musí odpovídat požadavkům na podporu (provozní služby) definované ve smlouvě </w:t>
      </w:r>
      <w:r>
        <w:br/>
        <w:t>a jejích přílohách.</w:t>
      </w:r>
    </w:p>
    <w:p w14:paraId="1FFE4530" w14:textId="1BBCC731" w:rsidR="004625CF" w:rsidRDefault="007239F7">
      <w:pPr>
        <w:contextualSpacing/>
      </w:pPr>
      <w:r>
        <w:rPr>
          <w:color w:val="000000"/>
        </w:rPr>
        <w:t>Podpora</w:t>
      </w:r>
      <w:r>
        <w:t xml:space="preserve"> dle smlouvy musí zahrnovat</w:t>
      </w:r>
      <w:r w:rsidR="004E4C2E">
        <w:t xml:space="preserve"> zejména</w:t>
      </w:r>
      <w:r>
        <w:t>:</w:t>
      </w:r>
    </w:p>
    <w:p w14:paraId="0C77B8B3" w14:textId="617A326A" w:rsidR="004E4C2E" w:rsidRDefault="004E4C2E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Zajištění potřebných cloudových služeb;</w:t>
      </w:r>
    </w:p>
    <w:p w14:paraId="78B10FC3" w14:textId="145FACFA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 xml:space="preserve">Zajištění a zprostředkování podpory výrobce všech dodaných komerčních SW </w:t>
      </w:r>
      <w:r w:rsidR="004E4C2E">
        <w:t>(</w:t>
      </w:r>
      <w:r>
        <w:t xml:space="preserve">vč. </w:t>
      </w:r>
      <w:r w:rsidR="00D90A0B">
        <w:t xml:space="preserve">Open-Source </w:t>
      </w:r>
      <w:r>
        <w:t>SW</w:t>
      </w:r>
      <w:r w:rsidR="00D90A0B">
        <w:t>)</w:t>
      </w:r>
      <w:r>
        <w:t xml:space="preserve"> a jejich </w:t>
      </w:r>
      <w:r w:rsidR="00D90A0B">
        <w:t xml:space="preserve">SW </w:t>
      </w:r>
      <w:r>
        <w:t>Maintenance;</w:t>
      </w:r>
    </w:p>
    <w:p w14:paraId="3BB69710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Podporu Dodavatele implementovaného řešení EnviÚEP;</w:t>
      </w:r>
    </w:p>
    <w:p w14:paraId="66CE17F4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Údržbu zahrnující standardní profylaktické aktivity;</w:t>
      </w:r>
    </w:p>
    <w:p w14:paraId="0B79CF00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lastRenderedPageBreak/>
        <w:t>Aplikaci opravných balíčků (patchů) či realizaci upgrade v důsledku chyb řešení nebo nových verzí;</w:t>
      </w:r>
    </w:p>
    <w:p w14:paraId="5B06E0EE" w14:textId="7336B4E4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Monitoring a dohled řešení pro zajištění jeho kontinuity</w:t>
      </w:r>
      <w:r w:rsidR="00D90A0B">
        <w:t>.</w:t>
      </w:r>
    </w:p>
    <w:p w14:paraId="3BDDDCFB" w14:textId="06B185C2" w:rsidR="004625CF" w:rsidRDefault="007239F7">
      <w:r>
        <w:rPr>
          <w:color w:val="000000"/>
        </w:rPr>
        <w:t>Metodika</w:t>
      </w:r>
      <w:r>
        <w:t xml:space="preserve"> pro rozvoj řešení</w:t>
      </w:r>
      <w:r w:rsidR="002A4DC6">
        <w:t>,</w:t>
      </w:r>
      <w:r>
        <w:t xml:space="preserve"> včetně postupů testování</w:t>
      </w:r>
      <w:r w:rsidR="00AB4F2B">
        <w:t>, součinnosti 3. stran, technických standardů</w:t>
      </w:r>
      <w:r>
        <w:t xml:space="preserve"> </w:t>
      </w:r>
      <w:r w:rsidR="00AB4F2B">
        <w:t>a</w:t>
      </w:r>
      <w:r w:rsidR="00AB4F2B">
        <w:t> </w:t>
      </w:r>
      <w:r>
        <w:t xml:space="preserve">nasazení nových služeb, </w:t>
      </w:r>
      <w:r w:rsidR="002A4DC6">
        <w:t xml:space="preserve">a </w:t>
      </w:r>
      <w:r>
        <w:t>využití vývojového a testovacího prostředí</w:t>
      </w:r>
      <w:r w:rsidR="002A4DC6">
        <w:t>,</w:t>
      </w:r>
      <w:r>
        <w:t xml:space="preserve"> bude navržena Dodavatelem v rámci dodávky plnění dle </w:t>
      </w:r>
      <w:proofErr w:type="gramStart"/>
      <w:r>
        <w:t xml:space="preserve">požadavků </w:t>
      </w:r>
      <w:r w:rsidR="002A4DC6">
        <w:t xml:space="preserve">- </w:t>
      </w:r>
      <w:r>
        <w:t>viz</w:t>
      </w:r>
      <w:proofErr w:type="gramEnd"/>
      <w:r>
        <w:t xml:space="preserve"> kap. </w:t>
      </w:r>
      <w:r>
        <w:fldChar w:fldCharType="begin"/>
      </w:r>
      <w:r>
        <w:instrText xml:space="preserve"> REF _Ref23241129 \r \h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_Ref23241129 \h </w:instrText>
      </w:r>
      <w:r>
        <w:fldChar w:fldCharType="separate"/>
      </w:r>
      <w:r>
        <w:t>Rámcová specifikace plnění budoucí VZ</w:t>
      </w:r>
      <w:r>
        <w:fldChar w:fldCharType="end"/>
      </w:r>
      <w:r w:rsidR="00AB4F2B">
        <w:t xml:space="preserve"> (nejpozději do konce Etapy II)</w:t>
      </w:r>
      <w:r>
        <w:t>.</w:t>
      </w:r>
    </w:p>
    <w:p w14:paraId="49734CFE" w14:textId="77777777" w:rsidR="004625CF" w:rsidRDefault="007239F7">
      <w:pPr>
        <w:pStyle w:val="Nadpis2"/>
      </w:pPr>
      <w:bookmarkStart w:id="3" w:name="_Ref23241874"/>
      <w:r>
        <w:t>Podpora (</w:t>
      </w:r>
      <w:bookmarkEnd w:id="3"/>
      <w:r>
        <w:t>provozní služby)</w:t>
      </w:r>
    </w:p>
    <w:p w14:paraId="675D94DF" w14:textId="77777777" w:rsidR="004625CF" w:rsidRDefault="007239F7">
      <w:bookmarkStart w:id="4" w:name="_Ref23241935"/>
      <w:r>
        <w:rPr>
          <w:color w:val="000000"/>
        </w:rPr>
        <w:t>Zajištění</w:t>
      </w:r>
      <w:r>
        <w:t xml:space="preserve"> podpory – provozních služeb musí naplnit minimálně následující požadavky:</w:t>
      </w:r>
    </w:p>
    <w:p w14:paraId="0C251EBC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Dohled a monitoring provozu;</w:t>
      </w:r>
    </w:p>
    <w:p w14:paraId="0718BF1C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24 x 7,</w:t>
      </w:r>
    </w:p>
    <w:p w14:paraId="5B683A1C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řešení patche, aktualizací a updatů,</w:t>
      </w:r>
    </w:p>
    <w:p w14:paraId="488A3311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 xml:space="preserve">řešení profylaxe, </w:t>
      </w:r>
    </w:p>
    <w:p w14:paraId="78D5E66B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řešení bezpečnostních incidentů,</w:t>
      </w:r>
    </w:p>
    <w:p w14:paraId="40F58F82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5" w:hanging="284"/>
        <w:contextualSpacing w:val="0"/>
      </w:pPr>
      <w:r>
        <w:t>zpracování výkazů/reportů SA,</w:t>
      </w:r>
    </w:p>
    <w:p w14:paraId="278F32CA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ab/>
      </w:r>
      <w:r>
        <w:tab/>
        <w:t>24 x 7 – dostupnost online služby &gt;</w:t>
      </w:r>
      <w:proofErr w:type="gramStart"/>
      <w:r>
        <w:t>98,4</w:t>
      </w:r>
      <w:r>
        <w:rPr>
          <w:lang w:val="en-US"/>
        </w:rPr>
        <w:t>%</w:t>
      </w:r>
      <w:proofErr w:type="gramEnd"/>
      <w:r>
        <w:rPr>
          <w:lang w:val="en-US"/>
        </w:rPr>
        <w:t xml:space="preserve"> </w:t>
      </w:r>
      <w:r>
        <w:t>/ měsíc (v CS jazyce);</w:t>
      </w:r>
    </w:p>
    <w:p w14:paraId="3B9C2A94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Hot-Line</w:t>
      </w:r>
      <w:r>
        <w:tab/>
      </w:r>
      <w:r>
        <w:tab/>
      </w:r>
      <w:r>
        <w:tab/>
        <w:t xml:space="preserve">   8 x 5 – dostupnost služby &gt;</w:t>
      </w:r>
      <w:proofErr w:type="gramStart"/>
      <w:r>
        <w:t>97,5%</w:t>
      </w:r>
      <w:proofErr w:type="gramEnd"/>
      <w:r>
        <w:t xml:space="preserve"> / měsíc (v CS jazyce);</w:t>
      </w:r>
    </w:p>
    <w:p w14:paraId="711A3645" w14:textId="77777777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Incident Management (odstranění vad);</w:t>
      </w:r>
    </w:p>
    <w:p w14:paraId="15A0F259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Kategorie A:</w:t>
      </w:r>
      <w:r>
        <w:tab/>
        <w:t xml:space="preserve">response </w:t>
      </w:r>
      <w:proofErr w:type="spellStart"/>
      <w:r>
        <w:t>time</w:t>
      </w:r>
      <w:proofErr w:type="spellEnd"/>
      <w:r>
        <w:t xml:space="preserve"> 1 h / </w:t>
      </w:r>
      <w:proofErr w:type="spellStart"/>
      <w:r>
        <w:t>fixtime</w:t>
      </w:r>
      <w:proofErr w:type="spellEnd"/>
      <w:r>
        <w:t xml:space="preserve"> 4 h,</w:t>
      </w:r>
    </w:p>
    <w:p w14:paraId="5A7E0EC8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Kategorie B:</w:t>
      </w:r>
      <w:r>
        <w:tab/>
        <w:t xml:space="preserve">response </w:t>
      </w:r>
      <w:proofErr w:type="spellStart"/>
      <w:r>
        <w:t>time</w:t>
      </w:r>
      <w:proofErr w:type="spellEnd"/>
      <w:r>
        <w:t xml:space="preserve"> 2 h / </w:t>
      </w:r>
      <w:proofErr w:type="spellStart"/>
      <w:r>
        <w:t>fixtime</w:t>
      </w:r>
      <w:proofErr w:type="spellEnd"/>
      <w:r>
        <w:t xml:space="preserve"> 8 h,</w:t>
      </w:r>
    </w:p>
    <w:p w14:paraId="3109EF51" w14:textId="77777777" w:rsidR="004625CF" w:rsidRDefault="007239F7">
      <w:pPr>
        <w:pStyle w:val="Odstavecseseznamem"/>
        <w:numPr>
          <w:ilvl w:val="1"/>
          <w:numId w:val="17"/>
        </w:numPr>
        <w:spacing w:before="0"/>
        <w:ind w:left="1135" w:hanging="284"/>
        <w:contextualSpacing w:val="0"/>
      </w:pPr>
      <w:r>
        <w:t>Kategorie C:</w:t>
      </w:r>
      <w:r>
        <w:tab/>
        <w:t xml:space="preserve">response </w:t>
      </w:r>
      <w:proofErr w:type="spellStart"/>
      <w:r>
        <w:t>time</w:t>
      </w:r>
      <w:proofErr w:type="spellEnd"/>
      <w:r>
        <w:t xml:space="preserve"> 2 h / </w:t>
      </w:r>
      <w:proofErr w:type="spellStart"/>
      <w:r>
        <w:t>fixtime</w:t>
      </w:r>
      <w:proofErr w:type="spellEnd"/>
      <w:r>
        <w:t xml:space="preserve"> 5 BD, </w:t>
      </w:r>
    </w:p>
    <w:p w14:paraId="652EB60A" w14:textId="3A4B5C44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 xml:space="preserve">Konzultace </w:t>
      </w:r>
      <w:r>
        <w:tab/>
      </w:r>
      <w:r>
        <w:tab/>
        <w:t xml:space="preserve">na objednávku – cca </w:t>
      </w:r>
      <w:r w:rsidR="00D90A0B">
        <w:t>72</w:t>
      </w:r>
      <w:r>
        <w:t xml:space="preserve"> MD / rok (v pracovní dny, v CS jazyce);</w:t>
      </w:r>
    </w:p>
    <w:p w14:paraId="4C0A7FA3" w14:textId="506A5D3C" w:rsidR="004625CF" w:rsidRDefault="007239F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Školení</w:t>
      </w:r>
      <w:r>
        <w:tab/>
      </w:r>
      <w:r>
        <w:tab/>
      </w:r>
      <w:r>
        <w:tab/>
        <w:t xml:space="preserve">na objednávku – cca </w:t>
      </w:r>
      <w:r w:rsidR="00D90A0B">
        <w:t>6</w:t>
      </w:r>
      <w:r>
        <w:t xml:space="preserve"> MD / rok (v pracovní dny, v CS jazyce);</w:t>
      </w:r>
    </w:p>
    <w:p w14:paraId="1B879DF1" w14:textId="4D8C578C" w:rsidR="00D90A0B" w:rsidRDefault="00D90A0B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Přesun řešení</w:t>
      </w:r>
      <w:r>
        <w:tab/>
      </w:r>
      <w:r>
        <w:tab/>
        <w:t>na objednávku – jednorázové provedení;</w:t>
      </w:r>
    </w:p>
    <w:p w14:paraId="1C077D1D" w14:textId="4BE30ED3" w:rsidR="00D90A0B" w:rsidRDefault="004D0D47">
      <w:pPr>
        <w:pStyle w:val="Odstavecseseznamem"/>
        <w:numPr>
          <w:ilvl w:val="0"/>
          <w:numId w:val="21"/>
        </w:numPr>
        <w:spacing w:after="120"/>
        <w:ind w:left="568" w:hanging="284"/>
      </w:pPr>
      <w:r>
        <w:t>Exit plán</w:t>
      </w:r>
      <w:r>
        <w:tab/>
      </w:r>
      <w:r>
        <w:tab/>
      </w:r>
      <w:r>
        <w:tab/>
        <w:t>na objednávku – jednorázové provedení;</w:t>
      </w:r>
    </w:p>
    <w:p w14:paraId="49CF8088" w14:textId="77777777" w:rsidR="004625CF" w:rsidRDefault="007239F7">
      <w:r>
        <w:rPr>
          <w:color w:val="000000"/>
        </w:rPr>
        <w:t>Podpora</w:t>
      </w:r>
      <w:r>
        <w:t xml:space="preserve"> a všechny její služby (dohled, monitoring, hotline, servisdesk atd.), vyjma konzultace a školení, bude placena formou ročního paušálu v půlročních splátkách. Konzultace a školení budou placeny na základě objednávky.</w:t>
      </w:r>
    </w:p>
    <w:p w14:paraId="3882C5F6" w14:textId="77777777" w:rsidR="004625CF" w:rsidRDefault="007239F7">
      <w:pPr>
        <w:pStyle w:val="Nadpis2"/>
      </w:pPr>
      <w:r>
        <w:t>Rozvoj</w:t>
      </w:r>
      <w:bookmarkEnd w:id="4"/>
    </w:p>
    <w:p w14:paraId="0BF13F12" w14:textId="77777777" w:rsidR="004625CF" w:rsidRDefault="007239F7">
      <w:r>
        <w:t>Zajištění rozvoje musí naplnit minimálně následující požadavky:</w:t>
      </w:r>
    </w:p>
    <w:p w14:paraId="410D3AB4" w14:textId="031AA03B" w:rsidR="004625CF" w:rsidRDefault="007239F7">
      <w:pPr>
        <w:pStyle w:val="Odstavecseseznamem"/>
        <w:numPr>
          <w:ilvl w:val="0"/>
          <w:numId w:val="21"/>
        </w:numPr>
        <w:ind w:left="568" w:hanging="284"/>
        <w:rPr>
          <w:color w:val="000000"/>
        </w:rPr>
      </w:pPr>
      <w:r>
        <w:rPr>
          <w:color w:val="000000"/>
        </w:rPr>
        <w:t>změny/nové požadavky</w:t>
      </w:r>
      <w:r w:rsidR="004D0D47">
        <w:rPr>
          <w:color w:val="000000"/>
        </w:rPr>
        <w:t xml:space="preserve"> </w:t>
      </w:r>
      <w:r>
        <w:rPr>
          <w:color w:val="000000"/>
        </w:rPr>
        <w:t xml:space="preserve">v rozsahu cca </w:t>
      </w:r>
      <w:r>
        <w:rPr>
          <w:b/>
          <w:color w:val="000000"/>
        </w:rPr>
        <w:t>300 MD / rok</w:t>
      </w:r>
      <w:r>
        <w:t>;</w:t>
      </w:r>
    </w:p>
    <w:p w14:paraId="3391E8D4" w14:textId="32CA9FA0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analytické práce – analýzy</w:t>
      </w:r>
      <w:r w:rsidR="00E01C99">
        <w:t>;</w:t>
      </w:r>
    </w:p>
    <w:p w14:paraId="28C2D4CF" w14:textId="062AECC1" w:rsidR="00E01C99" w:rsidRDefault="00E01C99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návrh nových formulářů, procesů a aplikací založených na modulech EnviÚEP;</w:t>
      </w:r>
    </w:p>
    <w:p w14:paraId="7F9DD3E5" w14:textId="430ABEAF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 xml:space="preserve">programátorské </w:t>
      </w:r>
      <w:r w:rsidR="00E01C99">
        <w:t>práce;</w:t>
      </w:r>
    </w:p>
    <w:p w14:paraId="64D6F1F3" w14:textId="327463BE" w:rsidR="004625CF" w:rsidRDefault="007239F7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integrační práce s AIS/ISVS/PIS</w:t>
      </w:r>
      <w:r w:rsidR="00E01C99">
        <w:t>;</w:t>
      </w:r>
    </w:p>
    <w:p w14:paraId="78B67272" w14:textId="6F8F55F5" w:rsidR="004625CF" w:rsidRDefault="008A3D78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konfigurace, rekonfigurace, optimalizace apod. služeb</w:t>
      </w:r>
      <w:r w:rsidR="00E01C99">
        <w:t>;</w:t>
      </w:r>
    </w:p>
    <w:p w14:paraId="78D04BF3" w14:textId="39C37CD3" w:rsidR="008A3D78" w:rsidRDefault="00E01C99">
      <w:pPr>
        <w:pStyle w:val="Odstavecseseznamem"/>
        <w:numPr>
          <w:ilvl w:val="1"/>
          <w:numId w:val="17"/>
        </w:numPr>
        <w:spacing w:before="0"/>
        <w:ind w:left="1134" w:hanging="284"/>
      </w:pPr>
      <w:r>
        <w:t>testování a nasazení nových aktiv (komponent, služeb, …) vyvinutých 3</w:t>
      </w:r>
      <w:r w:rsidR="003045AC">
        <w:t>.</w:t>
      </w:r>
      <w:r>
        <w:t>mi stranami v</w:t>
      </w:r>
      <w:r w:rsidR="003045AC">
        <w:t> </w:t>
      </w:r>
      <w:proofErr w:type="spellStart"/>
      <w:r>
        <w:t>EnviÚEP</w:t>
      </w:r>
      <w:proofErr w:type="spellEnd"/>
      <w:r>
        <w:t>;</w:t>
      </w:r>
    </w:p>
    <w:p w14:paraId="0A517607" w14:textId="77777777" w:rsidR="004625CF" w:rsidRDefault="007239F7">
      <w:r>
        <w:t>Rozvoj bude účtován dle skutečného čerpání a Objednatel se nebude jakýmkoli způsobem zavazovat k vyčerpání rámce MD stanovených smlouvou.</w:t>
      </w:r>
    </w:p>
    <w:p w14:paraId="7229B2B2" w14:textId="77777777" w:rsidR="004625CF" w:rsidRDefault="007239F7">
      <w:pPr>
        <w:pStyle w:val="Nadpis1"/>
      </w:pPr>
      <w:r>
        <w:t>Doplňující informace</w:t>
      </w:r>
    </w:p>
    <w:p w14:paraId="44B953CB" w14:textId="77777777" w:rsidR="004625CF" w:rsidRDefault="007239F7">
      <w:pPr>
        <w:pStyle w:val="Nadpis2"/>
      </w:pPr>
      <w:r>
        <w:t>Předpokládaný harmonogram</w:t>
      </w:r>
    </w:p>
    <w:p w14:paraId="14D079C7" w14:textId="77777777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Vyhlášení VZ: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2Q 2022</w:t>
      </w:r>
      <w:r>
        <w:rPr>
          <w:color w:val="000000"/>
        </w:rPr>
        <w:t>,</w:t>
      </w:r>
    </w:p>
    <w:p w14:paraId="1CDC7168" w14:textId="77777777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Uzavření smlouvy a zahájení prací: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3/4Q 2022</w:t>
      </w:r>
      <w:r>
        <w:rPr>
          <w:color w:val="000000"/>
        </w:rPr>
        <w:t>,</w:t>
      </w:r>
    </w:p>
    <w:p w14:paraId="4FF75967" w14:textId="77777777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lastRenderedPageBreak/>
        <w:t>Doba realizace (Etapa I.</w:t>
      </w:r>
      <w:proofErr w:type="gramStart"/>
      <w:r>
        <w:rPr>
          <w:color w:val="000000"/>
        </w:rPr>
        <w:t xml:space="preserve"> ..</w:t>
      </w:r>
      <w:proofErr w:type="gramEnd"/>
      <w:r>
        <w:rPr>
          <w:color w:val="000000"/>
        </w:rPr>
        <w:t xml:space="preserve"> Etapa III.):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36 měsíců </w:t>
      </w:r>
      <w:r>
        <w:rPr>
          <w:bCs/>
          <w:color w:val="000000"/>
        </w:rPr>
        <w:t>od uzavření smlouvy</w:t>
      </w:r>
      <w:r>
        <w:rPr>
          <w:rStyle w:val="Znakapoznpodarou"/>
          <w:color w:val="000000"/>
        </w:rPr>
        <w:footnoteReference w:id="6"/>
      </w:r>
      <w:r>
        <w:rPr>
          <w:color w:val="000000"/>
        </w:rPr>
        <w:t>,</w:t>
      </w:r>
    </w:p>
    <w:p w14:paraId="76816019" w14:textId="77777777" w:rsidR="004625CF" w:rsidRPr="00C968D7" w:rsidRDefault="007239F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contextualSpacing/>
        <w:rPr>
          <w:color w:val="000000"/>
        </w:rPr>
      </w:pPr>
      <w:r>
        <w:rPr>
          <w:color w:val="000000"/>
        </w:rPr>
        <w:t>Etapa 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C968D7">
        <w:rPr>
          <w:color w:val="000000"/>
        </w:rPr>
        <w:t>6 měsíců,</w:t>
      </w:r>
    </w:p>
    <w:p w14:paraId="5C50A367" w14:textId="77777777" w:rsidR="004625CF" w:rsidRPr="00C968D7" w:rsidRDefault="007239F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contextualSpacing/>
        <w:rPr>
          <w:color w:val="000000"/>
        </w:rPr>
      </w:pPr>
      <w:r w:rsidRPr="00C968D7">
        <w:rPr>
          <w:color w:val="000000"/>
        </w:rPr>
        <w:t>Etapa II.</w:t>
      </w:r>
      <w:r w:rsidRPr="00C968D7">
        <w:rPr>
          <w:color w:val="000000"/>
        </w:rPr>
        <w:tab/>
      </w:r>
      <w:r w:rsidRPr="00C968D7">
        <w:rPr>
          <w:color w:val="000000"/>
        </w:rPr>
        <w:tab/>
      </w:r>
      <w:r w:rsidRPr="00C968D7">
        <w:rPr>
          <w:color w:val="000000"/>
        </w:rPr>
        <w:tab/>
      </w:r>
      <w:r w:rsidRPr="00C968D7">
        <w:rPr>
          <w:color w:val="000000"/>
        </w:rPr>
        <w:tab/>
        <w:t>24 měsíců,</w:t>
      </w:r>
    </w:p>
    <w:p w14:paraId="1C999E3B" w14:textId="77777777" w:rsidR="004625CF" w:rsidRPr="00C968D7" w:rsidRDefault="007239F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contextualSpacing/>
        <w:rPr>
          <w:color w:val="000000"/>
        </w:rPr>
      </w:pPr>
      <w:r w:rsidRPr="00C968D7">
        <w:rPr>
          <w:color w:val="000000"/>
        </w:rPr>
        <w:t>Etapa III.</w:t>
      </w:r>
      <w:r w:rsidRPr="00C968D7">
        <w:rPr>
          <w:color w:val="000000"/>
        </w:rPr>
        <w:tab/>
      </w:r>
      <w:r w:rsidRPr="00C968D7">
        <w:rPr>
          <w:color w:val="000000"/>
        </w:rPr>
        <w:tab/>
      </w:r>
      <w:r w:rsidRPr="00C968D7">
        <w:rPr>
          <w:color w:val="000000"/>
        </w:rPr>
        <w:tab/>
      </w:r>
      <w:r w:rsidRPr="00C968D7">
        <w:rPr>
          <w:color w:val="000000"/>
        </w:rPr>
        <w:tab/>
        <w:t>36 měsíců,</w:t>
      </w:r>
    </w:p>
    <w:p w14:paraId="4C5801EB" w14:textId="77777777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Zajištění provozu a rozvoje (Etapa IV):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na dobu neurčitou </w:t>
      </w:r>
      <w:r>
        <w:rPr>
          <w:bCs/>
          <w:color w:val="000000"/>
        </w:rPr>
        <w:t>po ukončení Etapy III</w:t>
      </w:r>
    </w:p>
    <w:p w14:paraId="674E6EF5" w14:textId="77777777" w:rsidR="004625CF" w:rsidRDefault="007239F7">
      <w:pPr>
        <w:pStyle w:val="Nadpis2"/>
      </w:pPr>
      <w:r>
        <w:t>Doplňující poznámky</w:t>
      </w:r>
    </w:p>
    <w:p w14:paraId="47039DFF" w14:textId="77777777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 xml:space="preserve">Zadavatel preferuje při návrhu řešení EnviÚEP </w:t>
      </w:r>
      <w:r>
        <w:rPr>
          <w:b/>
          <w:bCs/>
          <w:color w:val="000000"/>
        </w:rPr>
        <w:t>využití Open-Source SW</w:t>
      </w:r>
      <w:r>
        <w:rPr>
          <w:color w:val="000000"/>
        </w:rPr>
        <w:t>.</w:t>
      </w:r>
    </w:p>
    <w:p w14:paraId="58C85A93" w14:textId="6187A0A6" w:rsidR="003C4CB9" w:rsidRDefault="003C4CB9" w:rsidP="00E85C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 w:rsidRPr="003C4CB9">
        <w:rPr>
          <w:color w:val="000000"/>
        </w:rPr>
        <w:t xml:space="preserve">Na řešení bude požadována </w:t>
      </w:r>
      <w:r w:rsidRPr="003C4CB9">
        <w:rPr>
          <w:b/>
          <w:bCs/>
          <w:color w:val="000000"/>
        </w:rPr>
        <w:t>nevýhradní licence</w:t>
      </w:r>
      <w:r w:rsidRPr="003C4CB9">
        <w:rPr>
          <w:color w:val="000000"/>
        </w:rPr>
        <w:t xml:space="preserve"> umožňující neomezený rozvoj (vyjma těch částí, které jsou </w:t>
      </w:r>
      <w:r>
        <w:rPr>
          <w:color w:val="000000"/>
        </w:rPr>
        <w:t>O</w:t>
      </w:r>
      <w:r w:rsidRPr="003C4CB9">
        <w:rPr>
          <w:color w:val="000000"/>
        </w:rPr>
        <w:t>pen</w:t>
      </w:r>
      <w:r>
        <w:rPr>
          <w:color w:val="000000"/>
        </w:rPr>
        <w:t>-S</w:t>
      </w:r>
      <w:r w:rsidRPr="003C4CB9">
        <w:rPr>
          <w:color w:val="000000"/>
        </w:rPr>
        <w:t xml:space="preserve">ource, eventuálně standardního SW </w:t>
      </w:r>
      <w:r w:rsidR="007C0340" w:rsidRPr="003C4CB9">
        <w:rPr>
          <w:color w:val="000000"/>
        </w:rPr>
        <w:t>vendorů – zde</w:t>
      </w:r>
      <w:r w:rsidRPr="003C4CB9">
        <w:rPr>
          <w:color w:val="000000"/>
        </w:rPr>
        <w:t xml:space="preserve"> je nezbytnou podmínkou dostupnost vícero zprostředkovatelů/prodejců </w:t>
      </w:r>
      <w:r>
        <w:rPr>
          <w:color w:val="000000"/>
        </w:rPr>
        <w:t xml:space="preserve">SW </w:t>
      </w:r>
      <w:r w:rsidRPr="003C4CB9">
        <w:rPr>
          <w:color w:val="000000"/>
        </w:rPr>
        <w:t>licencí na českém trhu)</w:t>
      </w:r>
      <w:r>
        <w:rPr>
          <w:color w:val="000000"/>
        </w:rPr>
        <w:t>.</w:t>
      </w:r>
    </w:p>
    <w:p w14:paraId="70D1162D" w14:textId="70B13197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 xml:space="preserve">Řešení EnviÚEP, respektive jeho moduly budou mít vlastnosti dle definice ISVS a jako Významný systém dle </w:t>
      </w:r>
      <w:proofErr w:type="spellStart"/>
      <w:r>
        <w:rPr>
          <w:color w:val="000000"/>
        </w:rPr>
        <w:t>ZoKB</w:t>
      </w:r>
      <w:proofErr w:type="spellEnd"/>
      <w:r>
        <w:rPr>
          <w:color w:val="000000"/>
        </w:rPr>
        <w:t xml:space="preserve">.   </w:t>
      </w:r>
    </w:p>
    <w:p w14:paraId="204CB4AF" w14:textId="33CFC843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 xml:space="preserve">V případě nového vývoje na míru, Zadavatel </w:t>
      </w:r>
      <w:r w:rsidR="003C4882">
        <w:rPr>
          <w:color w:val="000000"/>
        </w:rPr>
        <w:t xml:space="preserve">plánuje, </w:t>
      </w:r>
      <w:r>
        <w:rPr>
          <w:color w:val="000000"/>
        </w:rPr>
        <w:t>vyhradit</w:t>
      </w:r>
      <w:r w:rsidR="003C4882">
        <w:rPr>
          <w:color w:val="000000"/>
        </w:rPr>
        <w:t xml:space="preserve"> si</w:t>
      </w:r>
      <w:r>
        <w:rPr>
          <w:color w:val="000000"/>
        </w:rPr>
        <w:t xml:space="preserve"> u kritických komponent výhradní užití tohoto SW pro účely jeho ev. dalšího využití v rámci veřejné správy dle vlastního uvážení. Definice kritické komponenty bude k dispozici v rámci řízení.</w:t>
      </w:r>
    </w:p>
    <w:p w14:paraId="39BC6CA0" w14:textId="43CC76B5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Zadavatel je vybaven infrastrukturou a licencemi firmy Microsoft pouze v minimálním rozsahu</w:t>
      </w:r>
      <w:r w:rsidR="003C4CB9">
        <w:rPr>
          <w:color w:val="000000"/>
        </w:rPr>
        <w:t>,</w:t>
      </w:r>
      <w:r>
        <w:rPr>
          <w:color w:val="000000"/>
        </w:rPr>
        <w:t xml:space="preserve"> </w:t>
      </w:r>
      <w:r w:rsidR="003C4CB9">
        <w:rPr>
          <w:color w:val="000000"/>
        </w:rPr>
        <w:t xml:space="preserve">nicméně </w:t>
      </w:r>
      <w:r>
        <w:rPr>
          <w:color w:val="000000"/>
        </w:rPr>
        <w:t xml:space="preserve">disponuje MS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Directory</w:t>
      </w:r>
      <w:proofErr w:type="spellEnd"/>
      <w:r w:rsidR="003C4CB9">
        <w:rPr>
          <w:color w:val="000000"/>
        </w:rPr>
        <w:t>,</w:t>
      </w:r>
      <w:r>
        <w:rPr>
          <w:color w:val="000000"/>
        </w:rPr>
        <w:t xml:space="preserve"> a</w:t>
      </w:r>
      <w:r w:rsidR="003C4CB9">
        <w:rPr>
          <w:color w:val="000000"/>
        </w:rPr>
        <w:t>le</w:t>
      </w:r>
      <w:r>
        <w:rPr>
          <w:color w:val="000000"/>
        </w:rPr>
        <w:t xml:space="preserve"> upozorňuje, že ICT služby Zadavatele jsou poskytovány v hybridním režimu – tedy </w:t>
      </w:r>
      <w:r w:rsidR="003C4CB9">
        <w:rPr>
          <w:color w:val="000000"/>
        </w:rPr>
        <w:t>poskytované ve</w:t>
      </w:r>
      <w:r>
        <w:rPr>
          <w:color w:val="000000"/>
        </w:rPr>
        <w:t xml:space="preserve"> vlastní</w:t>
      </w:r>
      <w:r w:rsidR="003C4CB9">
        <w:rPr>
          <w:color w:val="000000"/>
        </w:rPr>
        <w:t>m</w:t>
      </w:r>
      <w:r>
        <w:rPr>
          <w:color w:val="000000"/>
        </w:rPr>
        <w:t xml:space="preserve"> datové centrum a</w:t>
      </w:r>
      <w:r w:rsidR="003045AC">
        <w:rPr>
          <w:color w:val="000000"/>
        </w:rPr>
        <w:t> </w:t>
      </w:r>
      <w:r>
        <w:rPr>
          <w:color w:val="000000"/>
        </w:rPr>
        <w:t>v</w:t>
      </w:r>
      <w:r w:rsidR="003C4CB9">
        <w:rPr>
          <w:color w:val="000000"/>
        </w:rPr>
        <w:t xml:space="preserve"> komerčních </w:t>
      </w:r>
      <w:proofErr w:type="spellStart"/>
      <w:r>
        <w:rPr>
          <w:color w:val="000000"/>
        </w:rPr>
        <w:t>cloud</w:t>
      </w:r>
      <w:r w:rsidR="003C4CB9">
        <w:rPr>
          <w:color w:val="000000"/>
        </w:rPr>
        <w:t>ech</w:t>
      </w:r>
      <w:proofErr w:type="spellEnd"/>
      <w:r>
        <w:rPr>
          <w:color w:val="000000"/>
        </w:rPr>
        <w:t>.</w:t>
      </w:r>
    </w:p>
    <w:p w14:paraId="0CA001CE" w14:textId="77777777" w:rsidR="004625CF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Požadovaná záruka na dílo je 24 měsíců, a to počínaje dnem převzetí Díla jako celku Objednatelem, tj. podpisem Předávacího protokolu oběma Smluvními stranami.</w:t>
      </w:r>
    </w:p>
    <w:p w14:paraId="183030BC" w14:textId="17F1D807" w:rsidR="00B1161B" w:rsidRDefault="00B1161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Hlavním kritériem hodnocení veřejné zakázky bude cena.</w:t>
      </w:r>
    </w:p>
    <w:p w14:paraId="717200D8" w14:textId="45428A28" w:rsidR="004625CF" w:rsidRPr="003C4882" w:rsidRDefault="007239F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 xml:space="preserve">Zadavatel si </w:t>
      </w:r>
      <w:r w:rsidRPr="003C4882">
        <w:rPr>
          <w:color w:val="000000"/>
        </w:rPr>
        <w:t xml:space="preserve">vyhrazuje právo soutěžit následný předmět </w:t>
      </w:r>
      <w:r w:rsidR="00B1161B" w:rsidRPr="003C4882">
        <w:rPr>
          <w:color w:val="000000"/>
        </w:rPr>
        <w:t>v</w:t>
      </w:r>
      <w:r w:rsidRPr="003C4882">
        <w:rPr>
          <w:color w:val="000000"/>
        </w:rPr>
        <w:t>eřejné zakázky v pozměněném rozsahu.</w:t>
      </w:r>
    </w:p>
    <w:p w14:paraId="24BAF5E0" w14:textId="67E3AF0E" w:rsidR="003C4882" w:rsidRPr="003C4882" w:rsidRDefault="003C488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/>
        <w:rPr>
          <w:b/>
          <w:bCs/>
          <w:color w:val="000000"/>
        </w:rPr>
      </w:pPr>
      <w:r w:rsidRPr="003C4882">
        <w:rPr>
          <w:b/>
          <w:bCs/>
          <w:color w:val="000000"/>
        </w:rPr>
        <w:t>Prosíme o případné doplnění vašich poznámek k tomuto PT, děkujeme.</w:t>
      </w:r>
    </w:p>
    <w:p w14:paraId="3D974379" w14:textId="0A20AE02" w:rsidR="004625CF" w:rsidRDefault="007239F7" w:rsidP="003C4882">
      <w:pPr>
        <w:pStyle w:val="Nadpis1"/>
        <w:pageBreakBefore/>
      </w:pPr>
      <w:r>
        <w:lastRenderedPageBreak/>
        <w:t>Požadavek na formu odpovědi v rámci průzkumu trhu</w:t>
      </w:r>
    </w:p>
    <w:p w14:paraId="6F044D19" w14:textId="1303C9C0" w:rsidR="004625CF" w:rsidRDefault="007239F7">
      <w:r>
        <w:t>Zadavatel požaduje zpracování odpovědi účastníka ve struktuře následující tabulky</w:t>
      </w:r>
      <w:r>
        <w:rPr>
          <w:rStyle w:val="Znakapoznpodarou"/>
        </w:rPr>
        <w:footnoteReference w:id="7"/>
      </w:r>
      <w:r>
        <w:t>:</w:t>
      </w:r>
    </w:p>
    <w:p w14:paraId="34AB84C6" w14:textId="63651FA4" w:rsidR="00F04E4B" w:rsidRDefault="00D05DEC" w:rsidP="00F04E4B">
      <w:bookmarkStart w:id="5" w:name="_Ref23241188"/>
      <w:r w:rsidRPr="00D05DEC">
        <w:drawing>
          <wp:inline distT="0" distB="0" distL="0" distR="0" wp14:anchorId="28B22285" wp14:editId="4E58ABB0">
            <wp:extent cx="5685115" cy="756073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93" cy="75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29EB" w14:textId="213CCDAF" w:rsidR="004625CF" w:rsidRDefault="007239F7" w:rsidP="00F04E4B">
      <w:pPr>
        <w:pStyle w:val="Nadpis1"/>
        <w:pageBreakBefore/>
      </w:pPr>
      <w:r>
        <w:lastRenderedPageBreak/>
        <w:t>Příloha 1 – UC / proces: Získání osvědčení</w:t>
      </w:r>
      <w:bookmarkEnd w:id="5"/>
    </w:p>
    <w:p w14:paraId="1D99812B" w14:textId="77777777" w:rsidR="004625CF" w:rsidRDefault="007239F7" w:rsidP="008C7D92">
      <w:pPr>
        <w:contextualSpacing/>
        <w:rPr>
          <w:u w:val="single"/>
        </w:rPr>
      </w:pPr>
      <w:r>
        <w:rPr>
          <w:u w:val="single"/>
        </w:rPr>
        <w:t>Zákonné a podzákonné požadavky:</w:t>
      </w:r>
    </w:p>
    <w:p w14:paraId="24FD1BE0" w14:textId="77777777" w:rsidR="004625CF" w:rsidRDefault="007239F7">
      <w:r>
        <w:t>Ochrana přírody dle § 79a zákona č. 114/1992 Sb. (zkouška o zvláštní odborné způsobilosti).</w:t>
      </w:r>
    </w:p>
    <w:p w14:paraId="1D231E45" w14:textId="77777777" w:rsidR="004625CF" w:rsidRDefault="007239F7">
      <w:pPr>
        <w:contextualSpacing/>
        <w:rPr>
          <w:u w:val="single"/>
        </w:rPr>
      </w:pPr>
      <w:r>
        <w:rPr>
          <w:u w:val="single"/>
        </w:rPr>
        <w:t>Základní východiska:</w:t>
      </w:r>
    </w:p>
    <w:p w14:paraId="674CF1E4" w14:textId="77777777" w:rsidR="004625CF" w:rsidRDefault="007239F7">
      <w:r>
        <w:t>Existuje právní předpis pro vydávání osvědčení a smluvní vztah ministerstva s externím organizátorem školení a zkoušek.</w:t>
      </w:r>
    </w:p>
    <w:p w14:paraId="0743E820" w14:textId="60867B44" w:rsidR="00E85CDD" w:rsidRDefault="00E85CDD">
      <w:pPr>
        <w:contextualSpacing/>
        <w:rPr>
          <w:u w:val="single"/>
        </w:rPr>
      </w:pPr>
      <w:r>
        <w:rPr>
          <w:u w:val="single"/>
        </w:rPr>
        <w:t>Obecný popis procesu</w:t>
      </w:r>
      <w:r w:rsidR="008C7D92">
        <w:rPr>
          <w:u w:val="single"/>
        </w:rPr>
        <w:t xml:space="preserve"> získání </w:t>
      </w:r>
      <w:r w:rsidR="003735B6">
        <w:rPr>
          <w:u w:val="single"/>
        </w:rPr>
        <w:t>osvědčení</w:t>
      </w:r>
      <w:r w:rsidR="008C7D92">
        <w:rPr>
          <w:rStyle w:val="Znakapoznpodarou"/>
          <w:u w:val="single"/>
        </w:rPr>
        <w:footnoteReference w:id="8"/>
      </w:r>
      <w:r>
        <w:rPr>
          <w:u w:val="single"/>
        </w:rPr>
        <w:t>:</w:t>
      </w:r>
    </w:p>
    <w:p w14:paraId="2D09E35E" w14:textId="495975D6" w:rsidR="008C7D92" w:rsidRPr="008C7D92" w:rsidRDefault="008C7D92" w:rsidP="00392F57">
      <w:pPr>
        <w:spacing w:after="0"/>
      </w:pPr>
      <w:r w:rsidRPr="008C7D92">
        <w:rPr>
          <w:i/>
          <w:iCs/>
        </w:rPr>
        <w:t>Fakta</w:t>
      </w:r>
      <w:r w:rsidRPr="008C7D92">
        <w:t>:</w:t>
      </w:r>
    </w:p>
    <w:p w14:paraId="6D4C6904" w14:textId="77777777" w:rsidR="00E85CDD" w:rsidRDefault="00E85CDD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 w:rsidRPr="00E85CDD">
        <w:t>existuje povinnost / možnost (vyplývá ze zákona nebo z potřeby občana),</w:t>
      </w:r>
    </w:p>
    <w:p w14:paraId="63EA2EF3" w14:textId="77777777" w:rsidR="00E85CDD" w:rsidRDefault="00E85CDD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 w:rsidRPr="00E85CDD">
        <w:t>existuje prostředí ÚEP, které umožní požadavek zpracovat,</w:t>
      </w:r>
    </w:p>
    <w:p w14:paraId="410D095C" w14:textId="77777777" w:rsidR="00E85CDD" w:rsidRDefault="00E85CDD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 w:rsidRPr="00E85CDD">
        <w:t>existuje mechanismus získání osvědčení (přihláška – platba – školení – zkouška – osvědčení),</w:t>
      </w:r>
    </w:p>
    <w:p w14:paraId="6D05363B" w14:textId="77777777" w:rsidR="00E85CDD" w:rsidRDefault="00E85CDD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 w:rsidRPr="00E85CDD">
        <w:t>existují poplatky, termíny, lhůty, časová omezení,</w:t>
      </w:r>
    </w:p>
    <w:p w14:paraId="7807404E" w14:textId="65B9F52D" w:rsidR="00E85CDD" w:rsidRDefault="00E85CDD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 w:rsidRPr="00E85CDD">
        <w:t>existují role a povinnosti účastníků procesu</w:t>
      </w:r>
      <w:r>
        <w:t>,</w:t>
      </w:r>
    </w:p>
    <w:p w14:paraId="29FFA6AE" w14:textId="52BD962B" w:rsidR="00E85CDD" w:rsidRPr="008C7D92" w:rsidRDefault="008C7D92" w:rsidP="00392F57">
      <w:pPr>
        <w:spacing w:after="0"/>
        <w:rPr>
          <w:i/>
          <w:iCs/>
        </w:rPr>
      </w:pPr>
      <w:r w:rsidRPr="008C7D92">
        <w:rPr>
          <w:i/>
          <w:iCs/>
        </w:rPr>
        <w:t>Průběh:</w:t>
      </w:r>
    </w:p>
    <w:p w14:paraId="66BBE9DD" w14:textId="0D77F36D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plnění podmínek žadatele,</w:t>
      </w:r>
    </w:p>
    <w:p w14:paraId="5207BF4A" w14:textId="1C04298B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pozvánka ke školení,</w:t>
      </w:r>
    </w:p>
    <w:p w14:paraId="0E426B54" w14:textId="66BA7955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ab/>
        <w:t>školení,</w:t>
      </w:r>
    </w:p>
    <w:p w14:paraId="251C2925" w14:textId="5ED13156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pozvánka/přihláška ke zkoušce,</w:t>
      </w:r>
    </w:p>
    <w:p w14:paraId="446329B0" w14:textId="39AA44DE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hodnocení uchazeče,</w:t>
      </w:r>
    </w:p>
    <w:p w14:paraId="2B431616" w14:textId="0A4ED60D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výsledek zkoušky,</w:t>
      </w:r>
    </w:p>
    <w:p w14:paraId="47B318F7" w14:textId="12AC81AB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předání dokladu – osvědčení/certifikátu,</w:t>
      </w:r>
    </w:p>
    <w:p w14:paraId="3CD1A6CE" w14:textId="6B7AB5FA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záznamy o zvýšení kvalifikace,</w:t>
      </w:r>
    </w:p>
    <w:p w14:paraId="51F8F5F7" w14:textId="7D992BDB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opravné prostředky,</w:t>
      </w:r>
    </w:p>
    <w:p w14:paraId="4E36D885" w14:textId="10FBC1F7" w:rsidR="008C7D92" w:rsidRDefault="008C7D92" w:rsidP="008C7D92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prezentace osob, které získaly (a kterým aktuálně platí) osvědčení v Registru OZO v dané oblasti.</w:t>
      </w:r>
    </w:p>
    <w:p w14:paraId="0DE893D8" w14:textId="627395BA" w:rsidR="004625CF" w:rsidRDefault="007239F7">
      <w:pPr>
        <w:rPr>
          <w:u w:val="single"/>
        </w:rPr>
      </w:pPr>
      <w:r>
        <w:rPr>
          <w:u w:val="single"/>
        </w:rPr>
        <w:t>Procesy/scénáře Získání osvědčení:</w:t>
      </w:r>
    </w:p>
    <w:p w14:paraId="2E7C7B0B" w14:textId="08727EC7" w:rsidR="004625CF" w:rsidRDefault="00DF10C5">
      <w:r>
        <w:rPr>
          <w:noProof/>
          <w:u w:val="single"/>
        </w:rPr>
        <w:drawing>
          <wp:anchor distT="0" distB="36195" distL="114300" distR="114300" simplePos="0" relativeHeight="251665408" behindDoc="0" locked="0" layoutInCell="1" allowOverlap="1" wp14:anchorId="43BB71D9" wp14:editId="3008437D">
            <wp:simplePos x="0" y="0"/>
            <wp:positionH relativeFrom="margin">
              <wp:posOffset>156845</wp:posOffset>
            </wp:positionH>
            <wp:positionV relativeFrom="paragraph">
              <wp:posOffset>786081</wp:posOffset>
            </wp:positionV>
            <wp:extent cx="5446800" cy="2502000"/>
            <wp:effectExtent l="0" t="0" r="0" b="0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VGGraph (1)_zkousky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446800" cy="25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F7">
        <w:t>Níže uvedené procesy jsou popsány v nejvyšším možném detailu. V rámci tohoto průzkumu jsou všechny procesy uvedeny jako návodné a pro dodavatele slouží primárně k odhadu pracnosti, resp. nacenění.</w:t>
      </w:r>
    </w:p>
    <w:p w14:paraId="6CE806D2" w14:textId="77777777" w:rsidR="00C95536" w:rsidRDefault="00C95536">
      <w:pPr>
        <w:rPr>
          <w:u w:val="single"/>
        </w:rPr>
      </w:pPr>
    </w:p>
    <w:p w14:paraId="788929F6" w14:textId="60150E3D" w:rsidR="004625CF" w:rsidRDefault="00DA701A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36195" distL="114300" distR="114300" simplePos="0" relativeHeight="251667456" behindDoc="0" locked="0" layoutInCell="1" allowOverlap="1" wp14:anchorId="08180A3D" wp14:editId="361CC780">
            <wp:simplePos x="0" y="0"/>
            <wp:positionH relativeFrom="margin">
              <wp:align>center</wp:align>
            </wp:positionH>
            <wp:positionV relativeFrom="paragraph">
              <wp:posOffset>2594610</wp:posOffset>
            </wp:positionV>
            <wp:extent cx="5288400" cy="3063600"/>
            <wp:effectExtent l="0" t="0" r="0" b="0"/>
            <wp:wrapTopAndBottom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VGGraph (3)_skoleni2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88400" cy="30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5B6">
        <w:rPr>
          <w:noProof/>
          <w:u w:val="single"/>
        </w:rPr>
        <w:drawing>
          <wp:anchor distT="0" distB="36195" distL="114300" distR="114300" simplePos="0" relativeHeight="251668480" behindDoc="0" locked="0" layoutInCell="1" allowOverlap="1" wp14:anchorId="42DB15E2" wp14:editId="091E43C2">
            <wp:simplePos x="0" y="0"/>
            <wp:positionH relativeFrom="margin">
              <wp:align>center</wp:align>
            </wp:positionH>
            <wp:positionV relativeFrom="paragraph">
              <wp:posOffset>5750853</wp:posOffset>
            </wp:positionV>
            <wp:extent cx="5238000" cy="2523600"/>
            <wp:effectExtent l="0" t="0" r="0" b="0"/>
            <wp:wrapTopAndBottom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VGGraph_skoleni1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238000" cy="25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F7">
        <w:rPr>
          <w:noProof/>
          <w:u w:val="single"/>
        </w:rPr>
        <w:drawing>
          <wp:anchor distT="0" distB="36195" distL="114300" distR="114300" simplePos="0" relativeHeight="251666432" behindDoc="0" locked="0" layoutInCell="1" allowOverlap="1" wp14:anchorId="174DEA3A" wp14:editId="6202F76F">
            <wp:simplePos x="899795" y="1448435"/>
            <wp:positionH relativeFrom="column">
              <wp:align>center</wp:align>
            </wp:positionH>
            <wp:positionV relativeFrom="paragraph">
              <wp:posOffset>168910</wp:posOffset>
            </wp:positionV>
            <wp:extent cx="5184000" cy="2390400"/>
            <wp:effectExtent l="0" t="0" r="0" b="0"/>
            <wp:wrapTopAndBottom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VGGraph (2)_osvedceni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184000" cy="23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536">
        <w:rPr>
          <w:u w:val="single"/>
        </w:rPr>
        <w:t xml:space="preserve">  </w:t>
      </w:r>
    </w:p>
    <w:p w14:paraId="22D0223D" w14:textId="3BE0B81F" w:rsidR="00C95536" w:rsidRDefault="00C95536" w:rsidP="00C95536">
      <w:pPr>
        <w:pStyle w:val="Nadpis1"/>
      </w:pPr>
      <w:r>
        <w:lastRenderedPageBreak/>
        <w:t>Příloha 2 – UC / proces: Povolovací řízení</w:t>
      </w:r>
    </w:p>
    <w:p w14:paraId="41DBBF7E" w14:textId="77777777" w:rsidR="00C95536" w:rsidRDefault="00C95536" w:rsidP="00C95536">
      <w:pPr>
        <w:contextualSpacing/>
      </w:pPr>
      <w:r w:rsidRPr="00C95536">
        <w:rPr>
          <w:u w:val="single"/>
        </w:rPr>
        <w:t>Zákonné a podzákonné požadavky:</w:t>
      </w:r>
    </w:p>
    <w:p w14:paraId="264E1ADE" w14:textId="5B9DA65E" w:rsidR="00C95536" w:rsidRDefault="00C95536" w:rsidP="00C95536">
      <w:r>
        <w:t>Ochrana přírody dle § 83 aj. zákona č. 114/1992 Sb. (</w:t>
      </w:r>
      <w:proofErr w:type="spellStart"/>
      <w:r>
        <w:t>vyh</w:t>
      </w:r>
      <w:proofErr w:type="spellEnd"/>
      <w:r>
        <w:t>. č. 189/2013 Sb., o ochraně dřevin a</w:t>
      </w:r>
      <w:r w:rsidR="003045AC">
        <w:t> </w:t>
      </w:r>
      <w:r>
        <w:t>povolování jejich kácení - §4</w:t>
      </w:r>
    </w:p>
    <w:p w14:paraId="1D69852D" w14:textId="77777777" w:rsidR="00C95536" w:rsidRPr="00C95536" w:rsidRDefault="00C95536" w:rsidP="00C95536">
      <w:pPr>
        <w:contextualSpacing/>
        <w:rPr>
          <w:u w:val="single"/>
        </w:rPr>
      </w:pPr>
      <w:r w:rsidRPr="00C95536">
        <w:rPr>
          <w:u w:val="single"/>
        </w:rPr>
        <w:t>Základní východiska:</w:t>
      </w:r>
    </w:p>
    <w:p w14:paraId="7426D09B" w14:textId="2012C15A" w:rsidR="00C95536" w:rsidRDefault="00C95536" w:rsidP="00C95536">
      <w:r>
        <w:t>Existují právní omezení pro aktivity v daném území a podnikatelské či osobní záměry. Rozhodnutí o</w:t>
      </w:r>
      <w:r w:rsidR="003045AC">
        <w:t> </w:t>
      </w:r>
      <w:bookmarkStart w:id="6" w:name="_GoBack"/>
      <w:bookmarkEnd w:id="6"/>
      <w:r>
        <w:t>jejich realizaci řeší příslušné státní orgány.</w:t>
      </w:r>
    </w:p>
    <w:p w14:paraId="101DD288" w14:textId="77777777" w:rsidR="00C95536" w:rsidRDefault="00C95536" w:rsidP="00C95536">
      <w:pPr>
        <w:contextualSpacing/>
      </w:pPr>
      <w:r w:rsidRPr="00C95536">
        <w:rPr>
          <w:u w:val="single"/>
        </w:rPr>
        <w:t>Obecný popis procesu získání povolení:</w:t>
      </w:r>
    </w:p>
    <w:p w14:paraId="63226792" w14:textId="77777777" w:rsidR="00C95536" w:rsidRPr="00C95536" w:rsidRDefault="00C95536" w:rsidP="00392F57">
      <w:pPr>
        <w:spacing w:after="0"/>
        <w:rPr>
          <w:i/>
          <w:iCs/>
        </w:rPr>
      </w:pPr>
      <w:r w:rsidRPr="00C95536">
        <w:rPr>
          <w:i/>
          <w:iCs/>
        </w:rPr>
        <w:t>Fakta:</w:t>
      </w:r>
    </w:p>
    <w:p w14:paraId="39EC46C6" w14:textId="7FD57C78" w:rsidR="00C95536" w:rsidRDefault="00C95536" w:rsidP="00C95536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existuje záměr občana či podnikatelského subjektu,</w:t>
      </w:r>
    </w:p>
    <w:p w14:paraId="3863E1A3" w14:textId="0BD945E1" w:rsidR="00C95536" w:rsidRDefault="00C95536" w:rsidP="00C95536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existuje objektivní situace k předmětnému posouzení</w:t>
      </w:r>
    </w:p>
    <w:p w14:paraId="6AD3FD88" w14:textId="11086863" w:rsidR="00C95536" w:rsidRDefault="00C95536" w:rsidP="00C95536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existuje prostředí ÚEP, které umožní požadavek zpracovat,</w:t>
      </w:r>
    </w:p>
    <w:p w14:paraId="61B24A02" w14:textId="2DBFE514" w:rsidR="00C95536" w:rsidRDefault="00C95536" w:rsidP="00C95536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existuje mechanismus získání povolení (žádost – podklady k žádosti – platba případných poplatků – schvalovací řízení (</w:t>
      </w:r>
      <w:r w:rsidR="000E2AA7">
        <w:t xml:space="preserve">nebo </w:t>
      </w:r>
      <w:r>
        <w:t xml:space="preserve">přezkum) </w:t>
      </w:r>
      <w:r w:rsidR="000E2AA7">
        <w:t>a</w:t>
      </w:r>
      <w:r>
        <w:t xml:space="preserve"> povolení),</w:t>
      </w:r>
    </w:p>
    <w:p w14:paraId="0FCE1575" w14:textId="214048FC" w:rsidR="00C95536" w:rsidRDefault="00C95536" w:rsidP="00C95536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existují pravidla územního rozvoje či územní ochrany, poplatky, lhůty, sezónní omezení,</w:t>
      </w:r>
    </w:p>
    <w:p w14:paraId="7019DE1A" w14:textId="7728789E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 w:val="0"/>
      </w:pPr>
      <w:r>
        <w:t>existují role a povinnosti účastníků procesu</w:t>
      </w:r>
      <w:r w:rsidR="000E2AA7">
        <w:t>.</w:t>
      </w:r>
    </w:p>
    <w:p w14:paraId="2B6A78EB" w14:textId="77777777" w:rsidR="00C95536" w:rsidRDefault="00C95536" w:rsidP="00392F57">
      <w:pPr>
        <w:spacing w:after="0"/>
      </w:pPr>
      <w:r>
        <w:t>Průběh:</w:t>
      </w:r>
    </w:p>
    <w:p w14:paraId="2EAD9162" w14:textId="3988FA5A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identifikace žádosti,</w:t>
      </w:r>
    </w:p>
    <w:p w14:paraId="53AF376A" w14:textId="2C9563F9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lokalizace předmětu žádosti,</w:t>
      </w:r>
    </w:p>
    <w:p w14:paraId="03EDBD0C" w14:textId="15096824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shromáždění podkladů k žádosti,</w:t>
      </w:r>
    </w:p>
    <w:p w14:paraId="527A192D" w14:textId="2F442FB0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zaplacení příslušného poplatku – finanční kompenzace,</w:t>
      </w:r>
    </w:p>
    <w:p w14:paraId="3124A672" w14:textId="4F55BD61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rozhodovací řízení o udělení povolení / přezkum odvolání</w:t>
      </w:r>
    </w:p>
    <w:p w14:paraId="661227BF" w14:textId="1DA3778B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výsledek řízení,</w:t>
      </w:r>
    </w:p>
    <w:p w14:paraId="618BBD66" w14:textId="3232675D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podmínky platnosti povolení</w:t>
      </w:r>
    </w:p>
    <w:p w14:paraId="48EDEB4A" w14:textId="673F6531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předání výsledku,</w:t>
      </w:r>
    </w:p>
    <w:p w14:paraId="6A684BAC" w14:textId="2B20F35B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evidování výsledku,</w:t>
      </w:r>
    </w:p>
    <w:p w14:paraId="3E2C04DD" w14:textId="5A579B75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/>
        <w:ind w:left="714" w:hanging="357"/>
      </w:pPr>
      <w:r>
        <w:t>opravné prostředky,</w:t>
      </w:r>
    </w:p>
    <w:p w14:paraId="39C36408" w14:textId="6DF3B889" w:rsidR="00C95536" w:rsidRDefault="00C95536" w:rsidP="000E2AA7">
      <w:pPr>
        <w:pStyle w:val="Odstavecseseznamem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714" w:hanging="357"/>
        <w:contextualSpacing w:val="0"/>
      </w:pPr>
      <w:r>
        <w:tab/>
        <w:t>prezentace výsledků řízení na příslušném portále pro danou oblast.</w:t>
      </w:r>
    </w:p>
    <w:p w14:paraId="17E16744" w14:textId="77777777" w:rsidR="00C95536" w:rsidRDefault="00C95536" w:rsidP="00C95536">
      <w:pPr>
        <w:contextualSpacing/>
      </w:pPr>
      <w:r w:rsidRPr="000E2AA7">
        <w:rPr>
          <w:u w:val="single"/>
        </w:rPr>
        <w:t>Procesy/scénáře Získání osvědčení:</w:t>
      </w:r>
    </w:p>
    <w:p w14:paraId="3D4365CF" w14:textId="77777777" w:rsidR="00C95536" w:rsidRDefault="00C95536" w:rsidP="00C95536">
      <w:r>
        <w:t xml:space="preserve">Vzhledem k neukončenému legislativnímu procesu, není zatím podrobné schéma zvoleného řízení uvedeno. </w:t>
      </w:r>
    </w:p>
    <w:p w14:paraId="5DA58253" w14:textId="21AA306F" w:rsidR="00C95536" w:rsidRDefault="00C95536" w:rsidP="00C95536">
      <w:r>
        <w:t xml:space="preserve">Zpracovaným příkladem povolovacího řízení je „Povolení ke kácení dřevin“. V textové podobě je uvedeno na </w:t>
      </w:r>
      <w:r w:rsidR="000E2AA7">
        <w:t>P</w:t>
      </w:r>
      <w:r>
        <w:t xml:space="preserve">VS: </w:t>
      </w:r>
      <w:hyperlink r:id="rId16" w:history="1">
        <w:r w:rsidR="000E2AA7" w:rsidRPr="00536FE1">
          <w:rPr>
            <w:rStyle w:val="Hypertextovodkaz"/>
          </w:rPr>
          <w:t>https://portal.gov.cz/sluzby-vs/povoleni-kaceni-drevin-rostoucich-mimo-les-S7222</w:t>
        </w:r>
      </w:hyperlink>
      <w:r w:rsidR="000E2AA7">
        <w:t xml:space="preserve"> </w:t>
      </w:r>
    </w:p>
    <w:p w14:paraId="3A669B12" w14:textId="77777777" w:rsidR="000E2AA7" w:rsidRDefault="00C95536" w:rsidP="000E2AA7">
      <w:pPr>
        <w:contextualSpacing/>
      </w:pPr>
      <w:r>
        <w:t>A dále podrobně popsáno v metodickém pokynu MŽP:</w:t>
      </w:r>
    </w:p>
    <w:p w14:paraId="7C20C595" w14:textId="0E2DB727" w:rsidR="000E2AA7" w:rsidRPr="00C95536" w:rsidRDefault="00A03E16" w:rsidP="000E2AA7">
      <w:pPr>
        <w:spacing w:before="0"/>
      </w:pPr>
      <w:hyperlink r:id="rId17" w:history="1">
        <w:r w:rsidR="000E2AA7" w:rsidRPr="00536FE1">
          <w:rPr>
            <w:rStyle w:val="Hypertextovodkaz"/>
          </w:rPr>
          <w:t>https://www.mzp.cz/C1257458002F0DC7/cz/vestnik_mzp_2020/$FILE/SOTPR-Vestnik_leden-200131.pdf</w:t>
        </w:r>
      </w:hyperlink>
    </w:p>
    <w:sectPr w:rsidR="000E2AA7" w:rsidRPr="00C95536">
      <w:headerReference w:type="default" r:id="rId18"/>
      <w:footerReference w:type="default" r:id="rId19"/>
      <w:pgSz w:w="11906" w:h="16838"/>
      <w:pgMar w:top="1417" w:right="1417" w:bottom="1390" w:left="1417" w:header="568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4CD7" w14:textId="77777777" w:rsidR="00A03E16" w:rsidRDefault="00A03E16">
      <w:pPr>
        <w:spacing w:before="0" w:after="0"/>
      </w:pPr>
      <w:r>
        <w:separator/>
      </w:r>
    </w:p>
  </w:endnote>
  <w:endnote w:type="continuationSeparator" w:id="0">
    <w:p w14:paraId="2EF3D9F4" w14:textId="77777777" w:rsidR="00A03E16" w:rsidRDefault="00A03E16">
      <w:pPr>
        <w:spacing w:before="0" w:after="0"/>
      </w:pPr>
      <w:r>
        <w:continuationSeparator/>
      </w:r>
    </w:p>
  </w:endnote>
  <w:endnote w:type="continuationNotice" w:id="1">
    <w:p w14:paraId="194613BA" w14:textId="77777777" w:rsidR="00A03E16" w:rsidRDefault="00A03E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JhengHe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0998" w14:textId="77777777" w:rsidR="004625CF" w:rsidRDefault="007239F7"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eastAsia="Arial" w:hAnsiTheme="majorHAnsi" w:cstheme="majorHAnsi"/>
        <w:sz w:val="20"/>
        <w:szCs w:val="20"/>
      </w:rPr>
      <w:t xml:space="preserve">str.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>PAGE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001EDE">
      <w:rPr>
        <w:rFonts w:asciiTheme="majorHAnsi" w:hAnsiTheme="majorHAnsi" w:cstheme="majorHAnsi"/>
        <w:noProof/>
        <w:sz w:val="20"/>
        <w:szCs w:val="20"/>
      </w:rPr>
      <w:t>1</w:t>
    </w:r>
    <w:r>
      <w:rPr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eastAsia="Arial" w:hAnsiTheme="majorHAnsi" w:cstheme="majorHAnsi"/>
        <w:sz w:val="20"/>
        <w:szCs w:val="20"/>
      </w:rPr>
      <w:t xml:space="preserve"> /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>NUMPAGES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001EDE">
      <w:rPr>
        <w:rFonts w:asciiTheme="majorHAnsi" w:hAnsiTheme="majorHAnsi" w:cstheme="majorHAnsi"/>
        <w:noProof/>
        <w:sz w:val="20"/>
        <w:szCs w:val="20"/>
      </w:rPr>
      <w:t>9</w:t>
    </w:r>
    <w:r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FB33" w14:textId="77777777" w:rsidR="00A03E16" w:rsidRDefault="00A03E16">
      <w:pPr>
        <w:spacing w:before="0" w:after="0"/>
      </w:pPr>
      <w:r>
        <w:separator/>
      </w:r>
    </w:p>
  </w:footnote>
  <w:footnote w:type="continuationSeparator" w:id="0">
    <w:p w14:paraId="3C00DEC5" w14:textId="77777777" w:rsidR="00A03E16" w:rsidRDefault="00A03E16">
      <w:pPr>
        <w:spacing w:before="0" w:after="0"/>
      </w:pPr>
      <w:r>
        <w:continuationSeparator/>
      </w:r>
    </w:p>
  </w:footnote>
  <w:footnote w:type="continuationNotice" w:id="1">
    <w:p w14:paraId="22FBFD50" w14:textId="77777777" w:rsidR="00A03E16" w:rsidRDefault="00A03E16">
      <w:pPr>
        <w:spacing w:before="0" w:after="0"/>
      </w:pPr>
    </w:p>
  </w:footnote>
  <w:footnote w:id="2">
    <w:p w14:paraId="30EEFC45" w14:textId="77777777" w:rsidR="004625CF" w:rsidRDefault="007239F7">
      <w:pPr>
        <w:pStyle w:val="Textpoznpodarou"/>
      </w:pPr>
      <w:r>
        <w:rPr>
          <w:rStyle w:val="Znakapoznpodarou"/>
        </w:rPr>
        <w:footnoteRef/>
      </w:r>
      <w:r>
        <w:t xml:space="preserve"> Tento modul dále zprostředkovává přímou integraci s tzv. Propojeným datovým fondem reprezentovaným ISSS (neboli </w:t>
      </w:r>
      <w:proofErr w:type="spellStart"/>
      <w:r>
        <w:t>eGSB</w:t>
      </w:r>
      <w:proofErr w:type="spellEnd"/>
      <w:r>
        <w:t xml:space="preserve"> jako integračním nástrojem eGovernmentu) pro potřeby úplného elektronického podání a vyřízení v rámci on-line služeb MŽP a volitelně i RO ŽP. Řešení musí být připraveno pro napojení IS (AIS/ISVS) rezortních organizací ŽP, jež budou napojovány postupně v etapě rozvoje.</w:t>
      </w:r>
    </w:p>
  </w:footnote>
  <w:footnote w:id="3">
    <w:p w14:paraId="5B50BE54" w14:textId="77777777" w:rsidR="004625CF" w:rsidRDefault="007239F7">
      <w:pPr>
        <w:pStyle w:val="Textpoznpodarou"/>
      </w:pPr>
      <w:r>
        <w:rPr>
          <w:rStyle w:val="Znakapoznpodarou"/>
        </w:rPr>
        <w:footnoteRef/>
      </w:r>
      <w:r>
        <w:t xml:space="preserve"> Elektronický systém spisové služby (ESSS), Identity and Access Management (IAM), Centrální registr ŽP (CRZP), Integrovaný systém plnění ohlašovacích povinností (ISPOP) a další agendové nebo provozní IS.</w:t>
      </w:r>
    </w:p>
  </w:footnote>
  <w:footnote w:id="4">
    <w:p w14:paraId="43A27F7F" w14:textId="77777777" w:rsidR="004625CF" w:rsidRDefault="007239F7">
      <w:pPr>
        <w:pStyle w:val="Textpoznpodarou"/>
      </w:pPr>
      <w:r>
        <w:rPr>
          <w:rStyle w:val="Znakapoznpodarou"/>
        </w:rPr>
        <w:footnoteRef/>
      </w:r>
      <w:r>
        <w:t xml:space="preserve"> Informační koncepce ČR: </w:t>
      </w:r>
      <w:hyperlink r:id="rId1" w:tooltip="https://archi.gov.cz/ikcr" w:history="1">
        <w:r>
          <w:rPr>
            <w:rStyle w:val="Hypertextovodkaz"/>
          </w:rPr>
          <w:t>https://archi.gov.cz/ikcr</w:t>
        </w:r>
      </w:hyperlink>
      <w:r>
        <w:t xml:space="preserve">. </w:t>
      </w:r>
    </w:p>
  </w:footnote>
  <w:footnote w:id="5">
    <w:p w14:paraId="4C0202F4" w14:textId="77777777" w:rsidR="004625CF" w:rsidRDefault="007239F7">
      <w:pPr>
        <w:pStyle w:val="Textpoznpodarou"/>
      </w:pPr>
      <w:r>
        <w:rPr>
          <w:rStyle w:val="Znakapoznpodarou"/>
        </w:rPr>
        <w:footnoteRef/>
      </w:r>
      <w:r>
        <w:t xml:space="preserve"> Viz definice a informace na: </w:t>
      </w:r>
      <w:hyperlink r:id="rId2" w:tooltip="https://www.w3.org/community/xformsusers/wiki/XForms_2.0" w:history="1">
        <w:r>
          <w:rPr>
            <w:rStyle w:val="Hypertextovodkaz"/>
          </w:rPr>
          <w:t>https://www.w3.org/community/xformsusers/wiki/XForms_2.0</w:t>
        </w:r>
      </w:hyperlink>
      <w:r>
        <w:t>.</w:t>
      </w:r>
    </w:p>
  </w:footnote>
  <w:footnote w:id="6">
    <w:p w14:paraId="04381FFD" w14:textId="77777777" w:rsidR="004625CF" w:rsidRDefault="007239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/>
          <w:bCs/>
        </w:rPr>
        <w:t>Etapa III. musí, s ohledem na čerpání finančních zdrojů z programu NPO, skončit nejpozději 30. 09. 2025</w:t>
      </w:r>
      <w:r>
        <w:t xml:space="preserve">. </w:t>
      </w:r>
    </w:p>
    <w:p w14:paraId="782FDC1D" w14:textId="77777777" w:rsidR="004625CF" w:rsidRDefault="007239F7">
      <w:pPr>
        <w:pStyle w:val="Textpoznpodarou"/>
      </w:pPr>
      <w:r>
        <w:t>Pokud si myslíte, že by harmonogram a jeho obsah (kap. 1.1) mohl (měl) být strukturovaný jinak, prosím uveďte váš návrh.</w:t>
      </w:r>
    </w:p>
  </w:footnote>
  <w:footnote w:id="7">
    <w:p w14:paraId="5F1C2F02" w14:textId="3115E5A9" w:rsidR="004625CF" w:rsidRDefault="007239F7">
      <w:pPr>
        <w:pStyle w:val="Textpoznpodarou"/>
      </w:pPr>
      <w:r>
        <w:rPr>
          <w:rStyle w:val="Znakapoznpodarou"/>
        </w:rPr>
        <w:footnoteRef/>
      </w:r>
      <w:r>
        <w:t xml:space="preserve"> Tabulka je v příloze této výzvy jako samostatný excelový soubor</w:t>
      </w:r>
      <w:r w:rsidR="00C968D7">
        <w:t>.</w:t>
      </w:r>
      <w:r>
        <w:t xml:space="preserve"> Prosíme o vyplnění excel souboru a jeho zaslaní zpět. V excel souboru jsou </w:t>
      </w:r>
      <w:r w:rsidR="006D2027">
        <w:t>vzorce (buňky s modrým textem) – uzamčená</w:t>
      </w:r>
      <w:r w:rsidR="00C968D7">
        <w:t xml:space="preserve"> </w:t>
      </w:r>
      <w:r>
        <w:t>pole.</w:t>
      </w:r>
    </w:p>
  </w:footnote>
  <w:footnote w:id="8">
    <w:p w14:paraId="78B90E9A" w14:textId="425CFDF9" w:rsidR="008C7D92" w:rsidRDefault="008C7D92">
      <w:pPr>
        <w:pStyle w:val="Textpoznpodarou"/>
      </w:pPr>
      <w:r>
        <w:rPr>
          <w:rStyle w:val="Znakapoznpodarou"/>
        </w:rPr>
        <w:footnoteRef/>
      </w:r>
      <w:r>
        <w:t xml:space="preserve"> Typ dokladu: </w:t>
      </w:r>
      <w:r w:rsidR="003735B6">
        <w:t xml:space="preserve">osvědčení, </w:t>
      </w:r>
      <w:r>
        <w:t>autorizace, atest,</w:t>
      </w:r>
      <w:r w:rsidR="003735B6" w:rsidRPr="003735B6">
        <w:t xml:space="preserve"> </w:t>
      </w:r>
      <w:r w:rsidR="003735B6">
        <w:t>certifikát,</w:t>
      </w:r>
      <w:r>
        <w:t xml:space="preserve"> pověření, oprávnění, povolení, rozhodnutí</w:t>
      </w:r>
      <w:r w:rsidR="00DF10C5"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514D" w14:textId="77777777" w:rsidR="004625CF" w:rsidRDefault="004625CF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76" w:lineRule="auto"/>
      <w:jc w:val="left"/>
      <w:rPr>
        <w:sz w:val="16"/>
      </w:rPr>
    </w:pPr>
  </w:p>
  <w:tbl>
    <w:tblPr>
      <w:tblStyle w:val="1"/>
      <w:tblW w:w="9214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214"/>
    </w:tblGrid>
    <w:tr w:rsidR="004625CF" w14:paraId="1DDCF4CF" w14:textId="77777777">
      <w:trPr>
        <w:trHeight w:val="540"/>
      </w:trPr>
      <w:tc>
        <w:tcPr>
          <w:tcW w:w="921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shd w:val="clear" w:color="auto" w:fill="auto"/>
        </w:tcPr>
        <w:p w14:paraId="0979B9E3" w14:textId="77777777" w:rsidR="004625CF" w:rsidRDefault="007239F7">
          <w:pPr>
            <w:tabs>
              <w:tab w:val="left" w:pos="2204"/>
            </w:tabs>
            <w:spacing w:before="240" w:after="24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Výzva k poskytnutí informací v rámci průzkumu trhu</w:t>
          </w:r>
        </w:p>
      </w:tc>
    </w:tr>
  </w:tbl>
  <w:p w14:paraId="40A87DA5" w14:textId="77777777" w:rsidR="004625CF" w:rsidRDefault="004625CF">
    <w:pPr>
      <w:tabs>
        <w:tab w:val="left" w:pos="2204"/>
      </w:tabs>
      <w:jc w:val="right"/>
      <w:rPr>
        <w:rFonts w:ascii="Arial" w:eastAsia="Arial" w:hAnsi="Arial"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4D1"/>
    <w:multiLevelType w:val="hybridMultilevel"/>
    <w:tmpl w:val="E1F86A56"/>
    <w:lvl w:ilvl="0" w:tplc="F86E54B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11296BA">
      <w:start w:val="1"/>
      <w:numFmt w:val="decimal"/>
      <w:lvlText w:val="%2."/>
      <w:lvlJc w:val="left"/>
      <w:pPr>
        <w:ind w:left="1440" w:hanging="360"/>
      </w:pPr>
      <w:rPr>
        <w:sz w:val="20"/>
        <w:szCs w:val="22"/>
      </w:rPr>
    </w:lvl>
    <w:lvl w:ilvl="2" w:tplc="FF7E250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166F16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80D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C005D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A0A81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C1CC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49AFE4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4724C"/>
    <w:multiLevelType w:val="hybridMultilevel"/>
    <w:tmpl w:val="61962C26"/>
    <w:lvl w:ilvl="0" w:tplc="FED6FE08">
      <w:start w:val="1"/>
      <w:numFmt w:val="upperLetter"/>
      <w:lvlText w:val="%1."/>
      <w:lvlJc w:val="left"/>
      <w:pPr>
        <w:ind w:left="720" w:hanging="360"/>
      </w:pPr>
    </w:lvl>
    <w:lvl w:ilvl="1" w:tplc="320EA8EE">
      <w:start w:val="1"/>
      <w:numFmt w:val="lowerLetter"/>
      <w:lvlText w:val="%2."/>
      <w:lvlJc w:val="left"/>
      <w:pPr>
        <w:ind w:left="1440" w:hanging="360"/>
      </w:pPr>
    </w:lvl>
    <w:lvl w:ilvl="2" w:tplc="57500C9E">
      <w:start w:val="1"/>
      <w:numFmt w:val="lowerRoman"/>
      <w:lvlText w:val="%3."/>
      <w:lvlJc w:val="right"/>
      <w:pPr>
        <w:ind w:left="2160" w:hanging="180"/>
      </w:pPr>
    </w:lvl>
    <w:lvl w:ilvl="3" w:tplc="5C2422F2">
      <w:start w:val="1"/>
      <w:numFmt w:val="decimal"/>
      <w:lvlText w:val="%4."/>
      <w:lvlJc w:val="left"/>
      <w:pPr>
        <w:ind w:left="2880" w:hanging="360"/>
      </w:pPr>
    </w:lvl>
    <w:lvl w:ilvl="4" w:tplc="2982A9AE">
      <w:start w:val="1"/>
      <w:numFmt w:val="lowerLetter"/>
      <w:lvlText w:val="%5."/>
      <w:lvlJc w:val="left"/>
      <w:pPr>
        <w:ind w:left="3600" w:hanging="360"/>
      </w:pPr>
    </w:lvl>
    <w:lvl w:ilvl="5" w:tplc="F9EEAB96">
      <w:start w:val="1"/>
      <w:numFmt w:val="lowerRoman"/>
      <w:lvlText w:val="%6."/>
      <w:lvlJc w:val="right"/>
      <w:pPr>
        <w:ind w:left="4320" w:hanging="180"/>
      </w:pPr>
    </w:lvl>
    <w:lvl w:ilvl="6" w:tplc="142E7C68">
      <w:start w:val="1"/>
      <w:numFmt w:val="decimal"/>
      <w:lvlText w:val="%7."/>
      <w:lvlJc w:val="left"/>
      <w:pPr>
        <w:ind w:left="5040" w:hanging="360"/>
      </w:pPr>
    </w:lvl>
    <w:lvl w:ilvl="7" w:tplc="32BA82B8">
      <w:start w:val="1"/>
      <w:numFmt w:val="lowerLetter"/>
      <w:lvlText w:val="%8."/>
      <w:lvlJc w:val="left"/>
      <w:pPr>
        <w:ind w:left="5760" w:hanging="360"/>
      </w:pPr>
    </w:lvl>
    <w:lvl w:ilvl="8" w:tplc="3B06D6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59F"/>
    <w:multiLevelType w:val="hybridMultilevel"/>
    <w:tmpl w:val="BB3A5544"/>
    <w:lvl w:ilvl="0" w:tplc="6AFE1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36F7CC">
      <w:start w:val="1"/>
      <w:numFmt w:val="lowerLetter"/>
      <w:lvlText w:val="%2."/>
      <w:lvlJc w:val="left"/>
      <w:pPr>
        <w:ind w:left="1440" w:hanging="360"/>
      </w:pPr>
    </w:lvl>
    <w:lvl w:ilvl="2" w:tplc="D1928058">
      <w:start w:val="1"/>
      <w:numFmt w:val="lowerRoman"/>
      <w:lvlText w:val="%3."/>
      <w:lvlJc w:val="right"/>
      <w:pPr>
        <w:ind w:left="2160" w:hanging="180"/>
      </w:pPr>
    </w:lvl>
    <w:lvl w:ilvl="3" w:tplc="4C90C136">
      <w:start w:val="1"/>
      <w:numFmt w:val="decimal"/>
      <w:lvlText w:val="%4."/>
      <w:lvlJc w:val="left"/>
      <w:pPr>
        <w:ind w:left="2880" w:hanging="360"/>
      </w:pPr>
    </w:lvl>
    <w:lvl w:ilvl="4" w:tplc="E66ECB16">
      <w:start w:val="1"/>
      <w:numFmt w:val="lowerLetter"/>
      <w:lvlText w:val="%5."/>
      <w:lvlJc w:val="left"/>
      <w:pPr>
        <w:ind w:left="3600" w:hanging="360"/>
      </w:pPr>
    </w:lvl>
    <w:lvl w:ilvl="5" w:tplc="B2365638">
      <w:start w:val="1"/>
      <w:numFmt w:val="lowerRoman"/>
      <w:lvlText w:val="%6."/>
      <w:lvlJc w:val="right"/>
      <w:pPr>
        <w:ind w:left="4320" w:hanging="180"/>
      </w:pPr>
    </w:lvl>
    <w:lvl w:ilvl="6" w:tplc="02B40804">
      <w:start w:val="1"/>
      <w:numFmt w:val="decimal"/>
      <w:lvlText w:val="%7."/>
      <w:lvlJc w:val="left"/>
      <w:pPr>
        <w:ind w:left="5040" w:hanging="360"/>
      </w:pPr>
    </w:lvl>
    <w:lvl w:ilvl="7" w:tplc="DF403A4E">
      <w:start w:val="1"/>
      <w:numFmt w:val="lowerLetter"/>
      <w:lvlText w:val="%8."/>
      <w:lvlJc w:val="left"/>
      <w:pPr>
        <w:ind w:left="5760" w:hanging="360"/>
      </w:pPr>
    </w:lvl>
    <w:lvl w:ilvl="8" w:tplc="315E37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5C9"/>
    <w:multiLevelType w:val="hybridMultilevel"/>
    <w:tmpl w:val="C8526ED0"/>
    <w:lvl w:ilvl="0" w:tplc="C2EC89B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BBDA1B92">
      <w:start w:val="1"/>
      <w:numFmt w:val="lowerLetter"/>
      <w:lvlText w:val="%2."/>
      <w:lvlJc w:val="left"/>
      <w:pPr>
        <w:ind w:left="1440" w:hanging="360"/>
      </w:pPr>
    </w:lvl>
    <w:lvl w:ilvl="2" w:tplc="207CAB3C">
      <w:start w:val="1"/>
      <w:numFmt w:val="lowerRoman"/>
      <w:lvlText w:val="%3."/>
      <w:lvlJc w:val="right"/>
      <w:pPr>
        <w:ind w:left="2160" w:hanging="180"/>
      </w:pPr>
    </w:lvl>
    <w:lvl w:ilvl="3" w:tplc="CAD00302">
      <w:start w:val="1"/>
      <w:numFmt w:val="decimal"/>
      <w:lvlText w:val="%4."/>
      <w:lvlJc w:val="left"/>
      <w:pPr>
        <w:ind w:left="2880" w:hanging="360"/>
      </w:pPr>
    </w:lvl>
    <w:lvl w:ilvl="4" w:tplc="D430B2E0">
      <w:start w:val="1"/>
      <w:numFmt w:val="lowerLetter"/>
      <w:lvlText w:val="%5."/>
      <w:lvlJc w:val="left"/>
      <w:pPr>
        <w:ind w:left="3600" w:hanging="360"/>
      </w:pPr>
    </w:lvl>
    <w:lvl w:ilvl="5" w:tplc="E08E6B46">
      <w:start w:val="1"/>
      <w:numFmt w:val="lowerRoman"/>
      <w:lvlText w:val="%6."/>
      <w:lvlJc w:val="right"/>
      <w:pPr>
        <w:ind w:left="4320" w:hanging="180"/>
      </w:pPr>
    </w:lvl>
    <w:lvl w:ilvl="6" w:tplc="B712D314">
      <w:start w:val="1"/>
      <w:numFmt w:val="decimal"/>
      <w:lvlText w:val="%7."/>
      <w:lvlJc w:val="left"/>
      <w:pPr>
        <w:ind w:left="5040" w:hanging="360"/>
      </w:pPr>
    </w:lvl>
    <w:lvl w:ilvl="7" w:tplc="591863DE">
      <w:start w:val="1"/>
      <w:numFmt w:val="lowerLetter"/>
      <w:lvlText w:val="%8."/>
      <w:lvlJc w:val="left"/>
      <w:pPr>
        <w:ind w:left="5760" w:hanging="360"/>
      </w:pPr>
    </w:lvl>
    <w:lvl w:ilvl="8" w:tplc="90F68F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931"/>
    <w:multiLevelType w:val="hybridMultilevel"/>
    <w:tmpl w:val="5E3EE8B0"/>
    <w:lvl w:ilvl="0" w:tplc="61C42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46AF2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0FD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68D9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3EA3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7EB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3AE0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0AC5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64A4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BEF479F"/>
    <w:multiLevelType w:val="hybridMultilevel"/>
    <w:tmpl w:val="DAB6FAA2"/>
    <w:lvl w:ilvl="0" w:tplc="A612889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7D82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08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8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E85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69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B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82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42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0230"/>
    <w:multiLevelType w:val="hybridMultilevel"/>
    <w:tmpl w:val="57A0175C"/>
    <w:lvl w:ilvl="0" w:tplc="8206A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2A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8C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63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22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80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2F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2D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6A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04C6"/>
    <w:multiLevelType w:val="hybridMultilevel"/>
    <w:tmpl w:val="AD02C0DE"/>
    <w:lvl w:ilvl="0" w:tplc="8F4826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B20A8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D851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52D8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6228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A0F6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EC2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0641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7653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7B51445"/>
    <w:multiLevelType w:val="hybridMultilevel"/>
    <w:tmpl w:val="8E8870C8"/>
    <w:lvl w:ilvl="0" w:tplc="46B4F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05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02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4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E3A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8B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07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AD2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6B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19A9"/>
    <w:multiLevelType w:val="hybridMultilevel"/>
    <w:tmpl w:val="470ADA4A"/>
    <w:lvl w:ilvl="0" w:tplc="D180BEB4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AE02F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6F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8B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A6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A3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B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C6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1EC3"/>
    <w:multiLevelType w:val="hybridMultilevel"/>
    <w:tmpl w:val="CC92B2DC"/>
    <w:lvl w:ilvl="0" w:tplc="3BFA6256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 w:tplc="F7FADE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196767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83A56C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F1AA1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09810C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9D8F3B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3FC3E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6CA17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AE15D4"/>
    <w:multiLevelType w:val="hybridMultilevel"/>
    <w:tmpl w:val="45C60B86"/>
    <w:lvl w:ilvl="0" w:tplc="7B3666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00CDB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490E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4E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CD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2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A1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41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1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D78"/>
    <w:multiLevelType w:val="hybridMultilevel"/>
    <w:tmpl w:val="62689588"/>
    <w:lvl w:ilvl="0" w:tplc="F8D6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4E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64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25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0F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25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25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E3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82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34E8A"/>
    <w:multiLevelType w:val="hybridMultilevel"/>
    <w:tmpl w:val="AC8641EC"/>
    <w:lvl w:ilvl="0" w:tplc="820ED7A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DD0E0886">
      <w:start w:val="1"/>
      <w:numFmt w:val="lowerLetter"/>
      <w:lvlText w:val="%2."/>
      <w:lvlJc w:val="left"/>
      <w:pPr>
        <w:ind w:left="1440" w:hanging="360"/>
      </w:pPr>
    </w:lvl>
    <w:lvl w:ilvl="2" w:tplc="78664DA6">
      <w:start w:val="1"/>
      <w:numFmt w:val="lowerRoman"/>
      <w:lvlText w:val="%3."/>
      <w:lvlJc w:val="right"/>
      <w:pPr>
        <w:ind w:left="2160" w:hanging="180"/>
      </w:pPr>
    </w:lvl>
    <w:lvl w:ilvl="3" w:tplc="7292EF96">
      <w:start w:val="1"/>
      <w:numFmt w:val="decimal"/>
      <w:lvlText w:val="%4."/>
      <w:lvlJc w:val="left"/>
      <w:pPr>
        <w:ind w:left="2880" w:hanging="360"/>
      </w:pPr>
    </w:lvl>
    <w:lvl w:ilvl="4" w:tplc="D5A8108A">
      <w:start w:val="1"/>
      <w:numFmt w:val="lowerLetter"/>
      <w:lvlText w:val="%5."/>
      <w:lvlJc w:val="left"/>
      <w:pPr>
        <w:ind w:left="3600" w:hanging="360"/>
      </w:pPr>
    </w:lvl>
    <w:lvl w:ilvl="5" w:tplc="F0CC595E">
      <w:start w:val="1"/>
      <w:numFmt w:val="lowerRoman"/>
      <w:lvlText w:val="%6."/>
      <w:lvlJc w:val="right"/>
      <w:pPr>
        <w:ind w:left="4320" w:hanging="180"/>
      </w:pPr>
    </w:lvl>
    <w:lvl w:ilvl="6" w:tplc="02083C8C">
      <w:start w:val="1"/>
      <w:numFmt w:val="decimal"/>
      <w:lvlText w:val="%7."/>
      <w:lvlJc w:val="left"/>
      <w:pPr>
        <w:ind w:left="5040" w:hanging="360"/>
      </w:pPr>
    </w:lvl>
    <w:lvl w:ilvl="7" w:tplc="42A40816">
      <w:start w:val="1"/>
      <w:numFmt w:val="lowerLetter"/>
      <w:lvlText w:val="%8."/>
      <w:lvlJc w:val="left"/>
      <w:pPr>
        <w:ind w:left="5760" w:hanging="360"/>
      </w:pPr>
    </w:lvl>
    <w:lvl w:ilvl="8" w:tplc="7AB849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6E5B"/>
    <w:multiLevelType w:val="hybridMultilevel"/>
    <w:tmpl w:val="BCB061DA"/>
    <w:lvl w:ilvl="0" w:tplc="59DE1BA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240429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AD8F3E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8B4CE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9F2E0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5F087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BBEC4C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6DED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7AA142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B325A2"/>
    <w:multiLevelType w:val="hybridMultilevel"/>
    <w:tmpl w:val="EA7EAA34"/>
    <w:lvl w:ilvl="0" w:tplc="166EC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A63C0"/>
    <w:multiLevelType w:val="hybridMultilevel"/>
    <w:tmpl w:val="2DDCCE08"/>
    <w:lvl w:ilvl="0" w:tplc="AEA21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8812AD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A4D7B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EF4D08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3A03A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4F47C2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4A8E92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D3C12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494C17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923134"/>
    <w:multiLevelType w:val="hybridMultilevel"/>
    <w:tmpl w:val="9A2E7580"/>
    <w:lvl w:ilvl="0" w:tplc="166EC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3B51"/>
    <w:multiLevelType w:val="hybridMultilevel"/>
    <w:tmpl w:val="BC8276FA"/>
    <w:lvl w:ilvl="0" w:tplc="B11ADDFC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8384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75AAE4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88E99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32421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CA7D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7840DE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BD056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DEE61E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1B5574"/>
    <w:multiLevelType w:val="hybridMultilevel"/>
    <w:tmpl w:val="2E5003A2"/>
    <w:lvl w:ilvl="0" w:tplc="B6AEAD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7683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567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21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0F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C2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C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67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40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C40E8"/>
    <w:multiLevelType w:val="multilevel"/>
    <w:tmpl w:val="D1B83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FC7D10"/>
    <w:multiLevelType w:val="hybridMultilevel"/>
    <w:tmpl w:val="45647F08"/>
    <w:lvl w:ilvl="0" w:tplc="B3A09F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5CA0492">
      <w:start w:val="1"/>
      <w:numFmt w:val="lowerLetter"/>
      <w:lvlText w:val="%2."/>
      <w:lvlJc w:val="left"/>
      <w:pPr>
        <w:ind w:left="1440" w:hanging="360"/>
      </w:pPr>
    </w:lvl>
    <w:lvl w:ilvl="2" w:tplc="98241CB2">
      <w:start w:val="1"/>
      <w:numFmt w:val="lowerRoman"/>
      <w:lvlText w:val="%3."/>
      <w:lvlJc w:val="right"/>
      <w:pPr>
        <w:ind w:left="2160" w:hanging="180"/>
      </w:pPr>
    </w:lvl>
    <w:lvl w:ilvl="3" w:tplc="1A7EBF6A">
      <w:start w:val="1"/>
      <w:numFmt w:val="decimal"/>
      <w:lvlText w:val="%4."/>
      <w:lvlJc w:val="left"/>
      <w:pPr>
        <w:ind w:left="2880" w:hanging="360"/>
      </w:pPr>
    </w:lvl>
    <w:lvl w:ilvl="4" w:tplc="E070EC9C">
      <w:start w:val="1"/>
      <w:numFmt w:val="lowerLetter"/>
      <w:lvlText w:val="%5."/>
      <w:lvlJc w:val="left"/>
      <w:pPr>
        <w:ind w:left="3600" w:hanging="360"/>
      </w:pPr>
    </w:lvl>
    <w:lvl w:ilvl="5" w:tplc="A74EEEEA">
      <w:start w:val="1"/>
      <w:numFmt w:val="lowerRoman"/>
      <w:lvlText w:val="%6."/>
      <w:lvlJc w:val="right"/>
      <w:pPr>
        <w:ind w:left="4320" w:hanging="180"/>
      </w:pPr>
    </w:lvl>
    <w:lvl w:ilvl="6" w:tplc="1C5080B4">
      <w:start w:val="1"/>
      <w:numFmt w:val="decimal"/>
      <w:lvlText w:val="%7."/>
      <w:lvlJc w:val="left"/>
      <w:pPr>
        <w:ind w:left="5040" w:hanging="360"/>
      </w:pPr>
    </w:lvl>
    <w:lvl w:ilvl="7" w:tplc="FC96972A">
      <w:start w:val="1"/>
      <w:numFmt w:val="lowerLetter"/>
      <w:lvlText w:val="%8."/>
      <w:lvlJc w:val="left"/>
      <w:pPr>
        <w:ind w:left="5760" w:hanging="360"/>
      </w:pPr>
    </w:lvl>
    <w:lvl w:ilvl="8" w:tplc="AF1AFE2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95DC0"/>
    <w:multiLevelType w:val="hybridMultilevel"/>
    <w:tmpl w:val="8FE48B90"/>
    <w:lvl w:ilvl="0" w:tplc="B164F91A">
      <w:start w:val="1"/>
      <w:numFmt w:val="bullet"/>
      <w:lvlText w:val="▪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 w:tplc="1EC845A2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DDF481C6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0A42E5BE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6B7C000E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9266DA30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1A36E5EE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7060A030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DBB8C5E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5D1A03"/>
    <w:multiLevelType w:val="hybridMultilevel"/>
    <w:tmpl w:val="36944C32"/>
    <w:lvl w:ilvl="0" w:tplc="B1F20D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7C03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6D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1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1E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4F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64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82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C4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F1B74"/>
    <w:multiLevelType w:val="hybridMultilevel"/>
    <w:tmpl w:val="B066DFBA"/>
    <w:lvl w:ilvl="0" w:tplc="81D671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3BCBB5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52A84A3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60290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6EEEB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3AA7F2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1AC93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46ED5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456921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18"/>
  </w:num>
  <w:num w:numId="6">
    <w:abstractNumId w:val="14"/>
  </w:num>
  <w:num w:numId="7">
    <w:abstractNumId w:val="22"/>
  </w:num>
  <w:num w:numId="8">
    <w:abstractNumId w:val="20"/>
  </w:num>
  <w:num w:numId="9">
    <w:abstractNumId w:val="24"/>
  </w:num>
  <w:num w:numId="10">
    <w:abstractNumId w:val="5"/>
  </w:num>
  <w:num w:numId="11">
    <w:abstractNumId w:val="2"/>
  </w:num>
  <w:num w:numId="12">
    <w:abstractNumId w:val="21"/>
  </w:num>
  <w:num w:numId="13">
    <w:abstractNumId w:val="20"/>
  </w:num>
  <w:num w:numId="14">
    <w:abstractNumId w:val="19"/>
  </w:num>
  <w:num w:numId="15">
    <w:abstractNumId w:val="1"/>
  </w:num>
  <w:num w:numId="16">
    <w:abstractNumId w:val="12"/>
  </w:num>
  <w:num w:numId="17">
    <w:abstractNumId w:val="11"/>
  </w:num>
  <w:num w:numId="18">
    <w:abstractNumId w:val="6"/>
  </w:num>
  <w:num w:numId="19">
    <w:abstractNumId w:val="8"/>
  </w:num>
  <w:num w:numId="20">
    <w:abstractNumId w:val="9"/>
  </w:num>
  <w:num w:numId="21">
    <w:abstractNumId w:val="23"/>
  </w:num>
  <w:num w:numId="22">
    <w:abstractNumId w:val="3"/>
  </w:num>
  <w:num w:numId="23">
    <w:abstractNumId w:val="7"/>
  </w:num>
  <w:num w:numId="24">
    <w:abstractNumId w:val="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CF"/>
    <w:rsid w:val="00000729"/>
    <w:rsid w:val="00001EDE"/>
    <w:rsid w:val="00001FD5"/>
    <w:rsid w:val="000E2AA7"/>
    <w:rsid w:val="0028609F"/>
    <w:rsid w:val="002A4DC6"/>
    <w:rsid w:val="002C14D6"/>
    <w:rsid w:val="003045AC"/>
    <w:rsid w:val="003735B6"/>
    <w:rsid w:val="00383B41"/>
    <w:rsid w:val="00392F57"/>
    <w:rsid w:val="003C4882"/>
    <w:rsid w:val="003C4CB9"/>
    <w:rsid w:val="003C6779"/>
    <w:rsid w:val="00420F51"/>
    <w:rsid w:val="004625CF"/>
    <w:rsid w:val="00495F28"/>
    <w:rsid w:val="004B5AF7"/>
    <w:rsid w:val="004B5D82"/>
    <w:rsid w:val="004B5FB8"/>
    <w:rsid w:val="004C5AA1"/>
    <w:rsid w:val="004D0D47"/>
    <w:rsid w:val="004E4C2E"/>
    <w:rsid w:val="0052049B"/>
    <w:rsid w:val="00530FD6"/>
    <w:rsid w:val="00563076"/>
    <w:rsid w:val="005631F4"/>
    <w:rsid w:val="005B6BC8"/>
    <w:rsid w:val="0064575A"/>
    <w:rsid w:val="006D2027"/>
    <w:rsid w:val="007239F7"/>
    <w:rsid w:val="007B5E18"/>
    <w:rsid w:val="007C0340"/>
    <w:rsid w:val="008175C4"/>
    <w:rsid w:val="00847AD3"/>
    <w:rsid w:val="008A3D78"/>
    <w:rsid w:val="008C7D92"/>
    <w:rsid w:val="008F417A"/>
    <w:rsid w:val="00954C45"/>
    <w:rsid w:val="00A03E16"/>
    <w:rsid w:val="00A07033"/>
    <w:rsid w:val="00AB4F2B"/>
    <w:rsid w:val="00AF5A88"/>
    <w:rsid w:val="00B1161B"/>
    <w:rsid w:val="00B22B2F"/>
    <w:rsid w:val="00B43A72"/>
    <w:rsid w:val="00B8102D"/>
    <w:rsid w:val="00BA4160"/>
    <w:rsid w:val="00C26551"/>
    <w:rsid w:val="00C95536"/>
    <w:rsid w:val="00C968D7"/>
    <w:rsid w:val="00CC085B"/>
    <w:rsid w:val="00D05DEC"/>
    <w:rsid w:val="00D90A0B"/>
    <w:rsid w:val="00DA701A"/>
    <w:rsid w:val="00DC1E14"/>
    <w:rsid w:val="00DF10C5"/>
    <w:rsid w:val="00E01C99"/>
    <w:rsid w:val="00E85CDD"/>
    <w:rsid w:val="00F04E4B"/>
    <w:rsid w:val="00F43B36"/>
    <w:rsid w:val="00F813A7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0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keepLines/>
      <w:numPr>
        <w:numId w:val="8"/>
      </w:numPr>
      <w:spacing w:before="180"/>
      <w:ind w:left="425" w:hanging="425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8"/>
      </w:numPr>
      <w:spacing w:before="120"/>
      <w:ind w:left="567" w:hanging="578"/>
      <w:outlineLvl w:val="1"/>
    </w:pPr>
    <w:rPr>
      <w:b/>
      <w:color w:val="000000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keepLines/>
      <w:numPr>
        <w:ilvl w:val="2"/>
        <w:numId w:val="8"/>
      </w:numPr>
      <w:spacing w:after="120"/>
      <w:ind w:left="567" w:hanging="567"/>
      <w:outlineLvl w:val="2"/>
    </w:pPr>
    <w:rPr>
      <w:b/>
      <w:color w:val="000000"/>
      <w:sz w:val="24"/>
      <w:szCs w:val="24"/>
    </w:rPr>
  </w:style>
  <w:style w:type="paragraph" w:styleId="Nadpis4">
    <w:name w:val="heading 4"/>
    <w:basedOn w:val="Normln"/>
    <w:next w:val="Normln"/>
    <w:link w:val="Nadpis4Char"/>
    <w:pPr>
      <w:keepNext/>
      <w:keepLines/>
      <w:numPr>
        <w:ilvl w:val="3"/>
        <w:numId w:val="8"/>
      </w:numPr>
      <w:spacing w:before="200" w:after="0" w:line="259" w:lineRule="auto"/>
      <w:outlineLvl w:val="3"/>
    </w:pPr>
    <w:rPr>
      <w:b/>
      <w:i/>
      <w:color w:val="5B9BD5"/>
    </w:rPr>
  </w:style>
  <w:style w:type="paragraph" w:styleId="Nadpis5">
    <w:name w:val="heading 5"/>
    <w:basedOn w:val="Normln"/>
    <w:next w:val="Normln"/>
    <w:link w:val="Nadpis5Char"/>
    <w:pPr>
      <w:keepNext/>
      <w:keepLines/>
      <w:numPr>
        <w:ilvl w:val="4"/>
        <w:numId w:val="8"/>
      </w:numPr>
      <w:spacing w:before="200" w:after="0" w:line="259" w:lineRule="auto"/>
      <w:outlineLvl w:val="4"/>
    </w:pPr>
    <w:rPr>
      <w:color w:val="1E4D78"/>
    </w:rPr>
  </w:style>
  <w:style w:type="paragraph" w:styleId="Nadpis6">
    <w:name w:val="heading 6"/>
    <w:basedOn w:val="Normln"/>
    <w:next w:val="Normln"/>
    <w:link w:val="Nadpis6Char"/>
    <w:pPr>
      <w:keepNext/>
      <w:keepLines/>
      <w:numPr>
        <w:ilvl w:val="5"/>
        <w:numId w:val="8"/>
      </w:numPr>
      <w:spacing w:before="200" w:after="0" w:line="259" w:lineRule="auto"/>
      <w:outlineLvl w:val="5"/>
    </w:pPr>
    <w:rPr>
      <w:i/>
      <w:color w:val="1E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before="0" w:after="0"/>
    </w:p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rosttabulka2">
    <w:name w:val="Plain Table 2"/>
    <w:basedOn w:val="Normlntabulka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rosttabulka4">
    <w:name w:val="Plain Table 4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rosttabulka5">
    <w:name w:val="Plain Table 5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Svtltabulkasmkou1">
    <w:name w:val="Grid Table 1 Light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ulkasmkou3">
    <w:name w:val="Grid Table 3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ulkasmkou4">
    <w:name w:val="Grid Table 4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mavtabulkasmkou5">
    <w:name w:val="Grid Table 5 Dark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Barevntabulkasmkou6">
    <w:name w:val="Grid Table 6 Colorful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ulkaseznamu2">
    <w:name w:val="List Table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ulkaseznamu3">
    <w:name w:val="List Table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mavtabulkaseznamu5">
    <w:name w:val="List Table 5 Dark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Barevntabulkaseznamu6">
    <w:name w:val="List Table 6 Colorful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Nzev">
    <w:name w:val="Title"/>
    <w:basedOn w:val="Normln"/>
    <w:next w:val="Normln"/>
    <w:link w:val="NzevChar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link w:val="Podnadpis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Normlntabulka"/>
    <w:tblPr>
      <w:tblStyleRowBandSize w:val="1"/>
      <w:tblStyleColBandSize w:val="1"/>
    </w:tblPr>
  </w:style>
  <w:style w:type="table" w:customStyle="1" w:styleId="3">
    <w:name w:val="3"/>
    <w:basedOn w:val="Normlntabulka"/>
    <w:tblPr>
      <w:tblStyleRowBandSize w:val="1"/>
      <w:tblStyleColBandSize w:val="1"/>
      <w:tblCellMar>
        <w:left w:w="103" w:type="dxa"/>
      </w:tblCellMar>
    </w:tblPr>
  </w:style>
  <w:style w:type="table" w:customStyle="1" w:styleId="2">
    <w:name w:val="2"/>
    <w:basedOn w:val="Normlntabulka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1">
    <w:name w:val="1"/>
    <w:basedOn w:val="Normlntabulka"/>
    <w:tblPr>
      <w:tblStyleRowBandSize w:val="1"/>
      <w:tblStyleColBandSize w:val="1"/>
      <w:tblCellMar>
        <w:left w:w="113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before="0"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pPr>
      <w:spacing w:before="0"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</w:style>
  <w:style w:type="paragraph" w:customStyle="1" w:styleId="Normal1">
    <w:name w:val="Normal 1"/>
    <w:basedOn w:val="Normln"/>
    <w:link w:val="Normal1Char"/>
    <w:pPr>
      <w:spacing w:before="120" w:after="120"/>
      <w:ind w:left="880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Normal1Char">
    <w:name w:val="Normal 1 Char"/>
    <w:link w:val="Normal1"/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0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mzp.cz/C1257458002F0DC7/cz/vestnik_mzp_2020/$FILE/SOTPR-Vestnik_leden-20013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gov.cz/sluzby-vs/povoleni-kaceni-drevin-rostoucich-mimo-les-S72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rchi.gov.cz" TargetMode="Externa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3.org/community/xformsusers/wiki/XForms_2.0" TargetMode="External"/><Relationship Id="rId1" Type="http://schemas.openxmlformats.org/officeDocument/2006/relationships/hyperlink" Target="https://archi.gov.cz/ik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B4F94F6-0466-409D-996E-1178269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2513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2022-01-20T07:56:00Z</dcterms:created>
  <dcterms:modified xsi:type="dcterms:W3CDTF">2022-01-20T07:58:00Z</dcterms:modified>
</cp:coreProperties>
</file>