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DA1F" w14:textId="77777777" w:rsidR="00C040FC" w:rsidRPr="00C040FC" w:rsidRDefault="00C040FC" w:rsidP="00C040F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040FC">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5DF213FD" wp14:editId="2AF5C008">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0FC">
        <w:rPr>
          <w:rFonts w:ascii="Arial" w:eastAsia="Times New Roman" w:hAnsi="Arial" w:cs="Arial"/>
          <w:b/>
          <w:bCs/>
          <w:szCs w:val="24"/>
          <w:lang w:eastAsia="cs-CZ"/>
        </w:rPr>
        <w:t>Číslo spisu: S/02026/OM/21</w:t>
      </w:r>
    </w:p>
    <w:p w14:paraId="7BCDD750" w14:textId="77777777" w:rsidR="00C040FC" w:rsidRPr="00C040FC" w:rsidRDefault="00C040FC" w:rsidP="00C040F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Číslo jednací: 02026/OM/21</w:t>
      </w:r>
    </w:p>
    <w:p w14:paraId="22CA023D" w14:textId="77777777" w:rsidR="00C040FC" w:rsidRPr="00C040FC" w:rsidRDefault="00C040FC" w:rsidP="00C040F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PPK-292a/84/21 </w:t>
      </w:r>
    </w:p>
    <w:p w14:paraId="3AC4A079" w14:textId="77777777" w:rsidR="00C040FC" w:rsidRPr="00C040FC" w:rsidRDefault="00C040FC" w:rsidP="00C040F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Dotační titul: A1 </w:t>
      </w:r>
    </w:p>
    <w:p w14:paraId="244D1248" w14:textId="77777777" w:rsidR="00C040FC" w:rsidRPr="00C040FC" w:rsidRDefault="00C040FC" w:rsidP="00C040FC">
      <w:pPr>
        <w:spacing w:before="100" w:beforeAutospacing="1" w:after="100" w:afterAutospacing="1"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p w14:paraId="3BC32335"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SMLOUVA O DÍLO</w:t>
      </w:r>
    </w:p>
    <w:p w14:paraId="482A73EE"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UZAVŘENÁ DLE USTANOVENÍ § 2586 A NÁSL. ZÁK. Č. 89/2012 SB., OBČANSKÉHO ZÁKONÍKU, VE ZNĚNÍ POZDĚJŠÍCH PŘEDPISŮ</w:t>
      </w:r>
    </w:p>
    <w:p w14:paraId="1FAE5CD6"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I. Smluvní strany</w:t>
      </w:r>
    </w:p>
    <w:p w14:paraId="7F2C3C61" w14:textId="77777777" w:rsidR="00C040FC" w:rsidRPr="00C040FC" w:rsidRDefault="00C040FC" w:rsidP="00C040FC">
      <w:pPr>
        <w:spacing w:before="100" w:beforeAutospacing="1" w:after="100" w:afterAutospacing="1" w:line="240" w:lineRule="auto"/>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1.1 Objednatel</w:t>
      </w:r>
    </w:p>
    <w:p w14:paraId="5F154FBF" w14:textId="77777777" w:rsidR="00C040FC" w:rsidRPr="00C040FC" w:rsidRDefault="00C040FC" w:rsidP="00C040FC">
      <w:pPr>
        <w:spacing w:before="100" w:beforeAutospacing="1" w:after="100" w:afterAutospacing="1" w:line="240" w:lineRule="auto"/>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Česká republika - Agentura ochrany přírody a krajiny ČR</w:t>
      </w:r>
    </w:p>
    <w:p w14:paraId="4FA12BA0"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Sídlo: Kaplanova 1931/1, 148 00 Praha 11 - Chodov </w:t>
      </w:r>
    </w:p>
    <w:p w14:paraId="75137FC6"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Zastoupený: Ing. Michal Servus </w:t>
      </w:r>
      <w:r w:rsidRPr="00C040FC">
        <w:rPr>
          <w:rFonts w:ascii="Arial" w:eastAsia="Times New Roman" w:hAnsi="Arial" w:cs="Arial"/>
          <w:szCs w:val="24"/>
          <w:lang w:eastAsia="cs-CZ"/>
        </w:rPr>
        <w:br/>
        <w:t xml:space="preserve">ředitel RP Olomoucko </w:t>
      </w:r>
    </w:p>
    <w:p w14:paraId="0819C94B" w14:textId="00BF3590"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Bankovní spojení: </w:t>
      </w:r>
      <w:r w:rsidR="005B7F52">
        <w:rPr>
          <w:rFonts w:ascii="Arial" w:eastAsia="Times New Roman" w:hAnsi="Arial" w:cs="Arial"/>
          <w:szCs w:val="24"/>
          <w:lang w:eastAsia="cs-CZ"/>
        </w:rPr>
        <w:t>XXXXXX</w:t>
      </w:r>
    </w:p>
    <w:p w14:paraId="604BE72F"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IČO: 629 335 91</w:t>
      </w:r>
    </w:p>
    <w:p w14:paraId="5AF0E4F7"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DIČ: neplátce DPH</w:t>
      </w:r>
    </w:p>
    <w:p w14:paraId="668CD156"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Telefon: 585 238 831</w:t>
      </w:r>
    </w:p>
    <w:p w14:paraId="4347C8E0" w14:textId="1185F1FF"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V rozsahu této smlouvy osoba zmocněná k jednání se zhotovitelem, k věcným úkonům a k převzetí díla: </w:t>
      </w:r>
      <w:r w:rsidR="005B7F52">
        <w:rPr>
          <w:rFonts w:ascii="Arial" w:eastAsia="Times New Roman" w:hAnsi="Arial" w:cs="Arial"/>
          <w:szCs w:val="24"/>
          <w:lang w:eastAsia="cs-CZ"/>
        </w:rPr>
        <w:t>XXXXXX</w:t>
      </w:r>
    </w:p>
    <w:p w14:paraId="33F22426" w14:textId="77777777" w:rsidR="00C040FC" w:rsidRPr="00C040FC" w:rsidRDefault="00C040FC" w:rsidP="00C040FC">
      <w:pPr>
        <w:spacing w:before="100" w:beforeAutospacing="1" w:after="100" w:afterAutospacing="1"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(dále jen </w:t>
      </w:r>
      <w:r w:rsidRPr="00C040FC">
        <w:rPr>
          <w:rFonts w:ascii="Arial" w:eastAsia="Times New Roman" w:hAnsi="Arial" w:cs="Arial"/>
        </w:rPr>
        <w:t>„</w:t>
      </w:r>
      <w:r w:rsidRPr="00C040FC">
        <w:rPr>
          <w:rFonts w:ascii="Arial" w:eastAsia="Times New Roman" w:hAnsi="Arial" w:cs="Arial"/>
          <w:szCs w:val="24"/>
          <w:lang w:eastAsia="cs-CZ"/>
        </w:rPr>
        <w:t>objednatel”)</w:t>
      </w:r>
    </w:p>
    <w:p w14:paraId="6B61996C" w14:textId="77777777" w:rsidR="00C040FC" w:rsidRPr="00C040FC" w:rsidRDefault="00C040FC" w:rsidP="00C040FC">
      <w:pPr>
        <w:spacing w:before="100" w:beforeAutospacing="1" w:after="100" w:afterAutospacing="1"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a</w:t>
      </w:r>
    </w:p>
    <w:p w14:paraId="1A47B95A" w14:textId="77777777" w:rsidR="00C040FC" w:rsidRPr="00C040FC" w:rsidRDefault="00C040FC" w:rsidP="00C040FC">
      <w:pPr>
        <w:spacing w:before="100" w:beforeAutospacing="1" w:after="100" w:afterAutospacing="1" w:line="240" w:lineRule="auto"/>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1.2 Zhotovitel</w:t>
      </w:r>
    </w:p>
    <w:p w14:paraId="4C9E6193" w14:textId="77777777" w:rsidR="003347B1" w:rsidRPr="00EA6943" w:rsidRDefault="003347B1" w:rsidP="003347B1">
      <w:pPr>
        <w:keepNext/>
        <w:spacing w:after="0"/>
        <w:jc w:val="both"/>
        <w:rPr>
          <w:rFonts w:ascii="Arial" w:eastAsia="Calibri" w:hAnsi="Arial" w:cs="Arial"/>
          <w:b/>
          <w:bCs/>
          <w:spacing w:val="16"/>
          <w:lang w:eastAsia="cs-CZ"/>
        </w:rPr>
      </w:pPr>
      <w:r w:rsidRPr="00EA6943">
        <w:rPr>
          <w:rFonts w:ascii="Arial" w:eastAsia="Calibri" w:hAnsi="Arial" w:cs="Arial"/>
          <w:b/>
          <w:bCs/>
          <w:spacing w:val="16"/>
          <w:lang w:eastAsia="cs-CZ"/>
        </w:rPr>
        <w:t>Jméno Příjmení</w:t>
      </w:r>
    </w:p>
    <w:p w14:paraId="731220DC" w14:textId="3EB7F722" w:rsidR="003347B1" w:rsidRPr="00EA6943" w:rsidRDefault="003347B1" w:rsidP="003347B1">
      <w:pPr>
        <w:spacing w:after="0"/>
        <w:rPr>
          <w:rFonts w:ascii="Arial" w:hAnsi="Arial" w:cs="Arial"/>
          <w:bCs/>
          <w:lang w:eastAsia="cs-CZ"/>
        </w:rPr>
      </w:pPr>
      <w:r w:rsidRPr="00EA6943">
        <w:rPr>
          <w:rFonts w:ascii="Arial" w:hAnsi="Arial" w:cs="Arial"/>
          <w:bCs/>
          <w:lang w:eastAsia="cs-CZ"/>
        </w:rPr>
        <w:t xml:space="preserve">Sídlo / Adresa: </w:t>
      </w:r>
      <w:r w:rsidR="0071003A">
        <w:rPr>
          <w:rFonts w:ascii="Arial" w:hAnsi="Arial" w:cs="Arial"/>
          <w:bCs/>
          <w:lang w:eastAsia="cs-CZ"/>
        </w:rPr>
        <w:t>ČSOP – RS Iris</w:t>
      </w:r>
      <w:r w:rsidRPr="00EA6943">
        <w:rPr>
          <w:rFonts w:ascii="Arial" w:hAnsi="Arial" w:cs="Arial"/>
          <w:bCs/>
          <w:lang w:eastAsia="cs-CZ"/>
        </w:rPr>
        <w:br/>
        <w:t>IČ / Datum narození:</w:t>
      </w:r>
      <w:r w:rsidR="0071003A">
        <w:rPr>
          <w:rFonts w:ascii="Arial" w:hAnsi="Arial" w:cs="Arial"/>
          <w:bCs/>
          <w:lang w:eastAsia="cs-CZ"/>
        </w:rPr>
        <w:t xml:space="preserve"> 00116670</w:t>
      </w:r>
    </w:p>
    <w:p w14:paraId="19839DAC" w14:textId="585C1FB4" w:rsidR="003347B1" w:rsidRPr="00EA6943" w:rsidRDefault="003347B1" w:rsidP="003347B1">
      <w:pPr>
        <w:spacing w:after="0"/>
        <w:rPr>
          <w:rFonts w:ascii="Arial" w:hAnsi="Arial" w:cs="Arial"/>
          <w:lang w:eastAsia="cs-CZ"/>
        </w:rPr>
      </w:pPr>
      <w:r>
        <w:rPr>
          <w:rFonts w:ascii="Arial" w:hAnsi="Arial" w:cs="Arial"/>
          <w:bCs/>
        </w:rPr>
        <w:t>DIČ:</w:t>
      </w:r>
      <w:r w:rsidR="0071003A">
        <w:rPr>
          <w:rFonts w:ascii="Arial" w:hAnsi="Arial" w:cs="Arial"/>
          <w:bCs/>
        </w:rPr>
        <w:t xml:space="preserve"> CZ00116670</w:t>
      </w:r>
      <w:r w:rsidRPr="00EA6943">
        <w:rPr>
          <w:rFonts w:ascii="Arial" w:hAnsi="Arial" w:cs="Arial"/>
          <w:bCs/>
        </w:rPr>
        <w:br/>
        <w:t xml:space="preserve">Bankovní spojení: </w:t>
      </w:r>
      <w:r w:rsidR="005B7F52">
        <w:rPr>
          <w:rFonts w:ascii="Arial" w:hAnsi="Arial" w:cs="Arial"/>
          <w:bCs/>
          <w:lang w:eastAsia="cs-CZ"/>
        </w:rPr>
        <w:t>XXXXXX</w:t>
      </w:r>
      <w:bookmarkStart w:id="0" w:name="_GoBack"/>
      <w:bookmarkEnd w:id="0"/>
      <w:r w:rsidRPr="00EA6943">
        <w:rPr>
          <w:rFonts w:ascii="Arial" w:hAnsi="Arial" w:cs="Arial"/>
          <w:bCs/>
        </w:rPr>
        <w:br/>
        <w:t xml:space="preserve">Statutární zástupce: </w:t>
      </w:r>
      <w:r w:rsidR="000B155F">
        <w:rPr>
          <w:rFonts w:ascii="Arial" w:hAnsi="Arial" w:cs="Arial"/>
          <w:bCs/>
        </w:rPr>
        <w:t>Mgr. Eva Zatloukalová</w:t>
      </w:r>
    </w:p>
    <w:p w14:paraId="69448BCD" w14:textId="1D7CA670" w:rsidR="003347B1" w:rsidRDefault="003347B1" w:rsidP="003347B1">
      <w:pPr>
        <w:spacing w:after="0"/>
        <w:rPr>
          <w:rFonts w:ascii="Arial" w:hAnsi="Arial" w:cs="Arial"/>
        </w:rPr>
      </w:pPr>
      <w:r w:rsidRPr="00EA6943">
        <w:rPr>
          <w:rFonts w:ascii="Arial" w:hAnsi="Arial" w:cs="Arial"/>
        </w:rPr>
        <w:t xml:space="preserve">Email: </w:t>
      </w:r>
      <w:r w:rsidR="000B155F">
        <w:rPr>
          <w:rFonts w:ascii="Arial" w:hAnsi="Arial" w:cs="Arial"/>
        </w:rPr>
        <w:t>iris@iris.cz</w:t>
      </w:r>
    </w:p>
    <w:p w14:paraId="05B419C8" w14:textId="77777777" w:rsidR="00E54AAA" w:rsidRDefault="003347B1" w:rsidP="003347B1">
      <w:pPr>
        <w:spacing w:after="0" w:line="240" w:lineRule="auto"/>
        <w:rPr>
          <w:rFonts w:ascii="Arial" w:eastAsia="Times New Roman" w:hAnsi="Arial" w:cs="Arial"/>
          <w:szCs w:val="24"/>
          <w:lang w:eastAsia="cs-CZ"/>
        </w:rPr>
      </w:pPr>
      <w:r w:rsidRPr="00C040FC">
        <w:rPr>
          <w:rFonts w:ascii="Arial" w:eastAsia="Times New Roman" w:hAnsi="Arial" w:cs="Arial"/>
          <w:szCs w:val="24"/>
          <w:lang w:eastAsia="cs-CZ"/>
        </w:rPr>
        <w:t xml:space="preserve"> </w:t>
      </w:r>
    </w:p>
    <w:p w14:paraId="694DCD1E" w14:textId="77777777" w:rsidR="00E54AAA" w:rsidRDefault="00E54AAA" w:rsidP="003347B1">
      <w:pPr>
        <w:spacing w:after="0" w:line="240" w:lineRule="auto"/>
        <w:rPr>
          <w:rFonts w:ascii="Arial" w:eastAsia="Times New Roman" w:hAnsi="Arial" w:cs="Arial"/>
          <w:szCs w:val="24"/>
          <w:lang w:eastAsia="cs-CZ"/>
        </w:rPr>
      </w:pPr>
    </w:p>
    <w:p w14:paraId="68C2F254" w14:textId="77777777" w:rsidR="00C040FC" w:rsidRPr="00C040FC" w:rsidRDefault="00C040FC" w:rsidP="003347B1">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(dále jen </w:t>
      </w:r>
      <w:r w:rsidRPr="00C040FC">
        <w:rPr>
          <w:rFonts w:ascii="Arial" w:eastAsia="Times New Roman" w:hAnsi="Arial" w:cs="Arial"/>
        </w:rPr>
        <w:t>„</w:t>
      </w:r>
      <w:r w:rsidRPr="00C040FC">
        <w:rPr>
          <w:rFonts w:ascii="Arial" w:eastAsia="Times New Roman" w:hAnsi="Arial" w:cs="Arial"/>
          <w:szCs w:val="24"/>
          <w:lang w:eastAsia="cs-CZ"/>
        </w:rPr>
        <w:t xml:space="preserve">zhotovitel”) </w:t>
      </w:r>
    </w:p>
    <w:p w14:paraId="19D77914" w14:textId="77777777" w:rsidR="00C040FC" w:rsidRPr="00C040FC" w:rsidRDefault="00C040FC" w:rsidP="00C040FC">
      <w:pPr>
        <w:spacing w:before="100" w:beforeAutospacing="1" w:after="100" w:afterAutospacing="1"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p w14:paraId="7A4CB1B4"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II. Předmět smlouvy</w:t>
      </w:r>
    </w:p>
    <w:p w14:paraId="6B4A447E"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lastRenderedPageBreak/>
        <w:t>2.1 Na základě této smlouvy se zhotovitel zavazuje provést na svůj náklad a nebezpečí dílo specifikované v čl. 2.2 této smlouvy a předat jej objednateli. Objednatel se zavazuje dílo převzít a zaplatit za něj zhotoviteli dohodnutou cenu.</w:t>
      </w:r>
    </w:p>
    <w:p w14:paraId="1B328A97"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2.2 Dílem se rozumí: </w:t>
      </w:r>
    </w:p>
    <w:p w14:paraId="7CFB7D39" w14:textId="77777777" w:rsidR="00675F6A" w:rsidRDefault="00C040FC" w:rsidP="00C040FC">
      <w:pPr>
        <w:spacing w:before="120" w:after="120" w:line="240" w:lineRule="auto"/>
        <w:ind w:left="340"/>
        <w:jc w:val="both"/>
        <w:rPr>
          <w:rFonts w:ascii="Arial" w:eastAsia="Times New Roman" w:hAnsi="Arial" w:cs="Arial"/>
          <w:szCs w:val="24"/>
          <w:lang w:eastAsia="cs-CZ"/>
        </w:rPr>
      </w:pPr>
      <w:r w:rsidRPr="00C040FC">
        <w:rPr>
          <w:rFonts w:ascii="Arial" w:eastAsia="Times New Roman" w:hAnsi="Arial" w:cs="Arial"/>
          <w:szCs w:val="24"/>
          <w:lang w:eastAsia="cs-CZ"/>
        </w:rPr>
        <w:t xml:space="preserve">Sečení teplomilných trávníků v NPP Za hrnčířkou. </w:t>
      </w:r>
    </w:p>
    <w:p w14:paraId="56FFE0A7" w14:textId="77777777" w:rsidR="00C040FC" w:rsidRPr="00C040FC" w:rsidRDefault="00C040FC" w:rsidP="00C040FC">
      <w:pPr>
        <w:spacing w:before="120" w:after="120" w:line="240" w:lineRule="auto"/>
        <w:ind w:left="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Opatření bude provedeno v souladu se standardem AOPK: 02 004 Sečení.</w:t>
      </w:r>
    </w:p>
    <w:p w14:paraId="315A44B4"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(dále jen „dílo“)</w:t>
      </w:r>
    </w:p>
    <w:p w14:paraId="6F0A85A7" w14:textId="77777777" w:rsidR="00C040FC" w:rsidRPr="00C040FC" w:rsidRDefault="00C040FC" w:rsidP="00C040FC">
      <w:pPr>
        <w:spacing w:before="120" w:after="120" w:line="240" w:lineRule="auto"/>
        <w:ind w:left="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Podrobná specifikace díla je uvedena v </w:t>
      </w:r>
      <w:r w:rsidR="00E54AAA" w:rsidRPr="00E54AAA">
        <w:rPr>
          <w:rFonts w:ascii="Arial" w:eastAsia="Times New Roman" w:hAnsi="Arial" w:cs="Arial"/>
          <w:szCs w:val="24"/>
          <w:lang w:eastAsia="cs-CZ"/>
        </w:rPr>
        <w:t>příloze č. 1 (položkový rozpočet) a v příloze č. 2 (mapový zákres).</w:t>
      </w:r>
    </w:p>
    <w:p w14:paraId="01B656D3"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2.3 Při provádění díla je zhotovitel vázán pokyny objednatele.</w:t>
      </w:r>
    </w:p>
    <w:p w14:paraId="4B2D9992"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14:paraId="2F69435E"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III. Cena díla a platební podmínky</w:t>
      </w:r>
    </w:p>
    <w:p w14:paraId="744A4902"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3.1 Cena díla je stanovena v souladu s právními předpisy:</w:t>
      </w:r>
    </w:p>
    <w:p w14:paraId="60DFC617" w14:textId="6549E771" w:rsidR="00E54AAA" w:rsidRPr="00E54AAA" w:rsidRDefault="00E54AAA" w:rsidP="00E54AAA">
      <w:pPr>
        <w:spacing w:before="120" w:after="120" w:line="240" w:lineRule="auto"/>
        <w:ind w:left="340"/>
        <w:jc w:val="both"/>
        <w:rPr>
          <w:rFonts w:ascii="Arial" w:eastAsia="Times New Roman" w:hAnsi="Arial" w:cs="Arial"/>
          <w:szCs w:val="24"/>
          <w:lang w:eastAsia="cs-CZ"/>
        </w:rPr>
      </w:pPr>
      <w:r w:rsidRPr="00E54AAA">
        <w:rPr>
          <w:rFonts w:ascii="Arial" w:eastAsia="Times New Roman" w:hAnsi="Arial" w:cs="Arial"/>
          <w:szCs w:val="24"/>
          <w:lang w:eastAsia="cs-CZ"/>
        </w:rPr>
        <w:t xml:space="preserve">Cena bez DPH:     </w:t>
      </w:r>
      <w:r w:rsidR="000B155F">
        <w:rPr>
          <w:rFonts w:ascii="Arial" w:eastAsia="Times New Roman" w:hAnsi="Arial" w:cs="Arial"/>
          <w:szCs w:val="24"/>
          <w:lang w:eastAsia="cs-CZ"/>
        </w:rPr>
        <w:t>62 910 Kč</w:t>
      </w:r>
    </w:p>
    <w:p w14:paraId="03BF3DA5" w14:textId="466EC334" w:rsidR="00E54AAA" w:rsidRPr="00E54AAA" w:rsidRDefault="00E54AAA" w:rsidP="00E54AAA">
      <w:pPr>
        <w:spacing w:before="120" w:after="120" w:line="240" w:lineRule="auto"/>
        <w:ind w:left="340"/>
        <w:jc w:val="both"/>
        <w:rPr>
          <w:rFonts w:ascii="Arial" w:eastAsia="Times New Roman" w:hAnsi="Arial" w:cs="Arial"/>
          <w:szCs w:val="24"/>
          <w:lang w:eastAsia="cs-CZ"/>
        </w:rPr>
      </w:pPr>
      <w:r w:rsidRPr="00E54AAA">
        <w:rPr>
          <w:rFonts w:ascii="Arial" w:eastAsia="Times New Roman" w:hAnsi="Arial" w:cs="Arial"/>
          <w:szCs w:val="24"/>
          <w:lang w:eastAsia="cs-CZ"/>
        </w:rPr>
        <w:t xml:space="preserve">DPH 21%:             </w:t>
      </w:r>
      <w:r w:rsidR="00AC0279">
        <w:rPr>
          <w:rFonts w:ascii="Arial" w:eastAsia="Times New Roman" w:hAnsi="Arial" w:cs="Arial"/>
          <w:szCs w:val="24"/>
          <w:lang w:eastAsia="cs-CZ"/>
        </w:rPr>
        <w:t>0</w:t>
      </w:r>
    </w:p>
    <w:p w14:paraId="5AAC9BE3" w14:textId="6B926CA9" w:rsidR="00E54AAA" w:rsidRPr="00E54AAA" w:rsidRDefault="00E54AAA" w:rsidP="00E54AAA">
      <w:pPr>
        <w:spacing w:before="120" w:after="120" w:line="240" w:lineRule="auto"/>
        <w:ind w:left="340"/>
        <w:jc w:val="both"/>
        <w:rPr>
          <w:rFonts w:ascii="Arial" w:eastAsia="Times New Roman" w:hAnsi="Arial" w:cs="Arial"/>
          <w:szCs w:val="24"/>
          <w:lang w:eastAsia="cs-CZ"/>
        </w:rPr>
      </w:pPr>
      <w:r w:rsidRPr="00E54AAA">
        <w:rPr>
          <w:rFonts w:ascii="Arial" w:eastAsia="Times New Roman" w:hAnsi="Arial" w:cs="Arial"/>
          <w:szCs w:val="24"/>
          <w:lang w:eastAsia="cs-CZ"/>
        </w:rPr>
        <w:t xml:space="preserve">Cena včetně DPH: </w:t>
      </w:r>
      <w:r w:rsidR="000B155F">
        <w:rPr>
          <w:rFonts w:ascii="Arial" w:eastAsia="Times New Roman" w:hAnsi="Arial" w:cs="Arial"/>
          <w:szCs w:val="24"/>
          <w:lang w:eastAsia="cs-CZ"/>
        </w:rPr>
        <w:t>62 910 Kč</w:t>
      </w:r>
      <w:r w:rsidRPr="00E54AAA">
        <w:rPr>
          <w:rFonts w:ascii="Arial" w:eastAsia="Times New Roman" w:hAnsi="Arial" w:cs="Arial"/>
          <w:szCs w:val="24"/>
          <w:lang w:eastAsia="cs-CZ"/>
        </w:rPr>
        <w:t xml:space="preserve">    </w:t>
      </w:r>
    </w:p>
    <w:p w14:paraId="2AE52F1B" w14:textId="0C136B27" w:rsidR="00E54AAA" w:rsidRPr="00E54AAA" w:rsidRDefault="00E54AAA" w:rsidP="00E54AAA">
      <w:pPr>
        <w:spacing w:before="120" w:after="120" w:line="240" w:lineRule="auto"/>
        <w:ind w:left="340"/>
        <w:jc w:val="both"/>
        <w:rPr>
          <w:rFonts w:ascii="Arial" w:eastAsia="Times New Roman" w:hAnsi="Arial" w:cs="Arial"/>
          <w:szCs w:val="24"/>
          <w:lang w:eastAsia="cs-CZ"/>
        </w:rPr>
      </w:pPr>
      <w:r w:rsidRPr="00E54AAA">
        <w:rPr>
          <w:rFonts w:ascii="Arial" w:eastAsia="Times New Roman" w:hAnsi="Arial" w:cs="Arial"/>
          <w:szCs w:val="24"/>
          <w:lang w:eastAsia="cs-CZ"/>
        </w:rPr>
        <w:t>(slovy)</w:t>
      </w:r>
      <w:r w:rsidR="000B155F">
        <w:rPr>
          <w:rFonts w:ascii="Arial" w:eastAsia="Times New Roman" w:hAnsi="Arial" w:cs="Arial"/>
          <w:szCs w:val="24"/>
          <w:lang w:eastAsia="cs-CZ"/>
        </w:rPr>
        <w:t xml:space="preserve"> šedesát dva tisíc devět set deset Kč</w:t>
      </w:r>
    </w:p>
    <w:p w14:paraId="354CD7E8" w14:textId="22436F38" w:rsidR="00C040FC" w:rsidRPr="00C040FC" w:rsidRDefault="00E54AAA" w:rsidP="00E54AAA">
      <w:pPr>
        <w:spacing w:before="120" w:after="120" w:line="240" w:lineRule="auto"/>
        <w:ind w:left="340"/>
        <w:jc w:val="both"/>
        <w:rPr>
          <w:rFonts w:ascii="Times New Roman" w:eastAsia="Times New Roman" w:hAnsi="Times New Roman" w:cs="Times New Roman"/>
          <w:sz w:val="24"/>
          <w:szCs w:val="24"/>
          <w:lang w:eastAsia="cs-CZ"/>
        </w:rPr>
      </w:pPr>
      <w:r w:rsidRPr="00E54AAA">
        <w:rPr>
          <w:rFonts w:ascii="Arial" w:eastAsia="Times New Roman" w:hAnsi="Arial" w:cs="Arial"/>
          <w:szCs w:val="24"/>
          <w:lang w:eastAsia="cs-CZ"/>
        </w:rPr>
        <w:t xml:space="preserve">Zhotovitel </w:t>
      </w:r>
      <w:r w:rsidRPr="00AC0279">
        <w:rPr>
          <w:rFonts w:ascii="Arial" w:eastAsia="Times New Roman" w:hAnsi="Arial" w:cs="Arial"/>
          <w:szCs w:val="24"/>
          <w:lang w:eastAsia="cs-CZ"/>
        </w:rPr>
        <w:t>není</w:t>
      </w:r>
      <w:r w:rsidRPr="00E54AAA">
        <w:rPr>
          <w:rFonts w:ascii="Arial" w:eastAsia="Times New Roman" w:hAnsi="Arial" w:cs="Arial"/>
          <w:szCs w:val="24"/>
          <w:lang w:eastAsia="cs-CZ"/>
        </w:rPr>
        <w:t xml:space="preserve"> plátcem DPH.</w:t>
      </w:r>
    </w:p>
    <w:p w14:paraId="6003A27E"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3.2 Dohodnutá cena je stanovena jako nejvýše přípustná. Ke změně může dojít pouze při změně zákonných sazeb DPH.</w:t>
      </w:r>
    </w:p>
    <w:p w14:paraId="067D92FE"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3.3 Veškeré náklady vzniklé zhotoviteli v souvislosti s prováděním díla jsou zahrnuty v ceně díla. </w:t>
      </w:r>
    </w:p>
    <w:p w14:paraId="1A7CDE3C"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 11. kalendářního roku) na základě předávacího protokolu na adresu: Regionální pracoviště Olomoucko, Lafayettova 13, 77900 Olomouc.</w:t>
      </w:r>
    </w:p>
    <w:p w14:paraId="436673F8"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14:paraId="4C7BD892"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p w14:paraId="46302CF5"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41399DA1"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3.7 Smluvní strany se dohodly, že objednatel nebude poskytovat zálohové platby. </w:t>
      </w:r>
    </w:p>
    <w:p w14:paraId="5A60EF2C"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lastRenderedPageBreak/>
        <w:t>IV.</w:t>
      </w:r>
      <w:r w:rsidRPr="00C040FC">
        <w:rPr>
          <w:rFonts w:ascii="Arial" w:eastAsia="Times New Roman" w:hAnsi="Arial" w:cs="Arial"/>
          <w:szCs w:val="24"/>
          <w:lang w:eastAsia="cs-CZ"/>
        </w:rPr>
        <w:t xml:space="preserve"> </w:t>
      </w:r>
      <w:r w:rsidRPr="00C040FC">
        <w:rPr>
          <w:rFonts w:ascii="Arial" w:eastAsia="Times New Roman" w:hAnsi="Arial" w:cs="Arial"/>
          <w:b/>
          <w:bCs/>
          <w:szCs w:val="24"/>
          <w:lang w:eastAsia="cs-CZ"/>
        </w:rPr>
        <w:t>Doba a místo plnění</w:t>
      </w:r>
    </w:p>
    <w:p w14:paraId="53C441FA"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4.1 Zhotovitel se zavazuje provést dílo a předat jej objednateli nejpozději do: 30. 10. 2021.</w:t>
      </w:r>
    </w:p>
    <w:p w14:paraId="2B23E93D"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14:paraId="1BB7A5B3"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4.3 Místem plnění je NPP Za Hrnčířkou, okres: Prostějov, kraj: Olomoucký k. </w:t>
      </w:r>
      <w:proofErr w:type="spellStart"/>
      <w:r w:rsidRPr="00C040FC">
        <w:rPr>
          <w:rFonts w:ascii="Arial" w:eastAsia="Times New Roman" w:hAnsi="Arial" w:cs="Arial"/>
          <w:szCs w:val="24"/>
          <w:lang w:eastAsia="cs-CZ"/>
        </w:rPr>
        <w:t>ú.</w:t>
      </w:r>
      <w:proofErr w:type="spellEnd"/>
      <w:r w:rsidRPr="00C040FC">
        <w:rPr>
          <w:rFonts w:ascii="Arial" w:eastAsia="Times New Roman" w:hAnsi="Arial" w:cs="Arial"/>
          <w:szCs w:val="24"/>
          <w:lang w:eastAsia="cs-CZ"/>
        </w:rPr>
        <w:t xml:space="preserve"> Vícov, parcely č. 1002; 1003; 1004; 1006; 1008, k. </w:t>
      </w:r>
      <w:proofErr w:type="spellStart"/>
      <w:r w:rsidRPr="00C040FC">
        <w:rPr>
          <w:rFonts w:ascii="Arial" w:eastAsia="Times New Roman" w:hAnsi="Arial" w:cs="Arial"/>
          <w:szCs w:val="24"/>
          <w:lang w:eastAsia="cs-CZ"/>
        </w:rPr>
        <w:t>ú.</w:t>
      </w:r>
      <w:proofErr w:type="spellEnd"/>
      <w:r w:rsidRPr="00C040FC">
        <w:rPr>
          <w:rFonts w:ascii="Arial" w:eastAsia="Times New Roman" w:hAnsi="Arial" w:cs="Arial"/>
          <w:szCs w:val="24"/>
          <w:lang w:eastAsia="cs-CZ"/>
        </w:rPr>
        <w:t xml:space="preserve"> Ohrozim, parcely č. 1029, 1202/18, 1202/34, 1202/35, 1216/1, 1216/2, 1216/3, 1216/4, 1216/5, 1216/6, 1220, 1226/1, 1226/2, 1230/1, 1230/2, 1230/3, 1230/4, 1230/5, 1230/6, 1231/2, 1232/2, 1233, 1246/2, 1564/2, 1564/4, 1564/5..</w:t>
      </w:r>
    </w:p>
    <w:p w14:paraId="6F5C8403"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V. Další ujednání</w:t>
      </w:r>
    </w:p>
    <w:p w14:paraId="4B416BF0"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14:paraId="27D6B1FA"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14:paraId="72768AD9"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7" w:history="1">
        <w:r w:rsidRPr="00C040FC">
          <w:rPr>
            <w:rFonts w:ascii="Arial" w:eastAsia="Times New Roman" w:hAnsi="Arial" w:cs="Arial"/>
            <w:color w:val="0000FF"/>
            <w:szCs w:val="24"/>
            <w:u w:val="single"/>
            <w:lang w:eastAsia="cs-CZ"/>
          </w:rPr>
          <w:t>https://portal.nature.cz/publik_syst/files/oop_mngmonvyj.pdf</w:t>
        </w:r>
      </w:hyperlink>
      <w:r w:rsidRPr="00C040FC">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14:paraId="48B9AE87" w14:textId="77777777" w:rsidR="00C040FC" w:rsidRPr="00C040FC" w:rsidRDefault="00C040FC" w:rsidP="00C040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VI. Předání a převzetí díla</w:t>
      </w:r>
    </w:p>
    <w:p w14:paraId="16694916"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14:paraId="602594E0"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1CCD44F2"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09DABD27" w14:textId="77777777" w:rsidR="00C040FC" w:rsidRPr="00C040FC" w:rsidRDefault="00C040FC" w:rsidP="00C040FC">
      <w:pPr>
        <w:keepLines/>
        <w:spacing w:before="100" w:beforeAutospacing="1" w:after="100" w:afterAutospacing="1" w:line="240" w:lineRule="auto"/>
        <w:ind w:left="340" w:hanging="340"/>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VII. Odpovědnost za vady</w:t>
      </w:r>
    </w:p>
    <w:p w14:paraId="27972E5A"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7.1 Zhotovitel odpovídá za vady, jež má dílo v době jeho předání objednateli, byť se vady projeví až později.</w:t>
      </w:r>
    </w:p>
    <w:p w14:paraId="6DD9FA79"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5E6AF49B"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14:paraId="4836D9DD"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7.4 Zhotovitel poskytuje na dílo záruku v délce 6 měsíců. V případě, že délka záruky činí 0 měsíců, ustanovení článků 7.5 až 7.7 se neuplatní.</w:t>
      </w:r>
    </w:p>
    <w:p w14:paraId="7B50E147"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14:paraId="68DF5382"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5A937FA9"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14:paraId="679563A3" w14:textId="77777777" w:rsidR="00C040FC" w:rsidRPr="00C040FC" w:rsidRDefault="00C040FC" w:rsidP="00C040FC">
      <w:pPr>
        <w:keepLines/>
        <w:spacing w:before="100" w:beforeAutospacing="1" w:after="100" w:afterAutospacing="1" w:line="240" w:lineRule="auto"/>
        <w:ind w:left="340" w:hanging="340"/>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VIII. Sankce</w:t>
      </w:r>
    </w:p>
    <w:p w14:paraId="691C5DF9"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14:paraId="004DF9AB" w14:textId="77777777" w:rsidR="00C040FC" w:rsidRPr="00C040FC" w:rsidRDefault="00C040FC" w:rsidP="00C040FC">
      <w:pPr>
        <w:keepLines/>
        <w:spacing w:before="120" w:after="120" w:line="240" w:lineRule="auto"/>
        <w:ind w:left="340" w:hanging="340"/>
        <w:jc w:val="both"/>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14:paraId="4A6FD14A" w14:textId="77777777" w:rsidR="00C040FC" w:rsidRDefault="00C040FC" w:rsidP="00C040FC">
      <w:pPr>
        <w:keepLines/>
        <w:spacing w:before="120" w:after="120" w:line="240" w:lineRule="auto"/>
        <w:ind w:left="340" w:hanging="340"/>
        <w:jc w:val="both"/>
        <w:rPr>
          <w:rFonts w:ascii="Arial" w:eastAsia="Times New Roman" w:hAnsi="Arial" w:cs="Arial"/>
          <w:szCs w:val="24"/>
          <w:lang w:eastAsia="cs-CZ"/>
        </w:rPr>
      </w:pPr>
      <w:r w:rsidRPr="00C040FC">
        <w:rPr>
          <w:rFonts w:ascii="Arial" w:eastAsia="Times New Roman" w:hAnsi="Arial" w:cs="Arial"/>
          <w:szCs w:val="24"/>
          <w:lang w:eastAsia="cs-CZ"/>
        </w:rPr>
        <w:t>8.3 Ustanoveními o smluvní pokutě není dotčen nárok oprávněné smluvní strany požadovat náhradu škody v plném rozsahu.</w:t>
      </w:r>
    </w:p>
    <w:p w14:paraId="3EBCD841" w14:textId="77777777" w:rsidR="00E54AAA" w:rsidRDefault="00E54AAA" w:rsidP="00C040FC">
      <w:pPr>
        <w:keepLines/>
        <w:spacing w:before="120" w:after="120" w:line="240" w:lineRule="auto"/>
        <w:ind w:left="340" w:hanging="340"/>
        <w:jc w:val="both"/>
        <w:rPr>
          <w:rFonts w:ascii="Arial" w:eastAsia="Times New Roman" w:hAnsi="Arial" w:cs="Arial"/>
          <w:szCs w:val="24"/>
          <w:lang w:eastAsia="cs-CZ"/>
        </w:rPr>
      </w:pPr>
    </w:p>
    <w:p w14:paraId="6DC10BB4" w14:textId="77777777" w:rsidR="00E54AAA" w:rsidRPr="00E54AAA" w:rsidRDefault="00E54AAA" w:rsidP="00E54AAA">
      <w:pPr>
        <w:keepLines/>
        <w:spacing w:before="120" w:after="120" w:line="240" w:lineRule="auto"/>
        <w:ind w:left="340" w:hanging="340"/>
        <w:jc w:val="center"/>
        <w:rPr>
          <w:rFonts w:ascii="Arial" w:eastAsia="Times New Roman" w:hAnsi="Arial" w:cs="Arial"/>
          <w:b/>
          <w:lang w:eastAsia="cs-CZ"/>
        </w:rPr>
      </w:pPr>
      <w:r w:rsidRPr="00E54AAA">
        <w:rPr>
          <w:rFonts w:ascii="Arial" w:eastAsia="Times New Roman" w:hAnsi="Arial" w:cs="Arial"/>
          <w:b/>
          <w:lang w:eastAsia="cs-CZ"/>
        </w:rPr>
        <w:t>IX. Vyšší moc</w:t>
      </w:r>
    </w:p>
    <w:p w14:paraId="21EAED48" w14:textId="77777777" w:rsidR="00E54AAA" w:rsidRPr="00E54AAA" w:rsidRDefault="00E54AAA" w:rsidP="00E54AAA">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9.1</w:t>
      </w:r>
      <w:r w:rsidRPr="00E54AAA">
        <w:rPr>
          <w:rFonts w:ascii="Arial" w:eastAsia="Times New Roman" w:hAnsi="Arial" w:cs="Arial"/>
          <w:lang w:eastAsia="cs-CZ"/>
        </w:rPr>
        <w:tab/>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válečný konflikt, přírodní katastrofa (např. povodeň), masivní výpadek elektrické energie nebo dodávek ropy, embargo nebo epidemie, popřípadě krizové opatření vyhlášené orgánem veřejné moci při epidemii.     </w:t>
      </w:r>
    </w:p>
    <w:p w14:paraId="4C9DA46B" w14:textId="77777777" w:rsidR="00E54AAA" w:rsidRPr="00E54AAA" w:rsidRDefault="00E54AAA" w:rsidP="00E54AAA">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9.2</w:t>
      </w:r>
      <w:r w:rsidRPr="00E54AAA">
        <w:rPr>
          <w:rFonts w:ascii="Arial" w:eastAsia="Times New Roman" w:hAnsi="Arial" w:cs="Arial"/>
          <w:lang w:eastAsia="cs-CZ"/>
        </w:rPr>
        <w:tab/>
        <w:t xml:space="preserve"> Za vyšší moc se pro účely této smlouvy nepovažuje překážka vzniklá z poměrů smluvní strany, která se překážky dle odstavce 9.1 dovolává, nebo vzniklá až v době, kdy byla tato smluvní strana v prodlení s plněním smluvené povinnosti.</w:t>
      </w:r>
    </w:p>
    <w:p w14:paraId="56B97EBA" w14:textId="77777777" w:rsidR="00E54AAA" w:rsidRPr="00E54AAA" w:rsidRDefault="00E54AAA" w:rsidP="00E54AAA">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lastRenderedPageBreak/>
        <w:t>9.3</w:t>
      </w:r>
      <w:r w:rsidRPr="00E54AAA">
        <w:rPr>
          <w:rFonts w:ascii="Arial" w:eastAsia="Times New Roman" w:hAnsi="Arial" w:cs="Arial"/>
          <w:lang w:eastAsia="cs-CZ"/>
        </w:rPr>
        <w:tab/>
        <w:t xml:space="preserve"> Smluvní strana postižená vyšší mocí je povinna neprodleně druhou smluvní stranu o výskytu vyšší moci písemně informovat.</w:t>
      </w:r>
    </w:p>
    <w:p w14:paraId="253F87F4" w14:textId="77777777" w:rsidR="00E54AAA" w:rsidRPr="00E54AAA" w:rsidRDefault="00E54AAA" w:rsidP="00E54AAA">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9.4</w:t>
      </w:r>
      <w:r w:rsidRPr="00E54AAA">
        <w:rPr>
          <w:rFonts w:ascii="Arial" w:eastAsia="Times New Roman" w:hAnsi="Arial" w:cs="Arial"/>
          <w:lang w:eastAsia="cs-CZ"/>
        </w:rPr>
        <w:tab/>
        <w:t xml:space="preserve"> 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114F6214" w14:textId="77777777" w:rsidR="00E54AAA" w:rsidRPr="00FA5149" w:rsidRDefault="00E54AAA" w:rsidP="00FF6BA3">
      <w:pPr>
        <w:pStyle w:val="Odstavecseseznamem"/>
        <w:keepLines/>
        <w:spacing w:before="120" w:after="12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X</w:t>
      </w:r>
      <w:r w:rsidRPr="00FA5149">
        <w:rPr>
          <w:rFonts w:ascii="Arial" w:eastAsia="Times New Roman" w:hAnsi="Arial" w:cs="Arial"/>
          <w:b/>
          <w:bCs/>
          <w:szCs w:val="24"/>
          <w:lang w:eastAsia="cs-CZ"/>
        </w:rPr>
        <w:t>. Závěrečná ustanovení</w:t>
      </w:r>
    </w:p>
    <w:p w14:paraId="2D7242DA" w14:textId="77777777" w:rsidR="00E54AAA" w:rsidRPr="005D4C3F" w:rsidRDefault="00E54AAA" w:rsidP="00E54AAA">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 xml:space="preserve">.1 Tato smlouva může být měněna a doplňována pouze písemnými a očíslovanými dodatky podepsanými oprávněnými zástupci smluvních stran, není-li v této smlouvě uvedeno jinak. </w:t>
      </w:r>
    </w:p>
    <w:p w14:paraId="137B77C5" w14:textId="77777777" w:rsidR="00E54AAA" w:rsidRPr="005D4C3F" w:rsidRDefault="00E54AAA" w:rsidP="00E54AAA">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 xml:space="preserve">.2 Ve věcech touto smlouvou neupravených se řídí práva a povinnosti smluvních stran příslušnými ustanoveními zákona č. 89/2012 Sb., občanského zákoníku. </w:t>
      </w:r>
    </w:p>
    <w:p w14:paraId="02AE7A7D" w14:textId="77777777" w:rsidR="00E54AAA" w:rsidRPr="005D4C3F" w:rsidRDefault="00E54AAA" w:rsidP="00E54AAA">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7A9DD08B" w14:textId="0A3C0A77" w:rsidR="00E54AAA" w:rsidRPr="005D4C3F" w:rsidRDefault="00E54AAA" w:rsidP="00E54AAA">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 xml:space="preserve">.4 </w:t>
      </w:r>
      <w:r w:rsidR="00FF6BA3" w:rsidRPr="00F07145">
        <w:rPr>
          <w:rFonts w:ascii="Arial" w:eastAsia="Times New Roman" w:hAnsi="Arial" w:cs="Arial"/>
          <w:szCs w:val="24"/>
          <w:lang w:eastAsia="cs-CZ"/>
        </w:rPr>
        <w:t>Tato smlouva je vyhotovena ve dvou stejnopisech, z nichž každý má platnost originálu. Jeden stejnopis obdrží objednatel, jeden stejnopis obdrží zhotovitel.</w:t>
      </w:r>
      <w:r w:rsidRPr="005D4C3F">
        <w:rPr>
          <w:rFonts w:ascii="Arial" w:eastAsia="Times New Roman" w:hAnsi="Arial" w:cs="Arial"/>
          <w:szCs w:val="24"/>
          <w:lang w:eastAsia="cs-CZ"/>
        </w:rPr>
        <w:t xml:space="preserve"> </w:t>
      </w:r>
    </w:p>
    <w:p w14:paraId="13565B1D" w14:textId="77777777" w:rsidR="00E54AAA" w:rsidRPr="005D4C3F" w:rsidRDefault="00E54AAA" w:rsidP="00E54AAA">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.5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72F22041" w14:textId="77777777" w:rsidR="00E54AAA" w:rsidRPr="005D4C3F" w:rsidRDefault="00E54AAA" w:rsidP="00E54AAA">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.6 Obě smluvní strany prohlašují, že se seznámily s celým textem smlouvy včetně jejich příloh a s celým obsahem smlouvy souhlasí. Současně prohlašují, že tato smlouva nebyla sjednána v tísni ani za jinak nápadně nevýhodných podmínek.</w:t>
      </w:r>
    </w:p>
    <w:p w14:paraId="4DCC4AB5" w14:textId="77777777" w:rsidR="00E54AAA" w:rsidRPr="005D4C3F" w:rsidRDefault="00E54AAA" w:rsidP="00E54AAA">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.7 Nedílnou součástí smlouvy jsou tyto přílohy:</w:t>
      </w:r>
    </w:p>
    <w:p w14:paraId="315AED94" w14:textId="77777777" w:rsidR="00E54AAA" w:rsidRDefault="00E54AAA" w:rsidP="00E54AAA">
      <w:pPr>
        <w:keepLines/>
        <w:spacing w:before="120" w:after="120" w:line="240" w:lineRule="auto"/>
        <w:ind w:left="340"/>
        <w:jc w:val="both"/>
        <w:rPr>
          <w:rFonts w:ascii="Arial" w:eastAsia="Times New Roman" w:hAnsi="Arial" w:cs="Arial"/>
          <w:szCs w:val="24"/>
          <w:lang w:eastAsia="cs-CZ"/>
        </w:rPr>
      </w:pPr>
      <w:r w:rsidRPr="005D4C3F">
        <w:rPr>
          <w:rFonts w:ascii="Arial" w:eastAsia="Times New Roman" w:hAnsi="Arial" w:cs="Arial"/>
          <w:szCs w:val="24"/>
          <w:lang w:eastAsia="cs-CZ"/>
        </w:rPr>
        <w:t xml:space="preserve">Příloha č. 1 – </w:t>
      </w:r>
      <w:r>
        <w:rPr>
          <w:rFonts w:ascii="Arial" w:eastAsia="Times New Roman" w:hAnsi="Arial" w:cs="Arial"/>
          <w:szCs w:val="24"/>
          <w:lang w:eastAsia="cs-CZ"/>
        </w:rPr>
        <w:t>položkový rozpočet</w:t>
      </w:r>
    </w:p>
    <w:p w14:paraId="085908DB" w14:textId="77777777" w:rsidR="00E54AAA" w:rsidRPr="005D4C3F" w:rsidRDefault="00E54AAA" w:rsidP="00E54AAA">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Příloha č. 2 – mapový zákres</w:t>
      </w:r>
    </w:p>
    <w:p w14:paraId="5AB574FA" w14:textId="77777777" w:rsidR="00C040FC" w:rsidRPr="00C040FC" w:rsidRDefault="00C040FC" w:rsidP="00C040FC">
      <w:pPr>
        <w:keepLines/>
        <w:spacing w:before="120" w:after="120" w:line="240" w:lineRule="auto"/>
        <w:ind w:left="340"/>
        <w:jc w:val="both"/>
        <w:rPr>
          <w:rFonts w:ascii="Times New Roman" w:eastAsia="Times New Roman" w:hAnsi="Times New Roman" w:cs="Times New Roman"/>
          <w:sz w:val="24"/>
          <w:szCs w:val="24"/>
          <w:lang w:eastAsia="cs-CZ"/>
        </w:rPr>
      </w:pPr>
    </w:p>
    <w:p w14:paraId="7E55763B" w14:textId="77777777" w:rsidR="00C040FC" w:rsidRPr="00C040FC" w:rsidRDefault="00C040FC" w:rsidP="00C040FC">
      <w:pPr>
        <w:spacing w:after="0" w:line="240" w:lineRule="auto"/>
        <w:jc w:val="both"/>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1091"/>
        <w:gridCol w:w="1474"/>
        <w:gridCol w:w="366"/>
        <w:gridCol w:w="60"/>
        <w:gridCol w:w="420"/>
        <w:gridCol w:w="1411"/>
        <w:gridCol w:w="178"/>
        <w:gridCol w:w="60"/>
      </w:tblGrid>
      <w:tr w:rsidR="00C040FC" w:rsidRPr="00C040FC" w14:paraId="754843A3" w14:textId="77777777" w:rsidTr="00732587">
        <w:trPr>
          <w:gridAfter w:val="2"/>
          <w:wAfter w:w="238" w:type="dxa"/>
          <w:trHeight w:val="915"/>
          <w:jc w:val="center"/>
        </w:trPr>
        <w:tc>
          <w:tcPr>
            <w:tcW w:w="1673" w:type="dxa"/>
            <w:gridSpan w:val="2"/>
            <w:tcBorders>
              <w:top w:val="nil"/>
              <w:left w:val="nil"/>
              <w:bottom w:val="nil"/>
              <w:right w:val="nil"/>
            </w:tcBorders>
            <w:shd w:val="clear" w:color="auto" w:fill="auto"/>
            <w:vAlign w:val="center"/>
            <w:hideMark/>
          </w:tcPr>
          <w:p w14:paraId="2FA5A65A" w14:textId="77777777" w:rsidR="00C040FC" w:rsidRPr="00C040FC" w:rsidRDefault="00C040FC" w:rsidP="00C040FC">
            <w:pPr>
              <w:spacing w:after="0" w:line="240" w:lineRule="auto"/>
              <w:jc w:val="center"/>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r w:rsidRPr="00C040FC">
              <w:rPr>
                <w:rFonts w:ascii="Arial" w:eastAsia="Times New Roman" w:hAnsi="Arial" w:cs="Arial"/>
                <w:szCs w:val="24"/>
                <w:lang w:eastAsia="cs-CZ"/>
              </w:rPr>
              <w:t>V ...................</w:t>
            </w:r>
          </w:p>
        </w:tc>
        <w:tc>
          <w:tcPr>
            <w:tcW w:w="367" w:type="dxa"/>
            <w:tcBorders>
              <w:top w:val="nil"/>
              <w:left w:val="nil"/>
              <w:bottom w:val="nil"/>
              <w:right w:val="nil"/>
            </w:tcBorders>
            <w:shd w:val="clear" w:color="auto" w:fill="auto"/>
            <w:vAlign w:val="center"/>
            <w:hideMark/>
          </w:tcPr>
          <w:p w14:paraId="00EB9A59"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972" w:type="dxa"/>
            <w:gridSpan w:val="3"/>
            <w:tcBorders>
              <w:top w:val="nil"/>
              <w:left w:val="nil"/>
              <w:bottom w:val="nil"/>
              <w:right w:val="nil"/>
            </w:tcBorders>
            <w:shd w:val="clear" w:color="auto" w:fill="auto"/>
            <w:vAlign w:val="center"/>
            <w:hideMark/>
          </w:tcPr>
          <w:p w14:paraId="698CFF07"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dne ...................</w:t>
            </w:r>
          </w:p>
        </w:tc>
        <w:tc>
          <w:tcPr>
            <w:tcW w:w="1091" w:type="dxa"/>
            <w:tcBorders>
              <w:top w:val="nil"/>
              <w:left w:val="nil"/>
              <w:bottom w:val="nil"/>
              <w:right w:val="nil"/>
            </w:tcBorders>
            <w:shd w:val="clear" w:color="auto" w:fill="auto"/>
            <w:vAlign w:val="center"/>
            <w:hideMark/>
          </w:tcPr>
          <w:p w14:paraId="6120A04F"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74" w:type="dxa"/>
            <w:tcBorders>
              <w:top w:val="nil"/>
              <w:left w:val="nil"/>
              <w:bottom w:val="nil"/>
              <w:right w:val="nil"/>
            </w:tcBorders>
            <w:shd w:val="clear" w:color="auto" w:fill="auto"/>
            <w:tcMar>
              <w:top w:w="0" w:type="dxa"/>
              <w:left w:w="15" w:type="dxa"/>
              <w:bottom w:w="0" w:type="dxa"/>
              <w:right w:w="15" w:type="dxa"/>
            </w:tcMar>
            <w:vAlign w:val="center"/>
            <w:hideMark/>
          </w:tcPr>
          <w:p w14:paraId="3BB2EA2A" w14:textId="552E478B" w:rsidR="00C040FC" w:rsidRPr="00C040FC" w:rsidRDefault="00C040FC" w:rsidP="00C040FC">
            <w:pPr>
              <w:spacing w:after="0"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V </w:t>
            </w:r>
            <w:r w:rsidR="00732587">
              <w:rPr>
                <w:rFonts w:ascii="Arial" w:eastAsia="Times New Roman" w:hAnsi="Arial" w:cs="Arial"/>
                <w:szCs w:val="24"/>
                <w:lang w:eastAsia="cs-CZ"/>
              </w:rPr>
              <w:t>Prostějově</w:t>
            </w:r>
          </w:p>
        </w:tc>
        <w:tc>
          <w:tcPr>
            <w:tcW w:w="366" w:type="dxa"/>
            <w:tcBorders>
              <w:top w:val="nil"/>
              <w:left w:val="nil"/>
              <w:bottom w:val="nil"/>
              <w:right w:val="nil"/>
            </w:tcBorders>
            <w:shd w:val="clear" w:color="auto" w:fill="auto"/>
            <w:vAlign w:val="center"/>
            <w:hideMark/>
          </w:tcPr>
          <w:p w14:paraId="59CE2393"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891" w:type="dxa"/>
            <w:gridSpan w:val="3"/>
            <w:tcBorders>
              <w:top w:val="nil"/>
              <w:left w:val="nil"/>
              <w:bottom w:val="nil"/>
              <w:right w:val="nil"/>
            </w:tcBorders>
            <w:shd w:val="clear" w:color="auto" w:fill="auto"/>
            <w:vAlign w:val="center"/>
            <w:hideMark/>
          </w:tcPr>
          <w:p w14:paraId="5437A1D5"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dne ...................</w:t>
            </w:r>
          </w:p>
        </w:tc>
      </w:tr>
      <w:tr w:rsidR="00C040FC" w:rsidRPr="00C040FC" w14:paraId="02302C45" w14:textId="77777777" w:rsidTr="00732587">
        <w:trPr>
          <w:gridAfter w:val="2"/>
          <w:wAfter w:w="238" w:type="dxa"/>
          <w:trHeight w:val="186"/>
          <w:jc w:val="center"/>
        </w:trPr>
        <w:tc>
          <w:tcPr>
            <w:tcW w:w="3765" w:type="dxa"/>
            <w:gridSpan w:val="5"/>
            <w:tcBorders>
              <w:top w:val="nil"/>
              <w:left w:val="nil"/>
              <w:bottom w:val="nil"/>
              <w:right w:val="nil"/>
            </w:tcBorders>
            <w:shd w:val="clear" w:color="auto" w:fill="auto"/>
            <w:vAlign w:val="center"/>
            <w:hideMark/>
          </w:tcPr>
          <w:p w14:paraId="7057CD8E"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338"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375BED6"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731"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07271A7F"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r>
      <w:tr w:rsidR="00C040FC" w:rsidRPr="00C040FC" w14:paraId="1246AE98" w14:textId="77777777" w:rsidTr="00732587">
        <w:trPr>
          <w:gridAfter w:val="2"/>
          <w:wAfter w:w="238" w:type="dxa"/>
          <w:jc w:val="center"/>
        </w:trPr>
        <w:tc>
          <w:tcPr>
            <w:tcW w:w="3765" w:type="dxa"/>
            <w:gridSpan w:val="5"/>
            <w:tcBorders>
              <w:top w:val="nil"/>
              <w:left w:val="nil"/>
              <w:bottom w:val="nil"/>
              <w:right w:val="nil"/>
            </w:tcBorders>
            <w:shd w:val="clear" w:color="auto" w:fill="auto"/>
            <w:vAlign w:val="center"/>
            <w:hideMark/>
          </w:tcPr>
          <w:p w14:paraId="0D1EF40A"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Objednatel</w:t>
            </w:r>
          </w:p>
        </w:tc>
        <w:tc>
          <w:tcPr>
            <w:tcW w:w="1338"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784D41C"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731"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3DCA3B03"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Zhotovitel</w:t>
            </w:r>
          </w:p>
        </w:tc>
      </w:tr>
      <w:tr w:rsidR="00C040FC" w:rsidRPr="00C040FC" w14:paraId="75A5665C" w14:textId="77777777" w:rsidTr="00732587">
        <w:trPr>
          <w:gridAfter w:val="2"/>
          <w:wAfter w:w="238" w:type="dxa"/>
          <w:trHeight w:val="388"/>
          <w:jc w:val="center"/>
        </w:trPr>
        <w:tc>
          <w:tcPr>
            <w:tcW w:w="855" w:type="dxa"/>
            <w:tcBorders>
              <w:top w:val="nil"/>
              <w:left w:val="nil"/>
              <w:bottom w:val="nil"/>
              <w:right w:val="nil"/>
            </w:tcBorders>
            <w:shd w:val="clear" w:color="auto" w:fill="auto"/>
            <w:vAlign w:val="center"/>
            <w:hideMark/>
          </w:tcPr>
          <w:p w14:paraId="3CA4C227"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14:paraId="17B93035"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367B1328"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14:paraId="2A9ABE53"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338" w:type="dxa"/>
            <w:gridSpan w:val="2"/>
            <w:tcBorders>
              <w:top w:val="nil"/>
              <w:left w:val="nil"/>
              <w:bottom w:val="nil"/>
              <w:right w:val="nil"/>
            </w:tcBorders>
            <w:shd w:val="clear" w:color="auto" w:fill="auto"/>
            <w:vAlign w:val="center"/>
            <w:hideMark/>
          </w:tcPr>
          <w:p w14:paraId="0D8432FF"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74" w:type="dxa"/>
            <w:tcBorders>
              <w:top w:val="nil"/>
              <w:left w:val="nil"/>
              <w:bottom w:val="nil"/>
              <w:right w:val="nil"/>
            </w:tcBorders>
            <w:shd w:val="clear" w:color="auto" w:fill="auto"/>
            <w:vAlign w:val="center"/>
            <w:hideMark/>
          </w:tcPr>
          <w:p w14:paraId="23A526FF"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14:paraId="11D5CD9F"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23DFD17"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11" w:type="dxa"/>
            <w:tcBorders>
              <w:top w:val="nil"/>
              <w:left w:val="nil"/>
              <w:bottom w:val="nil"/>
              <w:right w:val="nil"/>
            </w:tcBorders>
            <w:shd w:val="clear" w:color="auto" w:fill="auto"/>
            <w:tcMar>
              <w:top w:w="0" w:type="dxa"/>
              <w:left w:w="15" w:type="dxa"/>
              <w:bottom w:w="0" w:type="dxa"/>
              <w:right w:w="15" w:type="dxa"/>
            </w:tcMar>
            <w:vAlign w:val="center"/>
            <w:hideMark/>
          </w:tcPr>
          <w:p w14:paraId="2F233B44"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r>
      <w:tr w:rsidR="00C040FC" w:rsidRPr="00C040FC" w14:paraId="38350EEB" w14:textId="77777777" w:rsidTr="00732587">
        <w:trPr>
          <w:gridAfter w:val="2"/>
          <w:wAfter w:w="238" w:type="dxa"/>
          <w:trHeight w:val="1268"/>
          <w:jc w:val="center"/>
        </w:trPr>
        <w:tc>
          <w:tcPr>
            <w:tcW w:w="855" w:type="dxa"/>
            <w:tcBorders>
              <w:top w:val="nil"/>
              <w:left w:val="nil"/>
              <w:bottom w:val="nil"/>
              <w:right w:val="nil"/>
            </w:tcBorders>
            <w:shd w:val="clear" w:color="auto" w:fill="auto"/>
            <w:vAlign w:val="center"/>
            <w:hideMark/>
          </w:tcPr>
          <w:p w14:paraId="6554BC46"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14:paraId="7EC7B626"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4EA3BF26"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14:paraId="7AE8EBA5"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338" w:type="dxa"/>
            <w:gridSpan w:val="2"/>
            <w:tcBorders>
              <w:top w:val="nil"/>
              <w:left w:val="nil"/>
              <w:bottom w:val="nil"/>
              <w:right w:val="nil"/>
            </w:tcBorders>
            <w:shd w:val="clear" w:color="auto" w:fill="auto"/>
            <w:vAlign w:val="center"/>
            <w:hideMark/>
          </w:tcPr>
          <w:p w14:paraId="54A506C9"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74" w:type="dxa"/>
            <w:tcBorders>
              <w:top w:val="nil"/>
              <w:left w:val="nil"/>
              <w:bottom w:val="nil"/>
              <w:right w:val="nil"/>
            </w:tcBorders>
            <w:shd w:val="clear" w:color="auto" w:fill="auto"/>
            <w:vAlign w:val="center"/>
            <w:hideMark/>
          </w:tcPr>
          <w:p w14:paraId="5A0231F2"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14:paraId="21430475"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230EB36E"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11" w:type="dxa"/>
            <w:tcBorders>
              <w:top w:val="nil"/>
              <w:left w:val="nil"/>
              <w:bottom w:val="nil"/>
              <w:right w:val="nil"/>
            </w:tcBorders>
            <w:shd w:val="clear" w:color="auto" w:fill="auto"/>
            <w:tcMar>
              <w:top w:w="0" w:type="dxa"/>
              <w:left w:w="15" w:type="dxa"/>
              <w:bottom w:w="0" w:type="dxa"/>
              <w:right w:w="15" w:type="dxa"/>
            </w:tcMar>
            <w:vAlign w:val="center"/>
            <w:hideMark/>
          </w:tcPr>
          <w:p w14:paraId="06063BE9"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r>
      <w:tr w:rsidR="00C040FC" w:rsidRPr="00C040FC" w14:paraId="165FAEDD" w14:textId="77777777" w:rsidTr="00732587">
        <w:trPr>
          <w:gridAfter w:val="2"/>
          <w:wAfter w:w="238" w:type="dxa"/>
          <w:jc w:val="center"/>
        </w:trPr>
        <w:tc>
          <w:tcPr>
            <w:tcW w:w="3765" w:type="dxa"/>
            <w:gridSpan w:val="5"/>
            <w:tcBorders>
              <w:top w:val="nil"/>
              <w:left w:val="nil"/>
              <w:bottom w:val="nil"/>
              <w:right w:val="nil"/>
            </w:tcBorders>
            <w:shd w:val="clear" w:color="auto" w:fill="auto"/>
            <w:vAlign w:val="center"/>
            <w:hideMark/>
          </w:tcPr>
          <w:p w14:paraId="668A2CD4" w14:textId="77777777" w:rsidR="00C040FC" w:rsidRPr="00C040FC" w:rsidRDefault="00C040FC" w:rsidP="00C040FC">
            <w:pPr>
              <w:spacing w:after="0"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 xml:space="preserve">Ing. Michal Servus </w:t>
            </w:r>
            <w:r w:rsidRPr="00C040FC">
              <w:rPr>
                <w:rFonts w:ascii="Arial" w:eastAsia="Times New Roman" w:hAnsi="Arial" w:cs="Arial"/>
                <w:b/>
                <w:bCs/>
                <w:szCs w:val="24"/>
                <w:lang w:eastAsia="cs-CZ"/>
              </w:rPr>
              <w:br/>
              <w:t>ředitel RP Olomoucko</w:t>
            </w:r>
          </w:p>
        </w:tc>
        <w:tc>
          <w:tcPr>
            <w:tcW w:w="1338"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DE6AA97"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731"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030E5B05" w14:textId="54ACBECD" w:rsidR="00C040FC" w:rsidRDefault="001F77B1" w:rsidP="00732587">
            <w:pPr>
              <w:spacing w:after="0" w:line="240" w:lineRule="auto"/>
              <w:rPr>
                <w:rFonts w:ascii="Arial" w:eastAsia="Times New Roman" w:hAnsi="Arial" w:cs="Arial"/>
                <w:b/>
                <w:bCs/>
                <w:szCs w:val="24"/>
                <w:lang w:eastAsia="cs-CZ"/>
              </w:rPr>
            </w:pPr>
            <w:r>
              <w:rPr>
                <w:rFonts w:ascii="Arial" w:eastAsia="Times New Roman" w:hAnsi="Arial" w:cs="Arial"/>
                <w:b/>
                <w:bCs/>
                <w:szCs w:val="24"/>
                <w:lang w:eastAsia="cs-CZ"/>
              </w:rPr>
              <w:t xml:space="preserve">     </w:t>
            </w:r>
            <w:r w:rsidR="00732587">
              <w:rPr>
                <w:rFonts w:ascii="Arial" w:eastAsia="Times New Roman" w:hAnsi="Arial" w:cs="Arial"/>
                <w:b/>
                <w:bCs/>
                <w:szCs w:val="24"/>
                <w:lang w:eastAsia="cs-CZ"/>
              </w:rPr>
              <w:t>Mgr. Eva Zatloukalová</w:t>
            </w:r>
          </w:p>
          <w:p w14:paraId="752B3A12" w14:textId="5E3413D7" w:rsidR="00732587" w:rsidRPr="00732587" w:rsidRDefault="00732587" w:rsidP="00732587">
            <w:pPr>
              <w:spacing w:after="0" w:line="240" w:lineRule="auto"/>
              <w:rPr>
                <w:rFonts w:ascii="Arial" w:eastAsia="Times New Roman" w:hAnsi="Arial" w:cs="Arial"/>
                <w:b/>
                <w:bCs/>
                <w:szCs w:val="24"/>
                <w:lang w:eastAsia="cs-CZ"/>
              </w:rPr>
            </w:pPr>
            <w:r w:rsidRPr="00732587">
              <w:rPr>
                <w:rFonts w:ascii="Arial" w:eastAsia="Times New Roman" w:hAnsi="Arial" w:cs="Arial"/>
                <w:b/>
                <w:bCs/>
                <w:szCs w:val="24"/>
                <w:lang w:eastAsia="cs-CZ"/>
              </w:rPr>
              <w:t>předsedkyně ČSOP – RS Iris</w:t>
            </w:r>
          </w:p>
        </w:tc>
      </w:tr>
      <w:tr w:rsidR="00C040FC" w:rsidRPr="00C040FC" w14:paraId="252D2E77" w14:textId="77777777" w:rsidTr="00732587">
        <w:trPr>
          <w:jc w:val="center"/>
        </w:trPr>
        <w:tc>
          <w:tcPr>
            <w:tcW w:w="855" w:type="dxa"/>
            <w:tcBorders>
              <w:top w:val="nil"/>
              <w:left w:val="nil"/>
              <w:bottom w:val="nil"/>
              <w:right w:val="nil"/>
            </w:tcBorders>
            <w:shd w:val="clear" w:color="auto" w:fill="auto"/>
            <w:vAlign w:val="center"/>
            <w:hideMark/>
          </w:tcPr>
          <w:p w14:paraId="6FC42488"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818" w:type="dxa"/>
            <w:tcBorders>
              <w:top w:val="nil"/>
              <w:left w:val="nil"/>
              <w:bottom w:val="nil"/>
              <w:right w:val="nil"/>
            </w:tcBorders>
            <w:shd w:val="clear" w:color="auto" w:fill="auto"/>
            <w:vAlign w:val="center"/>
            <w:hideMark/>
          </w:tcPr>
          <w:p w14:paraId="52BA63DA"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67" w:type="dxa"/>
            <w:tcBorders>
              <w:top w:val="nil"/>
              <w:left w:val="nil"/>
              <w:bottom w:val="nil"/>
              <w:right w:val="nil"/>
            </w:tcBorders>
            <w:shd w:val="clear" w:color="auto" w:fill="auto"/>
            <w:vAlign w:val="center"/>
            <w:hideMark/>
          </w:tcPr>
          <w:p w14:paraId="53957225"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2748C804"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14:paraId="2E2DFB60"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338" w:type="dxa"/>
            <w:gridSpan w:val="2"/>
            <w:tcBorders>
              <w:top w:val="nil"/>
              <w:left w:val="nil"/>
              <w:bottom w:val="nil"/>
              <w:right w:val="nil"/>
            </w:tcBorders>
            <w:shd w:val="clear" w:color="auto" w:fill="auto"/>
            <w:vAlign w:val="center"/>
            <w:hideMark/>
          </w:tcPr>
          <w:p w14:paraId="35115503"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74" w:type="dxa"/>
            <w:tcBorders>
              <w:top w:val="nil"/>
              <w:left w:val="nil"/>
              <w:bottom w:val="nil"/>
              <w:right w:val="nil"/>
            </w:tcBorders>
            <w:shd w:val="clear" w:color="auto" w:fill="auto"/>
            <w:vAlign w:val="center"/>
            <w:hideMark/>
          </w:tcPr>
          <w:p w14:paraId="74F72456"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14:paraId="4839E5B0"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702D60E2"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2009" w:type="dxa"/>
            <w:gridSpan w:val="3"/>
            <w:tcBorders>
              <w:top w:val="nil"/>
              <w:left w:val="nil"/>
              <w:bottom w:val="nil"/>
              <w:right w:val="nil"/>
            </w:tcBorders>
            <w:shd w:val="clear" w:color="auto" w:fill="auto"/>
            <w:vAlign w:val="center"/>
            <w:hideMark/>
          </w:tcPr>
          <w:p w14:paraId="17EAB70A"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227CB4B4" w14:textId="77777777" w:rsidR="00C040FC" w:rsidRPr="00C040FC" w:rsidRDefault="00C040FC" w:rsidP="00C040FC">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r>
    </w:tbl>
    <w:p w14:paraId="515C533C" w14:textId="77777777" w:rsidR="00882E8D" w:rsidRDefault="005B7F52"/>
    <w:sectPr w:rsidR="0088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1AA"/>
    <w:multiLevelType w:val="hybridMultilevel"/>
    <w:tmpl w:val="D0EA28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FC"/>
    <w:rsid w:val="000956CF"/>
    <w:rsid w:val="000B155F"/>
    <w:rsid w:val="001F77B1"/>
    <w:rsid w:val="00210725"/>
    <w:rsid w:val="003347B1"/>
    <w:rsid w:val="00341E35"/>
    <w:rsid w:val="005B7F52"/>
    <w:rsid w:val="0064114B"/>
    <w:rsid w:val="00675F6A"/>
    <w:rsid w:val="0071003A"/>
    <w:rsid w:val="00732587"/>
    <w:rsid w:val="009E6227"/>
    <w:rsid w:val="00AC0279"/>
    <w:rsid w:val="00AF3C05"/>
    <w:rsid w:val="00C040FC"/>
    <w:rsid w:val="00E54AAA"/>
    <w:rsid w:val="00E6252D"/>
    <w:rsid w:val="00FF6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040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40FC"/>
    <w:rPr>
      <w:b/>
      <w:bCs/>
    </w:rPr>
  </w:style>
  <w:style w:type="character" w:styleId="Hypertextovodkaz">
    <w:name w:val="Hyperlink"/>
    <w:basedOn w:val="Standardnpsmoodstavce"/>
    <w:uiPriority w:val="99"/>
    <w:semiHidden/>
    <w:unhideWhenUsed/>
    <w:rsid w:val="00C040FC"/>
    <w:rPr>
      <w:color w:val="0000FF"/>
      <w:u w:val="single"/>
    </w:rPr>
  </w:style>
  <w:style w:type="character" w:styleId="Odkaznakoment">
    <w:name w:val="annotation reference"/>
    <w:basedOn w:val="Standardnpsmoodstavce"/>
    <w:uiPriority w:val="99"/>
    <w:semiHidden/>
    <w:unhideWhenUsed/>
    <w:rsid w:val="00E6252D"/>
    <w:rPr>
      <w:sz w:val="16"/>
      <w:szCs w:val="16"/>
    </w:rPr>
  </w:style>
  <w:style w:type="paragraph" w:styleId="Textkomente">
    <w:name w:val="annotation text"/>
    <w:basedOn w:val="Normln"/>
    <w:link w:val="TextkomenteChar"/>
    <w:uiPriority w:val="99"/>
    <w:semiHidden/>
    <w:unhideWhenUsed/>
    <w:rsid w:val="00E6252D"/>
    <w:pPr>
      <w:spacing w:line="240" w:lineRule="auto"/>
    </w:pPr>
    <w:rPr>
      <w:sz w:val="20"/>
      <w:szCs w:val="20"/>
    </w:rPr>
  </w:style>
  <w:style w:type="character" w:customStyle="1" w:styleId="TextkomenteChar">
    <w:name w:val="Text komentáře Char"/>
    <w:basedOn w:val="Standardnpsmoodstavce"/>
    <w:link w:val="Textkomente"/>
    <w:uiPriority w:val="99"/>
    <w:semiHidden/>
    <w:rsid w:val="00E6252D"/>
    <w:rPr>
      <w:sz w:val="20"/>
      <w:szCs w:val="20"/>
    </w:rPr>
  </w:style>
  <w:style w:type="paragraph" w:styleId="Pedmtkomente">
    <w:name w:val="annotation subject"/>
    <w:basedOn w:val="Textkomente"/>
    <w:next w:val="Textkomente"/>
    <w:link w:val="PedmtkomenteChar"/>
    <w:uiPriority w:val="99"/>
    <w:semiHidden/>
    <w:unhideWhenUsed/>
    <w:rsid w:val="00E6252D"/>
    <w:rPr>
      <w:b/>
      <w:bCs/>
    </w:rPr>
  </w:style>
  <w:style w:type="character" w:customStyle="1" w:styleId="PedmtkomenteChar">
    <w:name w:val="Předmět komentáře Char"/>
    <w:basedOn w:val="TextkomenteChar"/>
    <w:link w:val="Pedmtkomente"/>
    <w:uiPriority w:val="99"/>
    <w:semiHidden/>
    <w:rsid w:val="00E6252D"/>
    <w:rPr>
      <w:b/>
      <w:bCs/>
      <w:sz w:val="20"/>
      <w:szCs w:val="20"/>
    </w:rPr>
  </w:style>
  <w:style w:type="paragraph" w:styleId="Textbubliny">
    <w:name w:val="Balloon Text"/>
    <w:basedOn w:val="Normln"/>
    <w:link w:val="TextbublinyChar"/>
    <w:uiPriority w:val="99"/>
    <w:semiHidden/>
    <w:unhideWhenUsed/>
    <w:rsid w:val="00E625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52D"/>
    <w:rPr>
      <w:rFonts w:ascii="Tahoma" w:hAnsi="Tahoma" w:cs="Tahoma"/>
      <w:sz w:val="16"/>
      <w:szCs w:val="16"/>
    </w:rPr>
  </w:style>
  <w:style w:type="paragraph" w:styleId="Odstavecseseznamem">
    <w:name w:val="List Paragraph"/>
    <w:basedOn w:val="Normln"/>
    <w:uiPriority w:val="34"/>
    <w:qFormat/>
    <w:rsid w:val="00E54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040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40FC"/>
    <w:rPr>
      <w:b/>
      <w:bCs/>
    </w:rPr>
  </w:style>
  <w:style w:type="character" w:styleId="Hypertextovodkaz">
    <w:name w:val="Hyperlink"/>
    <w:basedOn w:val="Standardnpsmoodstavce"/>
    <w:uiPriority w:val="99"/>
    <w:semiHidden/>
    <w:unhideWhenUsed/>
    <w:rsid w:val="00C040FC"/>
    <w:rPr>
      <w:color w:val="0000FF"/>
      <w:u w:val="single"/>
    </w:rPr>
  </w:style>
  <w:style w:type="character" w:styleId="Odkaznakoment">
    <w:name w:val="annotation reference"/>
    <w:basedOn w:val="Standardnpsmoodstavce"/>
    <w:uiPriority w:val="99"/>
    <w:semiHidden/>
    <w:unhideWhenUsed/>
    <w:rsid w:val="00E6252D"/>
    <w:rPr>
      <w:sz w:val="16"/>
      <w:szCs w:val="16"/>
    </w:rPr>
  </w:style>
  <w:style w:type="paragraph" w:styleId="Textkomente">
    <w:name w:val="annotation text"/>
    <w:basedOn w:val="Normln"/>
    <w:link w:val="TextkomenteChar"/>
    <w:uiPriority w:val="99"/>
    <w:semiHidden/>
    <w:unhideWhenUsed/>
    <w:rsid w:val="00E6252D"/>
    <w:pPr>
      <w:spacing w:line="240" w:lineRule="auto"/>
    </w:pPr>
    <w:rPr>
      <w:sz w:val="20"/>
      <w:szCs w:val="20"/>
    </w:rPr>
  </w:style>
  <w:style w:type="character" w:customStyle="1" w:styleId="TextkomenteChar">
    <w:name w:val="Text komentáře Char"/>
    <w:basedOn w:val="Standardnpsmoodstavce"/>
    <w:link w:val="Textkomente"/>
    <w:uiPriority w:val="99"/>
    <w:semiHidden/>
    <w:rsid w:val="00E6252D"/>
    <w:rPr>
      <w:sz w:val="20"/>
      <w:szCs w:val="20"/>
    </w:rPr>
  </w:style>
  <w:style w:type="paragraph" w:styleId="Pedmtkomente">
    <w:name w:val="annotation subject"/>
    <w:basedOn w:val="Textkomente"/>
    <w:next w:val="Textkomente"/>
    <w:link w:val="PedmtkomenteChar"/>
    <w:uiPriority w:val="99"/>
    <w:semiHidden/>
    <w:unhideWhenUsed/>
    <w:rsid w:val="00E6252D"/>
    <w:rPr>
      <w:b/>
      <w:bCs/>
    </w:rPr>
  </w:style>
  <w:style w:type="character" w:customStyle="1" w:styleId="PedmtkomenteChar">
    <w:name w:val="Předmět komentáře Char"/>
    <w:basedOn w:val="TextkomenteChar"/>
    <w:link w:val="Pedmtkomente"/>
    <w:uiPriority w:val="99"/>
    <w:semiHidden/>
    <w:rsid w:val="00E6252D"/>
    <w:rPr>
      <w:b/>
      <w:bCs/>
      <w:sz w:val="20"/>
      <w:szCs w:val="20"/>
    </w:rPr>
  </w:style>
  <w:style w:type="paragraph" w:styleId="Textbubliny">
    <w:name w:val="Balloon Text"/>
    <w:basedOn w:val="Normln"/>
    <w:link w:val="TextbublinyChar"/>
    <w:uiPriority w:val="99"/>
    <w:semiHidden/>
    <w:unhideWhenUsed/>
    <w:rsid w:val="00E625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52D"/>
    <w:rPr>
      <w:rFonts w:ascii="Tahoma" w:hAnsi="Tahoma" w:cs="Tahoma"/>
      <w:sz w:val="16"/>
      <w:szCs w:val="16"/>
    </w:rPr>
  </w:style>
  <w:style w:type="paragraph" w:styleId="Odstavecseseznamem">
    <w:name w:val="List Paragraph"/>
    <w:basedOn w:val="Normln"/>
    <w:uiPriority w:val="34"/>
    <w:qFormat/>
    <w:rsid w:val="00E5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rtal.nature.cz/publik_syst/files/oop_mngmonvy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10356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lenka.gillova</dc:creator>
  <cp:lastModifiedBy>Jana</cp:lastModifiedBy>
  <cp:revision>2</cp:revision>
  <dcterms:created xsi:type="dcterms:W3CDTF">2021-08-02T04:39:00Z</dcterms:created>
  <dcterms:modified xsi:type="dcterms:W3CDTF">2021-08-02T04:39:00Z</dcterms:modified>
</cp:coreProperties>
</file>