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B0" w:rsidRPr="00A83BD6" w:rsidRDefault="00FD54B0" w:rsidP="00FD54B0">
      <w:pPr>
        <w:rPr>
          <w:b/>
        </w:rPr>
      </w:pPr>
      <w:r w:rsidRPr="00A83BD6">
        <w:rPr>
          <w:b/>
        </w:rPr>
        <w:t xml:space="preserve">Účel </w:t>
      </w:r>
      <w:r w:rsidR="00F769B1">
        <w:rPr>
          <w:b/>
        </w:rPr>
        <w:t>průzkumu trhu</w:t>
      </w:r>
    </w:p>
    <w:p w:rsidR="00FD54B0" w:rsidRDefault="00FD54B0" w:rsidP="00FD54B0">
      <w:pPr>
        <w:spacing w:after="0" w:line="240" w:lineRule="auto"/>
      </w:pPr>
      <w:r>
        <w:t>J</w:t>
      </w:r>
      <w:r w:rsidRPr="00450169">
        <w:t xml:space="preserve">e </w:t>
      </w:r>
      <w:r>
        <w:t xml:space="preserve">zajištění internetové konektivity lokality </w:t>
      </w:r>
      <w:proofErr w:type="spellStart"/>
      <w:r>
        <w:t>Těšnov</w:t>
      </w:r>
      <w:proofErr w:type="spellEnd"/>
      <w:r>
        <w:t xml:space="preserve"> formou služby. Stávajícím službám končí smluvní platnost a je zapotřebí tuto službu zajistit od </w:t>
      </w:r>
      <w:proofErr w:type="gramStart"/>
      <w:r>
        <w:t>1.3.2020</w:t>
      </w:r>
      <w:proofErr w:type="gramEnd"/>
      <w:r>
        <w:t>.</w:t>
      </w:r>
    </w:p>
    <w:p w:rsidR="00FD54B0" w:rsidRDefault="00FD54B0" w:rsidP="00FD54B0">
      <w:pPr>
        <w:spacing w:after="0" w:line="240" w:lineRule="auto"/>
      </w:pPr>
    </w:p>
    <w:p w:rsidR="00FD54B0" w:rsidRPr="00C77138" w:rsidRDefault="00FD54B0" w:rsidP="00FD54B0">
      <w:r w:rsidRPr="00295636">
        <w:rPr>
          <w:b/>
        </w:rPr>
        <w:t>Technická specifikace</w:t>
      </w:r>
    </w:p>
    <w:p w:rsidR="00FD54B0" w:rsidRPr="00CF6A27" w:rsidRDefault="00FD54B0" w:rsidP="00FD54B0">
      <w:pPr>
        <w:pStyle w:val="RLlneksmlouvy"/>
        <w:numPr>
          <w:ilvl w:val="0"/>
          <w:numId w:val="0"/>
        </w:numPr>
        <w:spacing w:before="0" w:after="0"/>
        <w:ind w:left="737" w:hanging="737"/>
        <w:rPr>
          <w:rFonts w:asciiTheme="minorHAnsi" w:hAnsiTheme="minorHAnsi"/>
          <w:sz w:val="20"/>
          <w:lang w:val="cs-CZ"/>
        </w:rPr>
      </w:pPr>
      <w:r w:rsidRPr="00E800D0">
        <w:rPr>
          <w:rFonts w:asciiTheme="minorHAnsi" w:hAnsiTheme="minorHAnsi"/>
          <w:sz w:val="20"/>
        </w:rPr>
        <w:t xml:space="preserve">ID: </w:t>
      </w:r>
      <w:proofErr w:type="spellStart"/>
      <w:r w:rsidRPr="00E800D0">
        <w:rPr>
          <w:rFonts w:asciiTheme="minorHAnsi" w:hAnsiTheme="minorHAnsi"/>
          <w:sz w:val="20"/>
          <w:lang w:val="cs-CZ"/>
        </w:rPr>
        <w:t>KONEKTIVITA_</w:t>
      </w:r>
      <w:r>
        <w:rPr>
          <w:rFonts w:asciiTheme="minorHAnsi" w:hAnsiTheme="minorHAnsi"/>
          <w:sz w:val="20"/>
          <w:lang w:val="cs-CZ"/>
        </w:rPr>
        <w:t>IntTesnov</w:t>
      </w:r>
      <w:proofErr w:type="spellEnd"/>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566"/>
        <w:gridCol w:w="420"/>
        <w:gridCol w:w="424"/>
        <w:gridCol w:w="6"/>
        <w:gridCol w:w="6"/>
        <w:gridCol w:w="278"/>
        <w:gridCol w:w="585"/>
        <w:gridCol w:w="681"/>
        <w:gridCol w:w="2136"/>
        <w:gridCol w:w="362"/>
        <w:gridCol w:w="630"/>
        <w:gridCol w:w="832"/>
        <w:gridCol w:w="160"/>
        <w:gridCol w:w="1560"/>
      </w:tblGrid>
      <w:tr w:rsidR="00FD54B0" w:rsidRPr="00CA0696" w:rsidTr="00C035A7">
        <w:trPr>
          <w:trHeight w:val="347"/>
        </w:trPr>
        <w:tc>
          <w:tcPr>
            <w:tcW w:w="2841"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rsidR="00FD54B0" w:rsidRPr="00E800D0" w:rsidRDefault="00FD54B0" w:rsidP="00C035A7">
            <w:pPr>
              <w:keepLines/>
              <w:widowControl w:val="0"/>
              <w:spacing w:after="0" w:line="288" w:lineRule="auto"/>
              <w:rPr>
                <w:b/>
                <w:sz w:val="20"/>
                <w:szCs w:val="20"/>
              </w:rPr>
            </w:pPr>
            <w:r w:rsidRPr="00E800D0">
              <w:rPr>
                <w:b/>
                <w:sz w:val="20"/>
                <w:szCs w:val="20"/>
              </w:rPr>
              <w:t>OZNAČENÍ SLUŽBY</w:t>
            </w:r>
          </w:p>
        </w:tc>
        <w:tc>
          <w:tcPr>
            <w:tcW w:w="4672" w:type="dxa"/>
            <w:gridSpan w:val="6"/>
            <w:tcBorders>
              <w:top w:val="single" w:sz="4" w:space="0" w:color="auto"/>
              <w:left w:val="single" w:sz="4" w:space="0" w:color="auto"/>
              <w:bottom w:val="single" w:sz="4" w:space="0" w:color="auto"/>
              <w:right w:val="single" w:sz="4" w:space="0" w:color="auto"/>
            </w:tcBorders>
            <w:vAlign w:val="center"/>
            <w:hideMark/>
          </w:tcPr>
          <w:p w:rsidR="00FD54B0" w:rsidRPr="00E800D0" w:rsidRDefault="00FD54B0" w:rsidP="00C035A7">
            <w:pPr>
              <w:pStyle w:val="Zkladntext"/>
              <w:widowControl w:val="0"/>
              <w:spacing w:after="0" w:line="276" w:lineRule="auto"/>
              <w:rPr>
                <w:rFonts w:asciiTheme="minorHAnsi" w:hAnsiTheme="minorHAnsi"/>
                <w:b/>
                <w:sz w:val="20"/>
                <w:szCs w:val="20"/>
                <w:lang w:eastAsia="en-US"/>
              </w:rPr>
            </w:pPr>
            <w:proofErr w:type="spellStart"/>
            <w:r w:rsidRPr="00E800D0">
              <w:rPr>
                <w:rFonts w:asciiTheme="minorHAnsi" w:hAnsiTheme="minorHAnsi"/>
                <w:b/>
                <w:sz w:val="20"/>
                <w:szCs w:val="20"/>
                <w:lang w:eastAsia="en-US"/>
              </w:rPr>
              <w:t>KONEKTIVITA_</w:t>
            </w:r>
            <w:r>
              <w:rPr>
                <w:rFonts w:asciiTheme="minorHAnsi" w:hAnsiTheme="minorHAnsi"/>
                <w:b/>
                <w:sz w:val="20"/>
                <w:szCs w:val="20"/>
                <w:lang w:eastAsia="en-US"/>
              </w:rPr>
              <w:t>IntTesnov</w:t>
            </w:r>
            <w:proofErr w:type="spellEnd"/>
          </w:p>
        </w:tc>
        <w:tc>
          <w:tcPr>
            <w:tcW w:w="992" w:type="dxa"/>
            <w:gridSpan w:val="2"/>
            <w:tcBorders>
              <w:top w:val="double" w:sz="4" w:space="0" w:color="auto"/>
              <w:left w:val="single" w:sz="4" w:space="0" w:color="auto"/>
              <w:bottom w:val="double" w:sz="4" w:space="0" w:color="auto"/>
              <w:right w:val="single" w:sz="4" w:space="0" w:color="auto"/>
            </w:tcBorders>
            <w:shd w:val="clear" w:color="auto" w:fill="00B050"/>
            <w:vAlign w:val="center"/>
            <w:hideMark/>
          </w:tcPr>
          <w:p w:rsidR="00FD54B0" w:rsidRPr="00E800D0" w:rsidRDefault="00FD54B0" w:rsidP="00C035A7">
            <w:pPr>
              <w:keepLines/>
              <w:widowControl w:val="0"/>
              <w:spacing w:after="0" w:line="288" w:lineRule="auto"/>
              <w:rPr>
                <w:b/>
                <w:sz w:val="20"/>
                <w:szCs w:val="20"/>
              </w:rPr>
            </w:pPr>
            <w:r w:rsidRPr="00E800D0">
              <w:rPr>
                <w:b/>
                <w:sz w:val="20"/>
                <w:szCs w:val="20"/>
              </w:rPr>
              <w:t>TYP KL:</w:t>
            </w:r>
          </w:p>
        </w:tc>
        <w:tc>
          <w:tcPr>
            <w:tcW w:w="1560" w:type="dxa"/>
            <w:tcBorders>
              <w:top w:val="double" w:sz="4" w:space="0" w:color="auto"/>
              <w:left w:val="single" w:sz="4" w:space="0" w:color="auto"/>
              <w:bottom w:val="double" w:sz="4" w:space="0" w:color="auto"/>
              <w:right w:val="double" w:sz="4" w:space="0" w:color="auto"/>
            </w:tcBorders>
            <w:vAlign w:val="center"/>
            <w:hideMark/>
          </w:tcPr>
          <w:p w:rsidR="00FD54B0" w:rsidRPr="00E800D0" w:rsidRDefault="00FD54B0" w:rsidP="00C035A7">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PAUŠÁLNÍ</w:t>
            </w:r>
          </w:p>
        </w:tc>
      </w:tr>
      <w:tr w:rsidR="00FD54B0" w:rsidRPr="00CA0696" w:rsidTr="00C035A7">
        <w:trPr>
          <w:trHeight w:val="337"/>
        </w:trPr>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D54B0" w:rsidRPr="00E800D0" w:rsidRDefault="00FD54B0" w:rsidP="00C035A7">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Název služby</w:t>
            </w:r>
          </w:p>
        </w:tc>
        <w:tc>
          <w:tcPr>
            <w:tcW w:w="7230" w:type="dxa"/>
            <w:gridSpan w:val="10"/>
            <w:tcBorders>
              <w:top w:val="single" w:sz="4" w:space="0" w:color="auto"/>
              <w:left w:val="single" w:sz="4" w:space="0" w:color="auto"/>
              <w:bottom w:val="single" w:sz="4" w:space="0" w:color="auto"/>
              <w:right w:val="single" w:sz="4" w:space="0" w:color="auto"/>
            </w:tcBorders>
            <w:vAlign w:val="center"/>
            <w:hideMark/>
          </w:tcPr>
          <w:p w:rsidR="00FD54B0" w:rsidRPr="00E800D0" w:rsidRDefault="00FD54B0" w:rsidP="00C035A7">
            <w:pPr>
              <w:pStyle w:val="Zkladntext"/>
              <w:keepLines/>
              <w:widowControl w:val="0"/>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Internetová k</w:t>
            </w:r>
            <w:r w:rsidRPr="00E800D0">
              <w:rPr>
                <w:rFonts w:asciiTheme="minorHAnsi" w:hAnsiTheme="minorHAnsi" w:cs="Arial"/>
                <w:sz w:val="20"/>
                <w:szCs w:val="20"/>
                <w:lang w:eastAsia="en-US"/>
              </w:rPr>
              <w:t xml:space="preserve">onektivita </w:t>
            </w:r>
            <w:r>
              <w:rPr>
                <w:rFonts w:asciiTheme="minorHAnsi" w:hAnsiTheme="minorHAnsi" w:cs="Arial"/>
                <w:sz w:val="20"/>
                <w:szCs w:val="20"/>
                <w:lang w:eastAsia="en-US"/>
              </w:rPr>
              <w:t xml:space="preserve">lokality </w:t>
            </w:r>
            <w:proofErr w:type="spellStart"/>
            <w:r>
              <w:rPr>
                <w:rFonts w:asciiTheme="minorHAnsi" w:hAnsiTheme="minorHAnsi" w:cs="Arial"/>
                <w:sz w:val="20"/>
                <w:szCs w:val="20"/>
                <w:lang w:eastAsia="en-US"/>
              </w:rPr>
              <w:t>Tešnov</w:t>
            </w:r>
            <w:proofErr w:type="spellEnd"/>
          </w:p>
        </w:tc>
      </w:tr>
      <w:tr w:rsidR="00FD54B0" w:rsidRPr="00CA0696" w:rsidTr="00C035A7">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rsidR="00FD54B0" w:rsidRPr="00E800D0" w:rsidRDefault="00FD54B0" w:rsidP="00C035A7">
            <w:pPr>
              <w:keepLines/>
              <w:widowControl w:val="0"/>
              <w:spacing w:after="0" w:line="288" w:lineRule="auto"/>
              <w:rPr>
                <w:b/>
                <w:sz w:val="20"/>
                <w:szCs w:val="20"/>
              </w:rPr>
            </w:pPr>
            <w:r w:rsidRPr="00E800D0">
              <w:rPr>
                <w:b/>
                <w:sz w:val="20"/>
                <w:szCs w:val="20"/>
              </w:rPr>
              <w:t>VYMEZENÍ SLUŽBY</w:t>
            </w:r>
          </w:p>
        </w:tc>
      </w:tr>
      <w:tr w:rsidR="00FD54B0" w:rsidRPr="00CA0696" w:rsidTr="00C035A7">
        <w:trPr>
          <w:trHeight w:val="347"/>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D54B0" w:rsidRPr="00E800D0" w:rsidRDefault="00FD54B0" w:rsidP="00C035A7">
            <w:pPr>
              <w:pStyle w:val="Zkladntext"/>
              <w:keepLines/>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Obecný popis služby</w:t>
            </w:r>
          </w:p>
        </w:tc>
        <w:tc>
          <w:tcPr>
            <w:tcW w:w="8080" w:type="dxa"/>
            <w:gridSpan w:val="13"/>
            <w:tcBorders>
              <w:top w:val="single" w:sz="4" w:space="0" w:color="auto"/>
              <w:left w:val="single" w:sz="4" w:space="0" w:color="auto"/>
              <w:bottom w:val="single" w:sz="4" w:space="0" w:color="auto"/>
              <w:right w:val="single" w:sz="4" w:space="0" w:color="auto"/>
            </w:tcBorders>
            <w:vAlign w:val="center"/>
            <w:hideMark/>
          </w:tcPr>
          <w:p w:rsidR="00FD54B0" w:rsidRPr="00CF6A27" w:rsidRDefault="00FD54B0" w:rsidP="00C035A7">
            <w:pPr>
              <w:pStyle w:val="Zkladntext"/>
              <w:spacing w:after="0" w:line="276" w:lineRule="auto"/>
              <w:rPr>
                <w:rFonts w:asciiTheme="minorHAnsi" w:hAnsiTheme="minorHAnsi" w:cs="Arial"/>
                <w:sz w:val="20"/>
                <w:szCs w:val="20"/>
                <w:lang w:eastAsia="en-US"/>
              </w:rPr>
            </w:pPr>
            <w:r w:rsidRPr="00E800D0">
              <w:rPr>
                <w:rFonts w:asciiTheme="minorHAnsi" w:hAnsiTheme="minorHAnsi" w:cs="Arial"/>
                <w:sz w:val="20"/>
                <w:szCs w:val="20"/>
                <w:lang w:eastAsia="en-US"/>
              </w:rPr>
              <w:t xml:space="preserve">Požadavky na </w:t>
            </w:r>
            <w:r>
              <w:rPr>
                <w:rFonts w:asciiTheme="minorHAnsi" w:hAnsiTheme="minorHAnsi" w:cs="Arial"/>
                <w:sz w:val="20"/>
                <w:szCs w:val="20"/>
                <w:lang w:eastAsia="en-US"/>
              </w:rPr>
              <w:t xml:space="preserve">internetovou </w:t>
            </w:r>
            <w:r w:rsidRPr="00E800D0">
              <w:rPr>
                <w:rFonts w:asciiTheme="minorHAnsi" w:hAnsiTheme="minorHAnsi" w:cs="Arial"/>
                <w:sz w:val="20"/>
                <w:szCs w:val="20"/>
                <w:lang w:eastAsia="en-US"/>
              </w:rPr>
              <w:t xml:space="preserve">konektivitu </w:t>
            </w:r>
            <w:r>
              <w:rPr>
                <w:rFonts w:asciiTheme="minorHAnsi" w:hAnsiTheme="minorHAnsi" w:cs="Arial"/>
                <w:sz w:val="20"/>
                <w:szCs w:val="20"/>
                <w:lang w:eastAsia="en-US"/>
              </w:rPr>
              <w:t xml:space="preserve">lokality </w:t>
            </w:r>
            <w:proofErr w:type="spellStart"/>
            <w:r w:rsidRPr="00CF6A27">
              <w:rPr>
                <w:rFonts w:asciiTheme="minorHAnsi" w:hAnsiTheme="minorHAnsi" w:cs="Arial"/>
                <w:sz w:val="20"/>
                <w:szCs w:val="20"/>
                <w:lang w:eastAsia="en-US"/>
              </w:rPr>
              <w:t>Těšnov</w:t>
            </w:r>
            <w:proofErr w:type="spellEnd"/>
            <w:r w:rsidRPr="00CF6A27">
              <w:rPr>
                <w:rFonts w:asciiTheme="minorHAnsi" w:hAnsiTheme="minorHAnsi" w:cs="Arial"/>
                <w:sz w:val="20"/>
                <w:szCs w:val="20"/>
                <w:lang w:eastAsia="en-US"/>
              </w:rPr>
              <w:t xml:space="preserve"> (</w:t>
            </w:r>
            <w:proofErr w:type="spellStart"/>
            <w:r w:rsidRPr="00CF6A27">
              <w:rPr>
                <w:rFonts w:asciiTheme="minorHAnsi" w:hAnsiTheme="minorHAnsi"/>
                <w:sz w:val="20"/>
                <w:szCs w:val="20"/>
                <w:lang w:eastAsia="en-US"/>
              </w:rPr>
              <w:t>IntTesnov</w:t>
            </w:r>
            <w:proofErr w:type="spellEnd"/>
            <w:r w:rsidRPr="00CF6A27">
              <w:rPr>
                <w:rFonts w:asciiTheme="minorHAnsi" w:hAnsiTheme="minorHAnsi"/>
                <w:sz w:val="20"/>
                <w:szCs w:val="20"/>
                <w:lang w:eastAsia="en-US"/>
              </w:rPr>
              <w:t>)</w:t>
            </w:r>
          </w:p>
          <w:p w:rsidR="00FD54B0" w:rsidRPr="00E800D0" w:rsidRDefault="00FD54B0" w:rsidP="00C035A7">
            <w:pPr>
              <w:pStyle w:val="Zkladntext"/>
              <w:keepLines/>
              <w:widowControl w:val="0"/>
              <w:spacing w:after="0" w:line="276" w:lineRule="auto"/>
              <w:rPr>
                <w:rFonts w:asciiTheme="minorHAnsi" w:hAnsiTheme="minorHAnsi" w:cs="Arial"/>
                <w:b/>
                <w:sz w:val="20"/>
                <w:szCs w:val="20"/>
                <w:lang w:eastAsia="en-US"/>
              </w:rPr>
            </w:pPr>
            <w:r w:rsidRPr="00E800D0">
              <w:rPr>
                <w:rFonts w:asciiTheme="minorHAnsi" w:hAnsiTheme="minorHAnsi" w:cs="Arial"/>
                <w:b/>
                <w:sz w:val="20"/>
                <w:szCs w:val="20"/>
                <w:lang w:eastAsia="en-US"/>
              </w:rPr>
              <w:t xml:space="preserve">Připojení </w:t>
            </w:r>
            <w:proofErr w:type="spellStart"/>
            <w:r>
              <w:rPr>
                <w:rFonts w:asciiTheme="minorHAnsi" w:hAnsiTheme="minorHAnsi" w:cs="Arial"/>
                <w:b/>
                <w:sz w:val="20"/>
                <w:szCs w:val="20"/>
                <w:lang w:eastAsia="en-US"/>
              </w:rPr>
              <w:t>IntTesnov</w:t>
            </w:r>
            <w:proofErr w:type="spellEnd"/>
            <w:r>
              <w:rPr>
                <w:rFonts w:asciiTheme="minorHAnsi" w:hAnsiTheme="minorHAnsi" w:cs="Arial"/>
                <w:b/>
                <w:sz w:val="20"/>
                <w:szCs w:val="20"/>
                <w:lang w:eastAsia="en-US"/>
              </w:rPr>
              <w:t xml:space="preserve"> - 1</w:t>
            </w:r>
            <w:r>
              <w:rPr>
                <w:rFonts w:asciiTheme="minorHAnsi" w:hAnsiTheme="minorHAnsi"/>
                <w:b/>
                <w:color w:val="000000"/>
                <w:sz w:val="20"/>
                <w:szCs w:val="20"/>
              </w:rPr>
              <w:t xml:space="preserve"> </w:t>
            </w:r>
            <w:proofErr w:type="spellStart"/>
            <w:r>
              <w:rPr>
                <w:rFonts w:asciiTheme="minorHAnsi" w:hAnsiTheme="minorHAnsi"/>
                <w:b/>
                <w:color w:val="000000"/>
                <w:sz w:val="20"/>
                <w:szCs w:val="20"/>
              </w:rPr>
              <w:t>G</w:t>
            </w:r>
            <w:r w:rsidRPr="00E800D0">
              <w:rPr>
                <w:rFonts w:asciiTheme="minorHAnsi" w:hAnsiTheme="minorHAnsi"/>
                <w:b/>
                <w:color w:val="000000"/>
                <w:sz w:val="20"/>
                <w:szCs w:val="20"/>
              </w:rPr>
              <w:t>b</w:t>
            </w:r>
            <w:proofErr w:type="spellEnd"/>
            <w:r w:rsidRPr="00E800D0">
              <w:rPr>
                <w:rFonts w:asciiTheme="minorHAnsi" w:hAnsiTheme="minorHAnsi"/>
                <w:b/>
                <w:color w:val="000000"/>
                <w:sz w:val="20"/>
                <w:szCs w:val="20"/>
              </w:rPr>
              <w:t>/s</w:t>
            </w:r>
          </w:p>
          <w:p w:rsidR="00FD54B0" w:rsidRPr="006079F1" w:rsidRDefault="00FD54B0" w:rsidP="00FD54B0">
            <w:pPr>
              <w:numPr>
                <w:ilvl w:val="0"/>
                <w:numId w:val="2"/>
              </w:numPr>
              <w:spacing w:after="0" w:line="240" w:lineRule="auto"/>
              <w:jc w:val="both"/>
              <w:rPr>
                <w:color w:val="000000"/>
                <w:sz w:val="20"/>
                <w:szCs w:val="20"/>
              </w:rPr>
            </w:pPr>
            <w:r w:rsidRPr="006079F1">
              <w:rPr>
                <w:color w:val="000000"/>
                <w:sz w:val="20"/>
                <w:szCs w:val="20"/>
              </w:rPr>
              <w:t>Fyzicky – 1 optická trasa.</w:t>
            </w:r>
          </w:p>
          <w:p w:rsidR="00FD54B0" w:rsidRPr="006079F1" w:rsidRDefault="00FD54B0" w:rsidP="00FD54B0">
            <w:pPr>
              <w:numPr>
                <w:ilvl w:val="0"/>
                <w:numId w:val="2"/>
              </w:numPr>
              <w:spacing w:after="0" w:line="240" w:lineRule="auto"/>
              <w:jc w:val="both"/>
              <w:rPr>
                <w:rFonts w:eastAsia="Calibri"/>
                <w:color w:val="000000"/>
                <w:sz w:val="20"/>
                <w:szCs w:val="20"/>
              </w:rPr>
            </w:pPr>
            <w:r w:rsidRPr="006079F1">
              <w:rPr>
                <w:rFonts w:cs="Arial"/>
                <w:sz w:val="20"/>
                <w:szCs w:val="20"/>
              </w:rPr>
              <w:t xml:space="preserve">Symetrické neagregované připojení lokality koncového uživatele k internetu s kapacitou 1 </w:t>
            </w:r>
            <w:proofErr w:type="spellStart"/>
            <w:r w:rsidRPr="006079F1">
              <w:rPr>
                <w:rFonts w:cs="Arial"/>
                <w:sz w:val="20"/>
                <w:szCs w:val="20"/>
              </w:rPr>
              <w:t>Gb</w:t>
            </w:r>
            <w:proofErr w:type="spellEnd"/>
            <w:r w:rsidRPr="006079F1">
              <w:rPr>
                <w:rFonts w:cs="Arial"/>
                <w:sz w:val="20"/>
                <w:szCs w:val="20"/>
              </w:rPr>
              <w:t>/s</w:t>
            </w:r>
          </w:p>
          <w:p w:rsidR="00FD54B0" w:rsidRPr="006079F1" w:rsidRDefault="00FD54B0" w:rsidP="00FD54B0">
            <w:pPr>
              <w:numPr>
                <w:ilvl w:val="0"/>
                <w:numId w:val="2"/>
              </w:numPr>
              <w:spacing w:after="0" w:line="240" w:lineRule="auto"/>
              <w:jc w:val="both"/>
              <w:rPr>
                <w:color w:val="000000"/>
                <w:sz w:val="20"/>
                <w:szCs w:val="20"/>
              </w:rPr>
            </w:pPr>
            <w:r w:rsidRPr="006079F1">
              <w:rPr>
                <w:color w:val="000000"/>
                <w:sz w:val="20"/>
                <w:szCs w:val="20"/>
              </w:rPr>
              <w:t xml:space="preserve"> Dedikované připojení do internetu s pevnou IPv4 a IPv6. </w:t>
            </w:r>
          </w:p>
          <w:p w:rsidR="00FD54B0" w:rsidRPr="006079F1" w:rsidRDefault="00FD54B0" w:rsidP="00FD54B0">
            <w:pPr>
              <w:numPr>
                <w:ilvl w:val="0"/>
                <w:numId w:val="2"/>
              </w:numPr>
              <w:spacing w:after="0" w:line="240" w:lineRule="auto"/>
              <w:jc w:val="both"/>
              <w:rPr>
                <w:color w:val="000000"/>
                <w:sz w:val="20"/>
                <w:szCs w:val="20"/>
              </w:rPr>
            </w:pPr>
            <w:r w:rsidRPr="006079F1">
              <w:rPr>
                <w:color w:val="000000"/>
                <w:sz w:val="20"/>
                <w:szCs w:val="20"/>
              </w:rPr>
              <w:t xml:space="preserve">V rámci lokalit bude redundantní (LAG) ukončení přípojky v aktivním prvku Objednatele. </w:t>
            </w:r>
          </w:p>
          <w:p w:rsidR="00FD54B0" w:rsidRPr="006079F1" w:rsidRDefault="00FD54B0" w:rsidP="00FD54B0">
            <w:pPr>
              <w:numPr>
                <w:ilvl w:val="0"/>
                <w:numId w:val="2"/>
              </w:numPr>
              <w:spacing w:after="0" w:line="240" w:lineRule="auto"/>
              <w:jc w:val="both"/>
              <w:rPr>
                <w:color w:val="000000"/>
                <w:sz w:val="20"/>
                <w:szCs w:val="20"/>
              </w:rPr>
            </w:pPr>
            <w:r w:rsidRPr="006079F1">
              <w:rPr>
                <w:color w:val="000000"/>
                <w:sz w:val="20"/>
                <w:szCs w:val="20"/>
              </w:rPr>
              <w:t>Veškerá komunikace musí být realizována prostřednictvím protokolů IPv4 a IPv6.</w:t>
            </w:r>
          </w:p>
          <w:p w:rsidR="00FD54B0" w:rsidRPr="006079F1" w:rsidRDefault="00FD54B0" w:rsidP="00FD54B0">
            <w:pPr>
              <w:pStyle w:val="Odstavecseseznamem"/>
              <w:numPr>
                <w:ilvl w:val="0"/>
                <w:numId w:val="2"/>
              </w:numPr>
              <w:contextualSpacing/>
              <w:jc w:val="both"/>
              <w:rPr>
                <w:rFonts w:asciiTheme="minorHAnsi" w:eastAsia="Times New Roman" w:hAnsiTheme="minorHAnsi" w:cstheme="minorHAnsi"/>
                <w:color w:val="000000"/>
                <w:sz w:val="20"/>
                <w:szCs w:val="20"/>
              </w:rPr>
            </w:pPr>
            <w:r w:rsidRPr="006079F1">
              <w:rPr>
                <w:rFonts w:asciiTheme="minorHAnsi" w:hAnsiTheme="minorHAnsi"/>
                <w:color w:val="000000"/>
                <w:sz w:val="20"/>
                <w:szCs w:val="20"/>
              </w:rPr>
              <w:t>Služba bude poskytovat blok pevných IP adres IPv4 /27 a příslušný blok IPv6 /56.</w:t>
            </w:r>
          </w:p>
          <w:p w:rsidR="00FD54B0" w:rsidRPr="006079F1" w:rsidRDefault="00FD54B0" w:rsidP="00FD54B0">
            <w:pPr>
              <w:pStyle w:val="Odstavecseseznamem"/>
              <w:numPr>
                <w:ilvl w:val="0"/>
                <w:numId w:val="2"/>
              </w:numPr>
              <w:contextualSpacing/>
              <w:jc w:val="both"/>
              <w:rPr>
                <w:rFonts w:asciiTheme="minorHAnsi" w:eastAsia="Times New Roman" w:hAnsiTheme="minorHAnsi" w:cstheme="minorHAnsi"/>
                <w:color w:val="000000"/>
                <w:sz w:val="20"/>
                <w:szCs w:val="20"/>
              </w:rPr>
            </w:pPr>
            <w:r w:rsidRPr="006079F1">
              <w:rPr>
                <w:rFonts w:asciiTheme="minorHAnsi" w:hAnsiTheme="minorHAnsi"/>
                <w:color w:val="000000"/>
                <w:sz w:val="20"/>
                <w:szCs w:val="20"/>
              </w:rPr>
              <w:t>Služba bude umožňovat registraci a vedení PTR záznamů na výše uvedené bloky adres.</w:t>
            </w:r>
          </w:p>
          <w:p w:rsidR="00FD54B0" w:rsidRPr="006079F1" w:rsidRDefault="00FD54B0" w:rsidP="00FD54B0">
            <w:pPr>
              <w:pStyle w:val="Odstavecseseznamem"/>
              <w:numPr>
                <w:ilvl w:val="0"/>
                <w:numId w:val="2"/>
              </w:numPr>
              <w:contextualSpacing/>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 xml:space="preserve">Základní nastavení bezpečnosti provozu – hrubý firewall na prvku dodavatele se změnou nastavení do 4 hodin. </w:t>
            </w:r>
          </w:p>
          <w:p w:rsidR="00FD54B0" w:rsidRPr="006079F1" w:rsidRDefault="00FD54B0" w:rsidP="00FD54B0">
            <w:pPr>
              <w:pStyle w:val="Odstavecseseznamem"/>
              <w:numPr>
                <w:ilvl w:val="0"/>
                <w:numId w:val="2"/>
              </w:numPr>
              <w:contextualSpacing/>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Služba nesmí filtrovat zákaznický provoz nad rámec nastavení hrubého firewallu.</w:t>
            </w:r>
          </w:p>
          <w:p w:rsidR="00FD54B0" w:rsidRPr="006079F1" w:rsidRDefault="00FD54B0" w:rsidP="00FD54B0">
            <w:pPr>
              <w:pStyle w:val="Odstavecseseznamem"/>
              <w:numPr>
                <w:ilvl w:val="0"/>
                <w:numId w:val="2"/>
              </w:numPr>
              <w:contextualSpacing/>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Nedílnou součástí služby musí být koncové zařízení Poskytovatele spravované Poskytovatelem, pokud bude nutné k realizaci této služby.</w:t>
            </w:r>
          </w:p>
          <w:p w:rsidR="00FD54B0" w:rsidRPr="006079F1" w:rsidRDefault="00FD54B0" w:rsidP="00FD54B0">
            <w:pPr>
              <w:pStyle w:val="Odstavecseseznamem"/>
              <w:numPr>
                <w:ilvl w:val="0"/>
                <w:numId w:val="2"/>
              </w:numPr>
              <w:contextualSpacing/>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 xml:space="preserve">Koncové zařízení Poskytovatele splňuje požadovanou propustnost (rychlost přípojky - kapacitu) i při nasazení dynamického </w:t>
            </w:r>
            <w:proofErr w:type="spellStart"/>
            <w:r w:rsidRPr="006079F1">
              <w:rPr>
                <w:rFonts w:asciiTheme="minorHAnsi" w:eastAsia="Times New Roman" w:hAnsiTheme="minorHAnsi" w:cstheme="minorHAnsi"/>
                <w:color w:val="000000"/>
                <w:sz w:val="20"/>
                <w:szCs w:val="20"/>
              </w:rPr>
              <w:t>routingu</w:t>
            </w:r>
            <w:proofErr w:type="spellEnd"/>
            <w:r w:rsidRPr="006079F1">
              <w:rPr>
                <w:rFonts w:asciiTheme="minorHAnsi" w:eastAsia="Times New Roman" w:hAnsiTheme="minorHAnsi" w:cstheme="minorHAnsi"/>
                <w:color w:val="000000"/>
                <w:sz w:val="20"/>
                <w:szCs w:val="20"/>
              </w:rPr>
              <w:t>.</w:t>
            </w:r>
          </w:p>
          <w:p w:rsidR="00FD54B0" w:rsidRPr="006079F1" w:rsidRDefault="00FD54B0" w:rsidP="00FD54B0">
            <w:pPr>
              <w:pStyle w:val="Odstavecseseznamem"/>
              <w:numPr>
                <w:ilvl w:val="0"/>
                <w:numId w:val="2"/>
              </w:numPr>
              <w:contextualSpacing/>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 xml:space="preserve">Předávacím rozhraním služby jsou </w:t>
            </w:r>
            <w:proofErr w:type="spellStart"/>
            <w:r w:rsidRPr="006079F1">
              <w:rPr>
                <w:rFonts w:asciiTheme="minorHAnsi" w:eastAsia="Times New Roman" w:hAnsiTheme="minorHAnsi" w:cstheme="minorHAnsi"/>
                <w:color w:val="000000"/>
                <w:sz w:val="20"/>
                <w:szCs w:val="20"/>
              </w:rPr>
              <w:t>Ethernet</w:t>
            </w:r>
            <w:proofErr w:type="spellEnd"/>
            <w:r w:rsidRPr="006079F1">
              <w:rPr>
                <w:rFonts w:asciiTheme="minorHAnsi" w:eastAsia="Times New Roman" w:hAnsiTheme="minorHAnsi" w:cstheme="minorHAnsi"/>
                <w:color w:val="000000"/>
                <w:sz w:val="20"/>
                <w:szCs w:val="20"/>
              </w:rPr>
              <w:t xml:space="preserve"> porty RJ-45.</w:t>
            </w:r>
          </w:p>
          <w:p w:rsidR="00FD54B0" w:rsidRPr="006079F1" w:rsidRDefault="00FD54B0" w:rsidP="00FD54B0">
            <w:pPr>
              <w:pStyle w:val="Odstavecseseznamem"/>
              <w:numPr>
                <w:ilvl w:val="0"/>
                <w:numId w:val="2"/>
              </w:numPr>
              <w:contextualSpacing/>
              <w:jc w:val="both"/>
              <w:rPr>
                <w:rFonts w:asciiTheme="minorHAnsi" w:eastAsia="Times New Roman" w:hAnsiTheme="minorHAnsi" w:cstheme="minorHAnsi"/>
                <w:color w:val="000000"/>
                <w:sz w:val="20"/>
                <w:szCs w:val="20"/>
              </w:rPr>
            </w:pPr>
            <w:r w:rsidRPr="006079F1">
              <w:rPr>
                <w:rFonts w:eastAsia="Times New Roman"/>
                <w:sz w:val="20"/>
                <w:szCs w:val="20"/>
              </w:rPr>
              <w:t>Možnost konfigurace BGP a ASN dle požadavků Objednatele do 7 dnů.</w:t>
            </w:r>
          </w:p>
          <w:p w:rsidR="00FD54B0" w:rsidRPr="006079F1" w:rsidRDefault="00FD54B0" w:rsidP="00FD54B0">
            <w:pPr>
              <w:pStyle w:val="Odstavecseseznamem"/>
              <w:numPr>
                <w:ilvl w:val="0"/>
                <w:numId w:val="2"/>
              </w:numPr>
              <w:contextualSpacing/>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 xml:space="preserve">Služba obsahuje poskytnutí reportů SLA a výkonnostních charakteristik – měsíční report. </w:t>
            </w:r>
          </w:p>
          <w:p w:rsidR="00FD54B0" w:rsidRPr="006079F1" w:rsidRDefault="00FD54B0" w:rsidP="00C035A7">
            <w:pPr>
              <w:spacing w:after="0"/>
              <w:jc w:val="both"/>
              <w:rPr>
                <w:b/>
                <w:bCs/>
                <w:color w:val="000000"/>
                <w:sz w:val="20"/>
                <w:szCs w:val="20"/>
              </w:rPr>
            </w:pPr>
            <w:r w:rsidRPr="006079F1">
              <w:rPr>
                <w:b/>
                <w:bCs/>
                <w:color w:val="000000"/>
                <w:sz w:val="20"/>
                <w:szCs w:val="20"/>
              </w:rPr>
              <w:t xml:space="preserve">Performance monitoring </w:t>
            </w:r>
          </w:p>
          <w:p w:rsidR="00FD54B0" w:rsidRPr="006079F1" w:rsidRDefault="00FD54B0" w:rsidP="00FD54B0">
            <w:pPr>
              <w:pStyle w:val="Odstavecseseznamem"/>
              <w:numPr>
                <w:ilvl w:val="0"/>
                <w:numId w:val="2"/>
              </w:numPr>
              <w:contextualSpacing/>
              <w:jc w:val="both"/>
              <w:rPr>
                <w:rFonts w:asciiTheme="minorHAnsi" w:hAnsiTheme="minorHAnsi" w:cstheme="minorHAnsi"/>
                <w:color w:val="000000"/>
                <w:sz w:val="20"/>
                <w:szCs w:val="20"/>
              </w:rPr>
            </w:pPr>
            <w:r w:rsidRPr="006079F1">
              <w:rPr>
                <w:rFonts w:asciiTheme="minorHAnsi" w:eastAsia="Times New Roman" w:hAnsiTheme="minorHAnsi" w:cstheme="minorHAnsi"/>
                <w:color w:val="000000"/>
                <w:sz w:val="20"/>
                <w:szCs w:val="20"/>
              </w:rPr>
              <w:t>Součástí</w:t>
            </w:r>
            <w:r w:rsidRPr="006079F1">
              <w:rPr>
                <w:rFonts w:asciiTheme="minorHAnsi" w:hAnsiTheme="minorHAnsi" w:cstheme="minorHAnsi"/>
                <w:color w:val="000000"/>
                <w:sz w:val="20"/>
                <w:szCs w:val="20"/>
              </w:rPr>
              <w:t xml:space="preserve"> služby je monitorování výkonnostních charakteristik příslušné linky </w:t>
            </w:r>
          </w:p>
          <w:p w:rsidR="00FD54B0" w:rsidRPr="006079F1" w:rsidRDefault="00FD54B0" w:rsidP="00FD54B0">
            <w:pPr>
              <w:pStyle w:val="Odstavecseseznamem"/>
              <w:numPr>
                <w:ilvl w:val="1"/>
                <w:numId w:val="2"/>
              </w:numPr>
              <w:contextualSpacing/>
              <w:jc w:val="both"/>
              <w:rPr>
                <w:rFonts w:asciiTheme="minorHAnsi" w:hAnsiTheme="minorHAnsi" w:cstheme="minorHAnsi"/>
                <w:color w:val="000000"/>
                <w:sz w:val="20"/>
                <w:szCs w:val="20"/>
              </w:rPr>
            </w:pPr>
            <w:r w:rsidRPr="006079F1">
              <w:rPr>
                <w:rFonts w:asciiTheme="minorHAnsi" w:hAnsiTheme="minorHAnsi" w:cstheme="minorHAnsi"/>
                <w:color w:val="000000"/>
                <w:sz w:val="20"/>
                <w:szCs w:val="20"/>
              </w:rPr>
              <w:t>Utilizace interface (%), chybovost interface (počet chyb), průtok dat (</w:t>
            </w:r>
            <w:proofErr w:type="spellStart"/>
            <w:r w:rsidRPr="006079F1">
              <w:rPr>
                <w:rFonts w:asciiTheme="minorHAnsi" w:hAnsiTheme="minorHAnsi" w:cstheme="minorHAnsi"/>
                <w:color w:val="000000"/>
                <w:sz w:val="20"/>
                <w:szCs w:val="20"/>
              </w:rPr>
              <w:t>bytes</w:t>
            </w:r>
            <w:proofErr w:type="spellEnd"/>
            <w:r w:rsidRPr="006079F1">
              <w:rPr>
                <w:rFonts w:asciiTheme="minorHAnsi" w:hAnsiTheme="minorHAnsi" w:cstheme="minorHAnsi"/>
                <w:color w:val="000000"/>
                <w:sz w:val="20"/>
                <w:szCs w:val="20"/>
              </w:rPr>
              <w:t>/s).</w:t>
            </w:r>
          </w:p>
          <w:p w:rsidR="00FD54B0" w:rsidRPr="006079F1" w:rsidRDefault="00FD54B0" w:rsidP="00FD54B0">
            <w:pPr>
              <w:pStyle w:val="Odstavecseseznamem"/>
              <w:numPr>
                <w:ilvl w:val="1"/>
                <w:numId w:val="2"/>
              </w:numPr>
              <w:contextualSpacing/>
              <w:jc w:val="both"/>
              <w:rPr>
                <w:rFonts w:asciiTheme="minorHAnsi" w:hAnsiTheme="minorHAnsi" w:cstheme="minorHAnsi"/>
                <w:color w:val="000000"/>
                <w:sz w:val="20"/>
                <w:szCs w:val="20"/>
              </w:rPr>
            </w:pPr>
            <w:r w:rsidRPr="006079F1">
              <w:rPr>
                <w:rFonts w:asciiTheme="minorHAnsi" w:hAnsiTheme="minorHAnsi" w:cstheme="minorHAnsi"/>
                <w:color w:val="000000"/>
                <w:sz w:val="20"/>
                <w:szCs w:val="20"/>
              </w:rPr>
              <w:t xml:space="preserve">Počet hitů na pravidlech hrubého </w:t>
            </w:r>
            <w:proofErr w:type="spellStart"/>
            <w:r w:rsidRPr="006079F1">
              <w:rPr>
                <w:rFonts w:asciiTheme="minorHAnsi" w:hAnsiTheme="minorHAnsi" w:cstheme="minorHAnsi"/>
                <w:color w:val="000000"/>
                <w:sz w:val="20"/>
                <w:szCs w:val="20"/>
              </w:rPr>
              <w:t>firrewallu</w:t>
            </w:r>
            <w:proofErr w:type="spellEnd"/>
          </w:p>
          <w:p w:rsidR="00FD54B0" w:rsidRPr="006079F1" w:rsidRDefault="00FD54B0" w:rsidP="00FD54B0">
            <w:pPr>
              <w:pStyle w:val="Odstavecseseznamem"/>
              <w:numPr>
                <w:ilvl w:val="1"/>
                <w:numId w:val="2"/>
              </w:numPr>
              <w:contextualSpacing/>
              <w:jc w:val="both"/>
              <w:rPr>
                <w:rFonts w:asciiTheme="minorHAnsi" w:hAnsiTheme="minorHAnsi" w:cstheme="minorHAnsi"/>
                <w:color w:val="000000"/>
                <w:sz w:val="20"/>
                <w:szCs w:val="20"/>
              </w:rPr>
            </w:pPr>
            <w:r w:rsidRPr="006079F1">
              <w:rPr>
                <w:rFonts w:asciiTheme="minorHAnsi" w:hAnsiTheme="minorHAnsi" w:cstheme="minorHAnsi"/>
                <w:color w:val="000000"/>
                <w:sz w:val="20"/>
                <w:szCs w:val="20"/>
              </w:rPr>
              <w:t>Výpis pravidel hrubého firewallu</w:t>
            </w:r>
          </w:p>
          <w:p w:rsidR="00FD54B0" w:rsidRPr="006079F1" w:rsidRDefault="00FD54B0" w:rsidP="00C035A7">
            <w:pPr>
              <w:spacing w:after="0"/>
              <w:jc w:val="both"/>
              <w:rPr>
                <w:b/>
                <w:bCs/>
                <w:color w:val="000000"/>
                <w:sz w:val="20"/>
                <w:szCs w:val="20"/>
              </w:rPr>
            </w:pPr>
            <w:r w:rsidRPr="006079F1">
              <w:rPr>
                <w:b/>
                <w:bCs/>
                <w:color w:val="000000"/>
                <w:sz w:val="20"/>
                <w:szCs w:val="20"/>
              </w:rPr>
              <w:t>Proaktivní dohled</w:t>
            </w:r>
          </w:p>
          <w:p w:rsidR="00FD54B0" w:rsidRPr="006079F1" w:rsidRDefault="00FD54B0" w:rsidP="00FD54B0">
            <w:pPr>
              <w:pStyle w:val="Odstavecseseznamem"/>
              <w:numPr>
                <w:ilvl w:val="0"/>
                <w:numId w:val="2"/>
              </w:numPr>
              <w:contextualSpacing/>
              <w:jc w:val="both"/>
              <w:rPr>
                <w:rFonts w:asciiTheme="minorHAnsi" w:hAnsiTheme="minorHAnsi" w:cstheme="minorHAnsi"/>
                <w:color w:val="000000"/>
                <w:sz w:val="20"/>
                <w:szCs w:val="20"/>
              </w:rPr>
            </w:pPr>
            <w:r w:rsidRPr="006079F1">
              <w:rPr>
                <w:rFonts w:asciiTheme="minorHAnsi" w:hAnsiTheme="minorHAnsi" w:cstheme="minorHAnsi"/>
                <w:color w:val="000000"/>
                <w:sz w:val="20"/>
                <w:szCs w:val="20"/>
              </w:rPr>
              <w:t xml:space="preserve">Služba je proaktivně </w:t>
            </w:r>
            <w:proofErr w:type="spellStart"/>
            <w:r w:rsidRPr="006079F1">
              <w:rPr>
                <w:rFonts w:asciiTheme="minorHAnsi" w:hAnsiTheme="minorHAnsi" w:cstheme="minorHAnsi"/>
                <w:color w:val="000000"/>
                <w:sz w:val="20"/>
                <w:szCs w:val="20"/>
              </w:rPr>
              <w:t>dohledována</w:t>
            </w:r>
            <w:proofErr w:type="spellEnd"/>
            <w:r w:rsidRPr="006079F1">
              <w:rPr>
                <w:rFonts w:asciiTheme="minorHAnsi" w:hAnsiTheme="minorHAnsi" w:cstheme="minorHAnsi"/>
                <w:color w:val="000000"/>
                <w:sz w:val="20"/>
                <w:szCs w:val="20"/>
              </w:rPr>
              <w:t xml:space="preserve"> Poskytovatelem.</w:t>
            </w:r>
          </w:p>
          <w:p w:rsidR="00FD54B0" w:rsidRPr="006079F1" w:rsidRDefault="00FD54B0" w:rsidP="00FD54B0">
            <w:pPr>
              <w:pStyle w:val="Odstavecseseznamem"/>
              <w:numPr>
                <w:ilvl w:val="0"/>
                <w:numId w:val="2"/>
              </w:numPr>
              <w:contextualSpacing/>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Poskytovatel zahajuje řešení incidentu i bez nahlášení ze strany uživatele služby.</w:t>
            </w:r>
          </w:p>
          <w:p w:rsidR="00FD54B0" w:rsidRPr="006079F1" w:rsidRDefault="00FD54B0" w:rsidP="00FD54B0">
            <w:pPr>
              <w:pStyle w:val="Odstavecseseznamem"/>
              <w:numPr>
                <w:ilvl w:val="0"/>
                <w:numId w:val="2"/>
              </w:numPr>
              <w:contextualSpacing/>
              <w:jc w:val="both"/>
              <w:rPr>
                <w:rFonts w:asciiTheme="minorHAnsi" w:hAnsiTheme="minorHAnsi"/>
                <w:b/>
                <w:bCs/>
                <w:color w:val="000000"/>
                <w:sz w:val="20"/>
                <w:szCs w:val="20"/>
              </w:rPr>
            </w:pPr>
            <w:r w:rsidRPr="006079F1">
              <w:rPr>
                <w:rFonts w:asciiTheme="minorHAnsi" w:eastAsia="Times New Roman" w:hAnsiTheme="minorHAnsi" w:cstheme="minorHAnsi"/>
                <w:color w:val="000000"/>
                <w:sz w:val="20"/>
                <w:szCs w:val="20"/>
              </w:rPr>
              <w:t>Poskytovatel</w:t>
            </w:r>
            <w:r w:rsidRPr="006079F1">
              <w:rPr>
                <w:rFonts w:asciiTheme="minorHAnsi" w:hAnsiTheme="minorHAnsi" w:cstheme="minorHAnsi"/>
                <w:color w:val="000000"/>
                <w:sz w:val="20"/>
                <w:szCs w:val="20"/>
              </w:rPr>
              <w:t xml:space="preserve"> informuje Objednatele o incidentu na službě do 10 minut od vzniku incidentu.</w:t>
            </w:r>
            <w:r w:rsidRPr="006079F1">
              <w:rPr>
                <w:rFonts w:asciiTheme="minorHAnsi" w:hAnsiTheme="minorHAnsi"/>
                <w:b/>
                <w:bCs/>
                <w:color w:val="000000"/>
                <w:sz w:val="20"/>
                <w:szCs w:val="20"/>
              </w:rPr>
              <w:t xml:space="preserve"> </w:t>
            </w:r>
          </w:p>
          <w:p w:rsidR="00FD54B0" w:rsidRPr="006079F1" w:rsidRDefault="00FD54B0" w:rsidP="00C035A7">
            <w:pPr>
              <w:contextualSpacing/>
              <w:jc w:val="both"/>
              <w:rPr>
                <w:b/>
                <w:bCs/>
                <w:color w:val="000000"/>
                <w:sz w:val="20"/>
                <w:szCs w:val="20"/>
              </w:rPr>
            </w:pPr>
            <w:r w:rsidRPr="006079F1">
              <w:rPr>
                <w:b/>
                <w:bCs/>
                <w:color w:val="000000"/>
                <w:sz w:val="20"/>
                <w:szCs w:val="20"/>
              </w:rPr>
              <w:t>Podpora zařízení Poskytovatele</w:t>
            </w:r>
          </w:p>
          <w:p w:rsidR="00FD54B0" w:rsidRPr="006079F1" w:rsidRDefault="00FD54B0" w:rsidP="00FD54B0">
            <w:pPr>
              <w:numPr>
                <w:ilvl w:val="0"/>
                <w:numId w:val="2"/>
              </w:numPr>
              <w:spacing w:after="0" w:line="240" w:lineRule="auto"/>
              <w:jc w:val="both"/>
              <w:rPr>
                <w:color w:val="000000"/>
                <w:sz w:val="20"/>
                <w:szCs w:val="20"/>
              </w:rPr>
            </w:pPr>
            <w:r w:rsidRPr="006079F1">
              <w:rPr>
                <w:color w:val="000000"/>
                <w:sz w:val="20"/>
                <w:szCs w:val="20"/>
              </w:rPr>
              <w:t>Po celou dobu poskytování služby musí být zařízení s předávacím rozhraním k </w:t>
            </w:r>
            <w:proofErr w:type="spellStart"/>
            <w:r w:rsidRPr="006079F1">
              <w:rPr>
                <w:color w:val="000000"/>
                <w:sz w:val="20"/>
                <w:szCs w:val="20"/>
              </w:rPr>
              <w:t>MZe</w:t>
            </w:r>
            <w:proofErr w:type="spellEnd"/>
            <w:r w:rsidRPr="006079F1">
              <w:rPr>
                <w:color w:val="000000"/>
                <w:sz w:val="20"/>
                <w:szCs w:val="20"/>
              </w:rPr>
              <w:t xml:space="preserve"> pod podporou výrobce (prokazatelně doložitelné kdykoliv na vyzvání </w:t>
            </w:r>
            <w:proofErr w:type="spellStart"/>
            <w:r w:rsidRPr="006079F1">
              <w:rPr>
                <w:color w:val="000000"/>
                <w:sz w:val="20"/>
                <w:szCs w:val="20"/>
              </w:rPr>
              <w:t>MZe</w:t>
            </w:r>
            <w:proofErr w:type="spellEnd"/>
            <w:r w:rsidRPr="006079F1">
              <w:rPr>
                <w:color w:val="000000"/>
                <w:sz w:val="20"/>
                <w:szCs w:val="20"/>
              </w:rPr>
              <w:t>).</w:t>
            </w:r>
          </w:p>
          <w:p w:rsidR="00FD54B0" w:rsidRPr="003F3942" w:rsidRDefault="00FD54B0" w:rsidP="00FD54B0">
            <w:pPr>
              <w:pStyle w:val="Odstavecseseznamem"/>
              <w:numPr>
                <w:ilvl w:val="0"/>
                <w:numId w:val="2"/>
              </w:numPr>
              <w:contextualSpacing/>
              <w:jc w:val="both"/>
              <w:rPr>
                <w:rFonts w:asciiTheme="minorHAnsi" w:hAnsiTheme="minorHAnsi"/>
                <w:color w:val="000000"/>
                <w:sz w:val="20"/>
                <w:szCs w:val="20"/>
              </w:rPr>
            </w:pPr>
            <w:r w:rsidRPr="006079F1">
              <w:rPr>
                <w:rFonts w:asciiTheme="minorHAnsi" w:hAnsiTheme="minorHAnsi"/>
                <w:color w:val="000000"/>
                <w:sz w:val="20"/>
                <w:szCs w:val="20"/>
              </w:rPr>
              <w:t>Zařízení musí být provozováno s výrobcem aktuálně podporovanou verzí SW/firmware z důvodu možnosti eskalace bezpečnostních chyb.</w:t>
            </w:r>
          </w:p>
        </w:tc>
      </w:tr>
      <w:tr w:rsidR="00FD54B0" w:rsidRPr="00CA0696" w:rsidTr="00C035A7">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rsidR="00FD54B0" w:rsidRPr="00E800D0" w:rsidRDefault="00FD54B0" w:rsidP="00C035A7">
            <w:pPr>
              <w:keepLines/>
              <w:widowControl w:val="0"/>
              <w:spacing w:after="0" w:line="288" w:lineRule="auto"/>
              <w:rPr>
                <w:sz w:val="20"/>
                <w:szCs w:val="20"/>
              </w:rPr>
            </w:pPr>
            <w:r w:rsidRPr="00E800D0">
              <w:rPr>
                <w:b/>
                <w:sz w:val="20"/>
                <w:szCs w:val="20"/>
              </w:rPr>
              <w:t>Parametry služby</w:t>
            </w:r>
          </w:p>
        </w:tc>
      </w:tr>
      <w:tr w:rsidR="00FD54B0" w:rsidRPr="00CA0696" w:rsidTr="00C035A7">
        <w:trPr>
          <w:trHeight w:val="301"/>
        </w:trPr>
        <w:tc>
          <w:tcPr>
            <w:tcW w:w="1985" w:type="dxa"/>
            <w:gridSpan w:val="2"/>
            <w:tcBorders>
              <w:top w:val="single" w:sz="4" w:space="0" w:color="auto"/>
              <w:left w:val="single" w:sz="4" w:space="0" w:color="auto"/>
              <w:bottom w:val="single" w:sz="4" w:space="0" w:color="auto"/>
              <w:right w:val="single" w:sz="4" w:space="0" w:color="auto"/>
            </w:tcBorders>
          </w:tcPr>
          <w:p w:rsidR="00FD54B0" w:rsidRPr="00CF6A27" w:rsidRDefault="00FD54B0" w:rsidP="00C035A7">
            <w:pPr>
              <w:pStyle w:val="Zkladntext"/>
              <w:keepLines/>
              <w:widowControl w:val="0"/>
              <w:spacing w:after="0" w:line="276" w:lineRule="auto"/>
              <w:rPr>
                <w:rFonts w:asciiTheme="minorHAnsi" w:hAnsiTheme="minorHAnsi"/>
                <w:sz w:val="20"/>
                <w:szCs w:val="20"/>
                <w:lang w:eastAsia="en-US"/>
              </w:rPr>
            </w:pPr>
            <w:proofErr w:type="spellStart"/>
            <w:r w:rsidRPr="00CF6A27">
              <w:rPr>
                <w:rFonts w:asciiTheme="minorHAnsi" w:hAnsiTheme="minorHAnsi"/>
                <w:sz w:val="20"/>
                <w:szCs w:val="20"/>
                <w:lang w:eastAsia="en-US"/>
              </w:rPr>
              <w:t>IntTesnov</w:t>
            </w:r>
            <w:proofErr w:type="spellEnd"/>
          </w:p>
        </w:tc>
        <w:tc>
          <w:tcPr>
            <w:tcW w:w="8080" w:type="dxa"/>
            <w:gridSpan w:val="13"/>
            <w:tcBorders>
              <w:top w:val="single" w:sz="4" w:space="0" w:color="auto"/>
              <w:left w:val="single" w:sz="4" w:space="0" w:color="auto"/>
              <w:bottom w:val="single" w:sz="4" w:space="0" w:color="auto"/>
              <w:right w:val="single" w:sz="4" w:space="0" w:color="auto"/>
            </w:tcBorders>
            <w:vAlign w:val="bottom"/>
          </w:tcPr>
          <w:p w:rsidR="00FD54B0" w:rsidRPr="00E800D0" w:rsidRDefault="00FD54B0" w:rsidP="00C035A7">
            <w:pPr>
              <w:pStyle w:val="Zkladntext"/>
              <w:keepLines/>
              <w:widowControl w:val="0"/>
              <w:spacing w:after="0" w:line="276" w:lineRule="auto"/>
              <w:rPr>
                <w:rFonts w:asciiTheme="minorHAnsi" w:hAnsiTheme="minorHAnsi"/>
                <w:color w:val="000000"/>
                <w:sz w:val="20"/>
                <w:szCs w:val="20"/>
              </w:rPr>
            </w:pPr>
            <w:r w:rsidRPr="00E800D0">
              <w:rPr>
                <w:rFonts w:asciiTheme="minorHAnsi" w:hAnsiTheme="minorHAnsi"/>
                <w:color w:val="000000"/>
                <w:sz w:val="20"/>
                <w:szCs w:val="20"/>
              </w:rPr>
              <w:t>1</w:t>
            </w:r>
            <w:r>
              <w:rPr>
                <w:rFonts w:asciiTheme="minorHAnsi" w:hAnsiTheme="minorHAnsi"/>
                <w:color w:val="000000"/>
                <w:sz w:val="20"/>
                <w:szCs w:val="20"/>
              </w:rPr>
              <w:t>G</w:t>
            </w:r>
            <w:r w:rsidRPr="00E800D0">
              <w:rPr>
                <w:rFonts w:asciiTheme="minorHAnsi" w:hAnsiTheme="minorHAnsi"/>
                <w:color w:val="000000"/>
                <w:sz w:val="20"/>
                <w:szCs w:val="20"/>
              </w:rPr>
              <w:t>b/s</w:t>
            </w:r>
          </w:p>
        </w:tc>
      </w:tr>
      <w:tr w:rsidR="00FD54B0" w:rsidRPr="00CA0696" w:rsidTr="00C035A7">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rsidR="00FD54B0" w:rsidRPr="00E800D0" w:rsidRDefault="00FD54B0" w:rsidP="00C035A7">
            <w:pPr>
              <w:keepLines/>
              <w:widowControl w:val="0"/>
              <w:spacing w:after="0" w:line="288" w:lineRule="auto"/>
              <w:rPr>
                <w:b/>
                <w:sz w:val="20"/>
                <w:szCs w:val="20"/>
              </w:rPr>
            </w:pPr>
            <w:r w:rsidRPr="00E800D0">
              <w:rPr>
                <w:b/>
                <w:sz w:val="20"/>
                <w:szCs w:val="20"/>
              </w:rPr>
              <w:t>SERVICE LEVEL AGREEMENT (SLA)</w:t>
            </w:r>
          </w:p>
        </w:tc>
      </w:tr>
      <w:tr w:rsidR="00FD54B0" w:rsidRPr="00CA0696" w:rsidTr="00C035A7">
        <w:trPr>
          <w:trHeight w:val="347"/>
        </w:trPr>
        <w:tc>
          <w:tcPr>
            <w:tcW w:w="3119" w:type="dxa"/>
            <w:gridSpan w:val="7"/>
            <w:tcBorders>
              <w:top w:val="single" w:sz="4" w:space="0" w:color="auto"/>
              <w:left w:val="single" w:sz="4" w:space="0" w:color="auto"/>
              <w:bottom w:val="single" w:sz="4" w:space="0" w:color="auto"/>
              <w:right w:val="single" w:sz="4" w:space="0" w:color="auto"/>
            </w:tcBorders>
            <w:hideMark/>
          </w:tcPr>
          <w:p w:rsidR="00FD54B0" w:rsidRPr="00E800D0" w:rsidRDefault="00FD54B0" w:rsidP="00C035A7">
            <w:pPr>
              <w:keepLines/>
              <w:widowControl w:val="0"/>
              <w:spacing w:after="0" w:line="288" w:lineRule="auto"/>
              <w:rPr>
                <w:sz w:val="20"/>
                <w:szCs w:val="20"/>
              </w:rPr>
            </w:pPr>
            <w:r w:rsidRPr="00E800D0">
              <w:rPr>
                <w:sz w:val="20"/>
                <w:szCs w:val="20"/>
              </w:rPr>
              <w:t xml:space="preserve">Vyhodnocovací období </w:t>
            </w:r>
          </w:p>
        </w:tc>
        <w:tc>
          <w:tcPr>
            <w:tcW w:w="6946" w:type="dxa"/>
            <w:gridSpan w:val="8"/>
            <w:tcBorders>
              <w:top w:val="single" w:sz="4" w:space="0" w:color="auto"/>
              <w:left w:val="single" w:sz="4" w:space="0" w:color="auto"/>
              <w:bottom w:val="single" w:sz="4" w:space="0" w:color="auto"/>
              <w:right w:val="single" w:sz="4" w:space="0" w:color="auto"/>
            </w:tcBorders>
            <w:hideMark/>
          </w:tcPr>
          <w:p w:rsidR="00FD54B0" w:rsidRPr="00E800D0" w:rsidRDefault="00FD54B0" w:rsidP="00C035A7">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1 měsíc</w:t>
            </w:r>
          </w:p>
        </w:tc>
      </w:tr>
      <w:tr w:rsidR="00FD54B0" w:rsidRPr="00CA0696" w:rsidTr="00C035A7">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tcPr>
          <w:p w:rsidR="00FD54B0" w:rsidRPr="00E800D0" w:rsidRDefault="00FD54B0" w:rsidP="00C035A7">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 xml:space="preserve">SLA </w:t>
            </w:r>
            <w:r w:rsidRPr="00E800D0">
              <w:rPr>
                <w:rFonts w:asciiTheme="minorHAnsi" w:hAnsiTheme="minorHAnsi"/>
                <w:b/>
                <w:sz w:val="20"/>
                <w:szCs w:val="20"/>
              </w:rPr>
              <w:t xml:space="preserve">PARAMETRY </w:t>
            </w:r>
          </w:p>
        </w:tc>
      </w:tr>
      <w:tr w:rsidR="00FD54B0" w:rsidRPr="00CA0696" w:rsidTr="00C035A7">
        <w:trPr>
          <w:trHeight w:val="347"/>
        </w:trPr>
        <w:tc>
          <w:tcPr>
            <w:tcW w:w="2405"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rsidR="00FD54B0" w:rsidRPr="00E800D0" w:rsidRDefault="00FD54B0" w:rsidP="00C035A7">
            <w:pPr>
              <w:keepLines/>
              <w:widowControl w:val="0"/>
              <w:spacing w:after="0" w:line="288" w:lineRule="auto"/>
              <w:rPr>
                <w:b/>
                <w:sz w:val="20"/>
                <w:szCs w:val="20"/>
              </w:rPr>
            </w:pPr>
            <w:r w:rsidRPr="00E800D0">
              <w:rPr>
                <w:b/>
                <w:sz w:val="20"/>
                <w:szCs w:val="20"/>
              </w:rPr>
              <w:lastRenderedPageBreak/>
              <w:t>Označení</w:t>
            </w:r>
          </w:p>
        </w:tc>
        <w:tc>
          <w:tcPr>
            <w:tcW w:w="1980"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rsidR="00FD54B0" w:rsidRPr="00E800D0" w:rsidRDefault="00FD54B0" w:rsidP="00C035A7">
            <w:pPr>
              <w:keepLines/>
              <w:widowControl w:val="0"/>
              <w:spacing w:after="0" w:line="288" w:lineRule="auto"/>
              <w:rPr>
                <w:b/>
                <w:sz w:val="20"/>
                <w:szCs w:val="20"/>
              </w:rPr>
            </w:pPr>
            <w:r w:rsidRPr="00E800D0">
              <w:rPr>
                <w:b/>
                <w:sz w:val="20"/>
                <w:szCs w:val="20"/>
              </w:rPr>
              <w:t>Provozní doba linky</w:t>
            </w:r>
          </w:p>
        </w:tc>
        <w:tc>
          <w:tcPr>
            <w:tcW w:w="213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D54B0" w:rsidRPr="003F3942" w:rsidRDefault="00FD54B0" w:rsidP="00C035A7">
            <w:pPr>
              <w:keepLines/>
              <w:widowControl w:val="0"/>
              <w:spacing w:after="0" w:line="288" w:lineRule="auto"/>
              <w:rPr>
                <w:b/>
                <w:sz w:val="20"/>
                <w:szCs w:val="20"/>
              </w:rPr>
            </w:pPr>
            <w:r w:rsidRPr="004D636B">
              <w:rPr>
                <w:b/>
                <w:sz w:val="20"/>
                <w:szCs w:val="20"/>
              </w:rPr>
              <w:t xml:space="preserve">Dostupnost služby </w:t>
            </w:r>
            <w:r w:rsidRPr="003F3942">
              <w:rPr>
                <w:b/>
                <w:sz w:val="20"/>
                <w:szCs w:val="20"/>
              </w:rPr>
              <w:t>(%)</w:t>
            </w:r>
          </w:p>
        </w:tc>
        <w:tc>
          <w:tcPr>
            <w:tcW w:w="1824"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rsidR="00FD54B0" w:rsidRPr="003F3942" w:rsidRDefault="00FD54B0" w:rsidP="00C035A7">
            <w:pPr>
              <w:pStyle w:val="Zkladntext"/>
              <w:widowControl w:val="0"/>
              <w:spacing w:after="0" w:line="276" w:lineRule="auto"/>
              <w:rPr>
                <w:rFonts w:asciiTheme="minorHAnsi" w:hAnsiTheme="minorHAnsi"/>
                <w:b/>
                <w:sz w:val="20"/>
                <w:szCs w:val="20"/>
                <w:u w:val="single"/>
                <w:lang w:eastAsia="en-US"/>
              </w:rPr>
            </w:pPr>
            <w:r w:rsidRPr="003F3942">
              <w:rPr>
                <w:rFonts w:asciiTheme="minorHAnsi" w:hAnsiTheme="minorHAnsi"/>
                <w:b/>
                <w:sz w:val="20"/>
                <w:szCs w:val="20"/>
                <w:u w:val="single"/>
              </w:rPr>
              <w:t>Stabilita (ST)(</w:t>
            </w:r>
            <w:proofErr w:type="spellStart"/>
            <w:r w:rsidRPr="003F3942">
              <w:rPr>
                <w:rFonts w:asciiTheme="minorHAnsi" w:hAnsiTheme="minorHAnsi"/>
                <w:b/>
                <w:sz w:val="20"/>
                <w:szCs w:val="20"/>
                <w:u w:val="single"/>
              </w:rPr>
              <w:t>ms</w:t>
            </w:r>
            <w:proofErr w:type="spellEnd"/>
            <w:r w:rsidRPr="003F3942">
              <w:rPr>
                <w:rFonts w:asciiTheme="minorHAnsi" w:hAnsiTheme="minorHAnsi"/>
                <w:b/>
                <w:sz w:val="20"/>
                <w:szCs w:val="20"/>
                <w:u w:val="single"/>
              </w:rPr>
              <w:t>)</w:t>
            </w:r>
          </w:p>
        </w:tc>
        <w:tc>
          <w:tcPr>
            <w:tcW w:w="172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FD54B0" w:rsidRPr="003F3942" w:rsidRDefault="00FD54B0" w:rsidP="00C035A7">
            <w:pPr>
              <w:pStyle w:val="Zkladntext"/>
              <w:widowControl w:val="0"/>
              <w:spacing w:after="0" w:line="276" w:lineRule="auto"/>
              <w:rPr>
                <w:rFonts w:asciiTheme="minorHAnsi" w:hAnsiTheme="minorHAnsi"/>
                <w:b/>
                <w:sz w:val="20"/>
                <w:szCs w:val="20"/>
                <w:u w:val="single"/>
                <w:lang w:eastAsia="en-US"/>
              </w:rPr>
            </w:pPr>
            <w:proofErr w:type="spellStart"/>
            <w:r w:rsidRPr="003F3942">
              <w:rPr>
                <w:rFonts w:asciiTheme="minorHAnsi" w:hAnsiTheme="minorHAnsi"/>
                <w:b/>
                <w:sz w:val="20"/>
                <w:szCs w:val="20"/>
                <w:u w:val="single"/>
                <w:lang w:eastAsia="en-US"/>
              </w:rPr>
              <w:t>Packet</w:t>
            </w:r>
            <w:proofErr w:type="spellEnd"/>
            <w:r w:rsidRPr="003F3942">
              <w:rPr>
                <w:rFonts w:asciiTheme="minorHAnsi" w:hAnsiTheme="minorHAnsi"/>
                <w:b/>
                <w:sz w:val="20"/>
                <w:szCs w:val="20"/>
                <w:u w:val="single"/>
                <w:lang w:eastAsia="en-US"/>
              </w:rPr>
              <w:t xml:space="preserve"> </w:t>
            </w:r>
            <w:proofErr w:type="spellStart"/>
            <w:r w:rsidRPr="003F3942">
              <w:rPr>
                <w:rFonts w:asciiTheme="minorHAnsi" w:hAnsiTheme="minorHAnsi"/>
                <w:b/>
                <w:sz w:val="20"/>
                <w:szCs w:val="20"/>
                <w:u w:val="single"/>
                <w:lang w:eastAsia="en-US"/>
              </w:rPr>
              <w:t>loss</w:t>
            </w:r>
            <w:proofErr w:type="spellEnd"/>
            <w:r w:rsidRPr="003F3942">
              <w:rPr>
                <w:rFonts w:asciiTheme="minorHAnsi" w:hAnsiTheme="minorHAnsi"/>
                <w:b/>
                <w:sz w:val="20"/>
                <w:szCs w:val="20"/>
                <w:u w:val="single"/>
                <w:lang w:eastAsia="en-US"/>
              </w:rPr>
              <w:t xml:space="preserve"> (PL)(%)</w:t>
            </w:r>
          </w:p>
        </w:tc>
      </w:tr>
      <w:tr w:rsidR="00FD54B0" w:rsidRPr="00CA0696" w:rsidTr="00C035A7">
        <w:trPr>
          <w:trHeight w:val="66"/>
        </w:trPr>
        <w:tc>
          <w:tcPr>
            <w:tcW w:w="2405" w:type="dxa"/>
            <w:gridSpan w:val="3"/>
            <w:tcBorders>
              <w:top w:val="single" w:sz="4" w:space="0" w:color="auto"/>
              <w:left w:val="single" w:sz="4" w:space="0" w:color="auto"/>
              <w:bottom w:val="single" w:sz="4" w:space="0" w:color="auto"/>
              <w:right w:val="single" w:sz="4" w:space="0" w:color="auto"/>
            </w:tcBorders>
            <w:hideMark/>
          </w:tcPr>
          <w:p w:rsidR="00FD54B0" w:rsidRPr="00E800D0" w:rsidRDefault="00FD54B0" w:rsidP="00C035A7">
            <w:pPr>
              <w:pStyle w:val="Zkladntext"/>
              <w:widowControl w:val="0"/>
              <w:spacing w:after="0" w:line="276" w:lineRule="auto"/>
              <w:rPr>
                <w:rFonts w:asciiTheme="minorHAnsi" w:hAnsiTheme="minorHAnsi"/>
                <w:b/>
                <w:sz w:val="20"/>
                <w:szCs w:val="20"/>
                <w:lang w:eastAsia="en-US"/>
              </w:rPr>
            </w:pPr>
            <w:proofErr w:type="spellStart"/>
            <w:r w:rsidRPr="00CF6A27">
              <w:rPr>
                <w:rFonts w:asciiTheme="minorHAnsi" w:hAnsiTheme="minorHAnsi"/>
                <w:sz w:val="20"/>
                <w:szCs w:val="20"/>
                <w:lang w:eastAsia="en-US"/>
              </w:rPr>
              <w:t>IntTesnov</w:t>
            </w:r>
            <w:proofErr w:type="spellEnd"/>
          </w:p>
        </w:tc>
        <w:tc>
          <w:tcPr>
            <w:tcW w:w="1980" w:type="dxa"/>
            <w:gridSpan w:val="6"/>
            <w:tcBorders>
              <w:top w:val="single" w:sz="4" w:space="0" w:color="auto"/>
              <w:left w:val="single" w:sz="4" w:space="0" w:color="auto"/>
              <w:bottom w:val="single" w:sz="4" w:space="0" w:color="auto"/>
              <w:right w:val="single" w:sz="4" w:space="0" w:color="auto"/>
            </w:tcBorders>
            <w:hideMark/>
          </w:tcPr>
          <w:p w:rsidR="00FD54B0" w:rsidRPr="00E800D0" w:rsidRDefault="00FD54B0" w:rsidP="00C035A7">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7x24 (0-24)h</w:t>
            </w:r>
          </w:p>
        </w:tc>
        <w:tc>
          <w:tcPr>
            <w:tcW w:w="2136" w:type="dxa"/>
            <w:tcBorders>
              <w:top w:val="single" w:sz="4" w:space="0" w:color="auto"/>
              <w:left w:val="single" w:sz="4" w:space="0" w:color="auto"/>
              <w:bottom w:val="single" w:sz="4" w:space="0" w:color="auto"/>
              <w:right w:val="single" w:sz="4" w:space="0" w:color="auto"/>
            </w:tcBorders>
            <w:hideMark/>
          </w:tcPr>
          <w:p w:rsidR="00FD54B0" w:rsidRPr="00E800D0" w:rsidRDefault="00FD54B0" w:rsidP="00C035A7">
            <w:pPr>
              <w:pStyle w:val="Zkladntext"/>
              <w:widowControl w:val="0"/>
              <w:spacing w:after="0" w:line="276" w:lineRule="auto"/>
              <w:jc w:val="center"/>
              <w:rPr>
                <w:rFonts w:asciiTheme="minorHAnsi" w:hAnsiTheme="minorHAnsi" w:cs="Arial"/>
                <w:sz w:val="20"/>
                <w:szCs w:val="20"/>
                <w:lang w:eastAsia="en-US"/>
              </w:rPr>
            </w:pPr>
            <w:r w:rsidRPr="00E43C3B">
              <w:rPr>
                <w:rFonts w:asciiTheme="minorHAnsi" w:hAnsiTheme="minorHAnsi" w:cs="Arial"/>
                <w:sz w:val="20"/>
                <w:szCs w:val="20"/>
                <w:lang w:eastAsia="en-US"/>
              </w:rPr>
              <w:t>99,8</w:t>
            </w:r>
          </w:p>
        </w:tc>
        <w:tc>
          <w:tcPr>
            <w:tcW w:w="1824" w:type="dxa"/>
            <w:gridSpan w:val="3"/>
            <w:tcBorders>
              <w:top w:val="single" w:sz="4" w:space="0" w:color="auto"/>
              <w:left w:val="single" w:sz="4" w:space="0" w:color="auto"/>
              <w:bottom w:val="single" w:sz="4" w:space="0" w:color="auto"/>
              <w:right w:val="single" w:sz="4" w:space="0" w:color="auto"/>
            </w:tcBorders>
            <w:hideMark/>
          </w:tcPr>
          <w:p w:rsidR="00FD54B0" w:rsidRPr="00E800D0" w:rsidRDefault="00FD54B0" w:rsidP="00C035A7">
            <w:pPr>
              <w:pStyle w:val="Zkladntext"/>
              <w:keepLines/>
              <w:widowControl w:val="0"/>
              <w:spacing w:after="0" w:line="276" w:lineRule="auto"/>
              <w:jc w:val="center"/>
              <w:rPr>
                <w:rFonts w:asciiTheme="minorHAnsi" w:hAnsiTheme="minorHAnsi"/>
                <w:sz w:val="20"/>
                <w:szCs w:val="20"/>
                <w:lang w:eastAsia="en-US"/>
              </w:rPr>
            </w:pPr>
            <w:r w:rsidRPr="00E43C3B">
              <w:rPr>
                <w:rFonts w:asciiTheme="minorHAnsi" w:hAnsiTheme="minorHAnsi" w:cs="Arial"/>
                <w:sz w:val="20"/>
                <w:szCs w:val="20"/>
                <w:lang w:eastAsia="en-US"/>
              </w:rPr>
              <w:t>5</w:t>
            </w:r>
          </w:p>
        </w:tc>
        <w:tc>
          <w:tcPr>
            <w:tcW w:w="1720" w:type="dxa"/>
            <w:gridSpan w:val="2"/>
            <w:tcBorders>
              <w:top w:val="single" w:sz="4" w:space="0" w:color="auto"/>
              <w:left w:val="single" w:sz="4" w:space="0" w:color="auto"/>
              <w:bottom w:val="single" w:sz="4" w:space="0" w:color="auto"/>
              <w:right w:val="single" w:sz="4" w:space="0" w:color="auto"/>
            </w:tcBorders>
          </w:tcPr>
          <w:p w:rsidR="00FD54B0" w:rsidRPr="00E800D0" w:rsidRDefault="00FD54B0" w:rsidP="00C035A7">
            <w:pPr>
              <w:pStyle w:val="Zkladntext"/>
              <w:keepLines/>
              <w:widowControl w:val="0"/>
              <w:spacing w:after="0" w:line="276" w:lineRule="auto"/>
              <w:jc w:val="center"/>
              <w:rPr>
                <w:rFonts w:asciiTheme="minorHAnsi" w:hAnsiTheme="minorHAnsi"/>
                <w:sz w:val="20"/>
                <w:szCs w:val="20"/>
                <w:lang w:eastAsia="en-US"/>
              </w:rPr>
            </w:pPr>
            <w:r>
              <w:rPr>
                <w:rFonts w:asciiTheme="minorHAnsi" w:hAnsiTheme="minorHAnsi"/>
                <w:sz w:val="20"/>
                <w:szCs w:val="20"/>
                <w:lang w:eastAsia="en-US"/>
              </w:rPr>
              <w:t>10</w:t>
            </w:r>
          </w:p>
        </w:tc>
      </w:tr>
      <w:tr w:rsidR="00FD54B0" w:rsidRPr="00CA0696" w:rsidTr="00C035A7">
        <w:trPr>
          <w:trHeight w:val="347"/>
        </w:trPr>
        <w:tc>
          <w:tcPr>
            <w:tcW w:w="3704" w:type="dxa"/>
            <w:gridSpan w:val="8"/>
            <w:tcBorders>
              <w:top w:val="single" w:sz="4" w:space="0" w:color="auto"/>
              <w:left w:val="single" w:sz="4" w:space="0" w:color="auto"/>
              <w:bottom w:val="single" w:sz="4" w:space="0" w:color="auto"/>
              <w:right w:val="single" w:sz="4" w:space="0" w:color="auto"/>
            </w:tcBorders>
            <w:shd w:val="clear" w:color="auto" w:fill="00B050"/>
          </w:tcPr>
          <w:p w:rsidR="00FD54B0" w:rsidRPr="00E800D0" w:rsidRDefault="00FD54B0" w:rsidP="00C035A7">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 xml:space="preserve">Maximální </w:t>
            </w:r>
            <w:r>
              <w:rPr>
                <w:rFonts w:asciiTheme="minorHAnsi" w:hAnsiTheme="minorHAnsi"/>
                <w:b/>
                <w:sz w:val="20"/>
                <w:szCs w:val="20"/>
                <w:lang w:eastAsia="en-US"/>
              </w:rPr>
              <w:t xml:space="preserve">měsíční </w:t>
            </w:r>
            <w:r w:rsidRPr="00E800D0">
              <w:rPr>
                <w:rFonts w:asciiTheme="minorHAnsi" w:hAnsiTheme="minorHAnsi"/>
                <w:b/>
                <w:sz w:val="20"/>
                <w:szCs w:val="20"/>
                <w:lang w:eastAsia="en-US"/>
              </w:rPr>
              <w:t>počty incidentů (MI)</w:t>
            </w:r>
          </w:p>
        </w:tc>
        <w:tc>
          <w:tcPr>
            <w:tcW w:w="3179" w:type="dxa"/>
            <w:gridSpan w:val="3"/>
            <w:tcBorders>
              <w:top w:val="single" w:sz="4" w:space="0" w:color="auto"/>
              <w:left w:val="single" w:sz="4" w:space="0" w:color="auto"/>
              <w:bottom w:val="single" w:sz="4" w:space="0" w:color="auto"/>
              <w:right w:val="single" w:sz="4" w:space="0" w:color="auto"/>
            </w:tcBorders>
            <w:shd w:val="clear" w:color="auto" w:fill="00B050"/>
          </w:tcPr>
          <w:p w:rsidR="00FD54B0" w:rsidRPr="00E800D0" w:rsidRDefault="00FD54B0" w:rsidP="00C035A7">
            <w:pPr>
              <w:pStyle w:val="Zkladntext"/>
              <w:widowControl w:val="0"/>
              <w:spacing w:after="0" w:line="276" w:lineRule="auto"/>
              <w:jc w:val="center"/>
              <w:rPr>
                <w:rFonts w:asciiTheme="minorHAnsi" w:hAnsiTheme="minorHAnsi" w:cs="Arial"/>
                <w:b/>
                <w:sz w:val="20"/>
                <w:szCs w:val="20"/>
                <w:lang w:eastAsia="en-US"/>
              </w:rPr>
            </w:pPr>
            <w:r w:rsidRPr="00E800D0">
              <w:rPr>
                <w:rFonts w:asciiTheme="minorHAnsi" w:hAnsiTheme="minorHAnsi" w:cs="Arial"/>
                <w:b/>
                <w:sz w:val="20"/>
                <w:szCs w:val="20"/>
                <w:lang w:eastAsia="en-US"/>
              </w:rPr>
              <w:t>Priorita 1</w:t>
            </w:r>
          </w:p>
        </w:tc>
        <w:tc>
          <w:tcPr>
            <w:tcW w:w="3182" w:type="dxa"/>
            <w:gridSpan w:val="4"/>
            <w:tcBorders>
              <w:top w:val="single" w:sz="4" w:space="0" w:color="auto"/>
              <w:left w:val="single" w:sz="4" w:space="0" w:color="auto"/>
              <w:bottom w:val="single" w:sz="4" w:space="0" w:color="auto"/>
              <w:right w:val="single" w:sz="4" w:space="0" w:color="auto"/>
            </w:tcBorders>
            <w:shd w:val="clear" w:color="auto" w:fill="00B050"/>
          </w:tcPr>
          <w:p w:rsidR="00FD54B0" w:rsidRPr="00E800D0" w:rsidRDefault="00FD54B0" w:rsidP="00C035A7">
            <w:pPr>
              <w:spacing w:after="0"/>
              <w:jc w:val="center"/>
              <w:rPr>
                <w:sz w:val="20"/>
                <w:szCs w:val="20"/>
              </w:rPr>
            </w:pPr>
            <w:r w:rsidRPr="00E800D0">
              <w:rPr>
                <w:rFonts w:cs="Arial"/>
                <w:b/>
                <w:sz w:val="20"/>
                <w:szCs w:val="20"/>
              </w:rPr>
              <w:t>Priorita 2</w:t>
            </w:r>
          </w:p>
        </w:tc>
      </w:tr>
      <w:tr w:rsidR="00FD54B0" w:rsidRPr="00CA0696" w:rsidTr="00C035A7">
        <w:trPr>
          <w:trHeight w:val="347"/>
        </w:trPr>
        <w:tc>
          <w:tcPr>
            <w:tcW w:w="3704" w:type="dxa"/>
            <w:gridSpan w:val="8"/>
            <w:tcBorders>
              <w:top w:val="single" w:sz="4" w:space="0" w:color="auto"/>
              <w:left w:val="single" w:sz="4" w:space="0" w:color="auto"/>
              <w:bottom w:val="single" w:sz="4" w:space="0" w:color="auto"/>
              <w:right w:val="single" w:sz="4" w:space="0" w:color="auto"/>
            </w:tcBorders>
          </w:tcPr>
          <w:p w:rsidR="00FD54B0" w:rsidRPr="00E800D0" w:rsidRDefault="00FD54B0" w:rsidP="00C035A7">
            <w:pPr>
              <w:pStyle w:val="Zkladntext"/>
              <w:widowControl w:val="0"/>
              <w:spacing w:after="0" w:line="276" w:lineRule="auto"/>
              <w:rPr>
                <w:rFonts w:asciiTheme="minorHAnsi" w:hAnsiTheme="minorHAnsi"/>
                <w:sz w:val="20"/>
                <w:szCs w:val="20"/>
                <w:lang w:eastAsia="en-US"/>
              </w:rPr>
            </w:pPr>
            <w:proofErr w:type="spellStart"/>
            <w:r w:rsidRPr="00CF6A27">
              <w:rPr>
                <w:rFonts w:asciiTheme="minorHAnsi" w:hAnsiTheme="minorHAnsi"/>
                <w:sz w:val="20"/>
                <w:szCs w:val="20"/>
                <w:lang w:eastAsia="en-US"/>
              </w:rPr>
              <w:t>IntTesnov</w:t>
            </w:r>
            <w:proofErr w:type="spellEnd"/>
          </w:p>
        </w:tc>
        <w:tc>
          <w:tcPr>
            <w:tcW w:w="3179" w:type="dxa"/>
            <w:gridSpan w:val="3"/>
            <w:tcBorders>
              <w:top w:val="single" w:sz="4" w:space="0" w:color="auto"/>
              <w:left w:val="single" w:sz="4" w:space="0" w:color="auto"/>
              <w:bottom w:val="single" w:sz="4" w:space="0" w:color="auto"/>
              <w:right w:val="single" w:sz="4" w:space="0" w:color="auto"/>
            </w:tcBorders>
          </w:tcPr>
          <w:p w:rsidR="00FD54B0" w:rsidRPr="00E800D0" w:rsidRDefault="00FD54B0" w:rsidP="00C035A7">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1</w:t>
            </w:r>
          </w:p>
        </w:tc>
        <w:tc>
          <w:tcPr>
            <w:tcW w:w="3182" w:type="dxa"/>
            <w:gridSpan w:val="4"/>
            <w:tcBorders>
              <w:top w:val="single" w:sz="4" w:space="0" w:color="auto"/>
              <w:left w:val="single" w:sz="4" w:space="0" w:color="auto"/>
              <w:bottom w:val="single" w:sz="4" w:space="0" w:color="auto"/>
              <w:right w:val="single" w:sz="4" w:space="0" w:color="auto"/>
            </w:tcBorders>
            <w:vAlign w:val="center"/>
          </w:tcPr>
          <w:p w:rsidR="00FD54B0" w:rsidRPr="00E800D0" w:rsidRDefault="00FD54B0" w:rsidP="00C035A7">
            <w:pPr>
              <w:spacing w:after="0"/>
              <w:jc w:val="center"/>
              <w:rPr>
                <w:sz w:val="20"/>
                <w:szCs w:val="20"/>
              </w:rPr>
            </w:pPr>
            <w:r w:rsidRPr="00E800D0">
              <w:rPr>
                <w:sz w:val="20"/>
                <w:szCs w:val="20"/>
              </w:rPr>
              <w:t>10</w:t>
            </w:r>
          </w:p>
        </w:tc>
      </w:tr>
      <w:tr w:rsidR="00FD54B0" w:rsidRPr="00CA0696" w:rsidTr="00C035A7">
        <w:trPr>
          <w:cantSplit/>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hideMark/>
          </w:tcPr>
          <w:p w:rsidR="00FD54B0" w:rsidRPr="00E800D0" w:rsidRDefault="00FD54B0" w:rsidP="00C035A7">
            <w:pPr>
              <w:keepLines/>
              <w:widowControl w:val="0"/>
              <w:spacing w:after="0" w:line="288" w:lineRule="auto"/>
              <w:rPr>
                <w:sz w:val="20"/>
                <w:szCs w:val="20"/>
              </w:rPr>
            </w:pPr>
            <w:r w:rsidRPr="00E800D0">
              <w:rPr>
                <w:b/>
                <w:sz w:val="20"/>
                <w:szCs w:val="20"/>
              </w:rPr>
              <w:t>Matice priorit</w:t>
            </w:r>
          </w:p>
        </w:tc>
      </w:tr>
      <w:tr w:rsidR="00FD54B0" w:rsidRPr="00CA0696" w:rsidTr="00C035A7">
        <w:trPr>
          <w:cantSplit/>
          <w:trHeight w:val="347"/>
        </w:trPr>
        <w:tc>
          <w:tcPr>
            <w:tcW w:w="1419"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D54B0" w:rsidRPr="00E800D0" w:rsidRDefault="00FD54B0" w:rsidP="00C035A7">
            <w:pPr>
              <w:keepLines/>
              <w:widowControl w:val="0"/>
              <w:spacing w:after="0" w:line="288" w:lineRule="auto"/>
              <w:rPr>
                <w:b/>
                <w:sz w:val="20"/>
                <w:szCs w:val="20"/>
              </w:rPr>
            </w:pPr>
            <w:r w:rsidRPr="00E800D0">
              <w:rPr>
                <w:b/>
                <w:sz w:val="20"/>
                <w:szCs w:val="20"/>
              </w:rPr>
              <w:t>Priorita</w:t>
            </w:r>
          </w:p>
        </w:tc>
        <w:tc>
          <w:tcPr>
            <w:tcW w:w="8646" w:type="dxa"/>
            <w:gridSpan w:val="14"/>
            <w:tcBorders>
              <w:top w:val="single" w:sz="4" w:space="0" w:color="auto"/>
              <w:left w:val="single" w:sz="4" w:space="0" w:color="auto"/>
              <w:bottom w:val="single" w:sz="4" w:space="0" w:color="auto"/>
              <w:right w:val="single" w:sz="4" w:space="0" w:color="auto"/>
            </w:tcBorders>
            <w:shd w:val="clear" w:color="auto" w:fill="00B050"/>
            <w:vAlign w:val="center"/>
            <w:hideMark/>
          </w:tcPr>
          <w:p w:rsidR="00FD54B0" w:rsidRPr="00E800D0" w:rsidRDefault="00FD54B0" w:rsidP="00C035A7">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Definice priority incidentů</w:t>
            </w:r>
          </w:p>
        </w:tc>
      </w:tr>
      <w:tr w:rsidR="00FD54B0" w:rsidRPr="00CA0696" w:rsidTr="00C035A7">
        <w:trPr>
          <w:trHeight w:val="347"/>
        </w:trPr>
        <w:tc>
          <w:tcPr>
            <w:tcW w:w="1419" w:type="dxa"/>
            <w:tcBorders>
              <w:top w:val="single" w:sz="4" w:space="0" w:color="auto"/>
              <w:left w:val="single" w:sz="4" w:space="0" w:color="auto"/>
              <w:bottom w:val="single" w:sz="4" w:space="0" w:color="auto"/>
              <w:right w:val="single" w:sz="4" w:space="0" w:color="auto"/>
            </w:tcBorders>
            <w:vAlign w:val="center"/>
            <w:hideMark/>
          </w:tcPr>
          <w:p w:rsidR="00FD54B0" w:rsidRPr="00E800D0" w:rsidRDefault="00FD54B0" w:rsidP="00C035A7">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Priorita 1</w:t>
            </w:r>
          </w:p>
        </w:tc>
        <w:tc>
          <w:tcPr>
            <w:tcW w:w="8646" w:type="dxa"/>
            <w:gridSpan w:val="14"/>
            <w:tcBorders>
              <w:top w:val="single" w:sz="4" w:space="0" w:color="auto"/>
              <w:left w:val="single" w:sz="4" w:space="0" w:color="auto"/>
              <w:bottom w:val="single" w:sz="4" w:space="0" w:color="auto"/>
              <w:right w:val="single" w:sz="4" w:space="0" w:color="auto"/>
            </w:tcBorders>
            <w:hideMark/>
          </w:tcPr>
          <w:p w:rsidR="00FD54B0" w:rsidRPr="00E800D0" w:rsidRDefault="00FD54B0" w:rsidP="00C035A7">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Monitoring systém ve dvou po sobě jdoucích vykonáních testovacích scénářů detekoval nedostupnost služby. Dva po sobě jdoucí nesplněné testovací scénáře priority 2 automaticky znamenají nedostupnost priority 1.</w:t>
            </w:r>
          </w:p>
          <w:p w:rsidR="00FD54B0" w:rsidRPr="004D636B" w:rsidRDefault="00FD54B0" w:rsidP="00C035A7">
            <w:pPr>
              <w:pStyle w:val="Zkladntext"/>
              <w:widowControl w:val="0"/>
              <w:spacing w:after="0" w:line="276" w:lineRule="auto"/>
              <w:rPr>
                <w:rFonts w:asciiTheme="minorHAnsi" w:hAnsiTheme="minorHAnsi"/>
                <w:sz w:val="20"/>
                <w:szCs w:val="20"/>
                <w:lang w:eastAsia="en-US"/>
              </w:rPr>
            </w:pPr>
            <w:r w:rsidRPr="004D636B">
              <w:rPr>
                <w:rFonts w:asciiTheme="minorHAnsi" w:hAnsiTheme="minorHAnsi"/>
                <w:sz w:val="20"/>
                <w:szCs w:val="20"/>
                <w:lang w:eastAsia="en-US"/>
              </w:rPr>
              <w:t xml:space="preserve">Monitoring systém identifikuje výpadek trasy </w:t>
            </w:r>
            <w:r>
              <w:rPr>
                <w:rFonts w:asciiTheme="minorHAnsi" w:hAnsiTheme="minorHAnsi"/>
                <w:sz w:val="20"/>
                <w:szCs w:val="20"/>
                <w:lang w:eastAsia="en-US"/>
              </w:rPr>
              <w:t>(lin</w:t>
            </w:r>
            <w:r w:rsidRPr="004D636B">
              <w:rPr>
                <w:rFonts w:asciiTheme="minorHAnsi" w:hAnsiTheme="minorHAnsi"/>
                <w:sz w:val="20"/>
                <w:szCs w:val="20"/>
                <w:lang w:eastAsia="en-US"/>
              </w:rPr>
              <w:t>k</w:t>
            </w:r>
            <w:r>
              <w:rPr>
                <w:rFonts w:asciiTheme="minorHAnsi" w:hAnsiTheme="minorHAnsi"/>
                <w:sz w:val="20"/>
                <w:szCs w:val="20"/>
                <w:lang w:eastAsia="en-US"/>
              </w:rPr>
              <w:t>y</w:t>
            </w:r>
            <w:r w:rsidRPr="004D636B">
              <w:rPr>
                <w:rFonts w:asciiTheme="minorHAnsi" w:hAnsiTheme="minorHAnsi"/>
                <w:sz w:val="20"/>
                <w:szCs w:val="20"/>
                <w:lang w:eastAsia="en-US"/>
              </w:rPr>
              <w:t>).</w:t>
            </w:r>
          </w:p>
        </w:tc>
      </w:tr>
      <w:tr w:rsidR="00FD54B0" w:rsidRPr="00CA0696" w:rsidTr="00C035A7">
        <w:trPr>
          <w:trHeight w:val="347"/>
        </w:trPr>
        <w:tc>
          <w:tcPr>
            <w:tcW w:w="1419" w:type="dxa"/>
            <w:tcBorders>
              <w:top w:val="single" w:sz="4" w:space="0" w:color="auto"/>
              <w:left w:val="single" w:sz="4" w:space="0" w:color="auto"/>
              <w:bottom w:val="single" w:sz="4" w:space="0" w:color="auto"/>
              <w:right w:val="single" w:sz="4" w:space="0" w:color="auto"/>
            </w:tcBorders>
            <w:vAlign w:val="center"/>
          </w:tcPr>
          <w:p w:rsidR="00FD54B0" w:rsidRPr="00E800D0" w:rsidRDefault="00FD54B0" w:rsidP="00C035A7">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Priorita 2</w:t>
            </w:r>
          </w:p>
        </w:tc>
        <w:tc>
          <w:tcPr>
            <w:tcW w:w="8646" w:type="dxa"/>
            <w:gridSpan w:val="14"/>
            <w:tcBorders>
              <w:top w:val="single" w:sz="4" w:space="0" w:color="auto"/>
              <w:left w:val="single" w:sz="4" w:space="0" w:color="auto"/>
              <w:bottom w:val="single" w:sz="4" w:space="0" w:color="auto"/>
              <w:right w:val="single" w:sz="4" w:space="0" w:color="auto"/>
            </w:tcBorders>
          </w:tcPr>
          <w:p w:rsidR="00FD54B0" w:rsidRPr="00E800D0" w:rsidRDefault="00FD54B0" w:rsidP="00C035A7">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Monitoring systém dle scénáře detekoval překročení parametru Stabil</w:t>
            </w:r>
            <w:r>
              <w:rPr>
                <w:rFonts w:asciiTheme="minorHAnsi" w:hAnsiTheme="minorHAnsi"/>
                <w:sz w:val="20"/>
                <w:szCs w:val="20"/>
                <w:lang w:eastAsia="en-US"/>
              </w:rPr>
              <w:t xml:space="preserve">ita (ST) nebo </w:t>
            </w:r>
            <w:proofErr w:type="spellStart"/>
            <w:r>
              <w:rPr>
                <w:rFonts w:asciiTheme="minorHAnsi" w:hAnsiTheme="minorHAnsi"/>
                <w:sz w:val="20"/>
                <w:szCs w:val="20"/>
                <w:lang w:eastAsia="en-US"/>
              </w:rPr>
              <w:t>Packet</w:t>
            </w:r>
            <w:proofErr w:type="spellEnd"/>
            <w:r>
              <w:rPr>
                <w:rFonts w:asciiTheme="minorHAnsi" w:hAnsiTheme="minorHAnsi"/>
                <w:sz w:val="20"/>
                <w:szCs w:val="20"/>
                <w:lang w:eastAsia="en-US"/>
              </w:rPr>
              <w:t xml:space="preserve"> </w:t>
            </w:r>
            <w:proofErr w:type="spellStart"/>
            <w:r>
              <w:rPr>
                <w:rFonts w:asciiTheme="minorHAnsi" w:hAnsiTheme="minorHAnsi"/>
                <w:sz w:val="20"/>
                <w:szCs w:val="20"/>
                <w:lang w:eastAsia="en-US"/>
              </w:rPr>
              <w:t>Loss</w:t>
            </w:r>
            <w:proofErr w:type="spellEnd"/>
            <w:r>
              <w:rPr>
                <w:rFonts w:asciiTheme="minorHAnsi" w:hAnsiTheme="minorHAnsi"/>
                <w:sz w:val="20"/>
                <w:szCs w:val="20"/>
                <w:lang w:eastAsia="en-US"/>
              </w:rPr>
              <w:t xml:space="preserve"> (PL).</w:t>
            </w:r>
          </w:p>
        </w:tc>
      </w:tr>
      <w:tr w:rsidR="00FD54B0" w:rsidRPr="00CA0696" w:rsidTr="00C035A7">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hideMark/>
          </w:tcPr>
          <w:p w:rsidR="00FD54B0" w:rsidRPr="00E800D0" w:rsidRDefault="00FD54B0" w:rsidP="00C035A7">
            <w:pPr>
              <w:keepLines/>
              <w:widowControl w:val="0"/>
              <w:spacing w:after="0" w:line="288" w:lineRule="auto"/>
              <w:rPr>
                <w:sz w:val="20"/>
                <w:szCs w:val="20"/>
              </w:rPr>
            </w:pPr>
            <w:r w:rsidRPr="00E800D0">
              <w:rPr>
                <w:rFonts w:cs="Arial"/>
                <w:b/>
                <w:sz w:val="20"/>
                <w:szCs w:val="20"/>
              </w:rPr>
              <w:t>Způsob</w:t>
            </w:r>
            <w:r w:rsidRPr="00E800D0">
              <w:rPr>
                <w:b/>
                <w:sz w:val="20"/>
                <w:szCs w:val="20"/>
              </w:rPr>
              <w:t xml:space="preserve"> kontroly </w:t>
            </w:r>
          </w:p>
        </w:tc>
      </w:tr>
      <w:tr w:rsidR="00FD54B0" w:rsidRPr="00CA0696" w:rsidTr="00C035A7">
        <w:trPr>
          <w:trHeight w:val="347"/>
        </w:trPr>
        <w:tc>
          <w:tcPr>
            <w:tcW w:w="10065" w:type="dxa"/>
            <w:gridSpan w:val="15"/>
            <w:tcBorders>
              <w:top w:val="single" w:sz="4" w:space="0" w:color="auto"/>
              <w:left w:val="single" w:sz="4" w:space="0" w:color="auto"/>
              <w:bottom w:val="single" w:sz="4" w:space="0" w:color="auto"/>
              <w:right w:val="single" w:sz="4" w:space="0" w:color="auto"/>
            </w:tcBorders>
            <w:vAlign w:val="center"/>
            <w:hideMark/>
          </w:tcPr>
          <w:p w:rsidR="00FD54B0" w:rsidRPr="00E800D0" w:rsidRDefault="00FD54B0" w:rsidP="00FD54B0">
            <w:pPr>
              <w:pStyle w:val="Zkladntext"/>
              <w:widowControl w:val="0"/>
              <w:numPr>
                <w:ilvl w:val="0"/>
                <w:numId w:val="3"/>
              </w:numPr>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 xml:space="preserve">Kontrola bude prováděna z dohledového systému Objednatele na </w:t>
            </w:r>
            <w:r>
              <w:rPr>
                <w:rFonts w:asciiTheme="minorHAnsi" w:hAnsiTheme="minorHAnsi"/>
                <w:sz w:val="20"/>
                <w:szCs w:val="20"/>
                <w:lang w:eastAsia="en-US"/>
              </w:rPr>
              <w:t>první zařízení v lokalitě Poskytovatele</w:t>
            </w:r>
            <w:r w:rsidRPr="00E800D0">
              <w:rPr>
                <w:rFonts w:asciiTheme="minorHAnsi" w:hAnsiTheme="minorHAnsi"/>
                <w:sz w:val="20"/>
                <w:szCs w:val="20"/>
                <w:lang w:eastAsia="en-US"/>
              </w:rPr>
              <w:t>.</w:t>
            </w:r>
          </w:p>
          <w:p w:rsidR="00FD54B0" w:rsidRPr="00E800D0" w:rsidRDefault="00FD54B0" w:rsidP="00FD54B0">
            <w:pPr>
              <w:pStyle w:val="Default"/>
              <w:keepLines/>
              <w:widowControl w:val="0"/>
              <w:numPr>
                <w:ilvl w:val="0"/>
                <w:numId w:val="3"/>
              </w:numPr>
              <w:tabs>
                <w:tab w:val="left" w:pos="851"/>
              </w:tabs>
              <w:spacing w:line="288" w:lineRule="auto"/>
              <w:jc w:val="both"/>
              <w:rPr>
                <w:rFonts w:asciiTheme="minorHAnsi" w:eastAsia="Times New Roman" w:hAnsiTheme="minorHAnsi"/>
                <w:color w:val="auto"/>
                <w:sz w:val="20"/>
                <w:szCs w:val="20"/>
              </w:rPr>
            </w:pPr>
            <w:r w:rsidRPr="00E800D0">
              <w:rPr>
                <w:rFonts w:asciiTheme="minorHAnsi" w:hAnsiTheme="minorHAnsi"/>
                <w:color w:val="auto"/>
                <w:sz w:val="20"/>
                <w:szCs w:val="20"/>
              </w:rPr>
              <w:t>Výkazem plnění parametrů SLA, který je požadován jako pravidelný měsíční report od Poskytovatele.</w:t>
            </w:r>
          </w:p>
          <w:p w:rsidR="00FD54B0" w:rsidRPr="00E800D0" w:rsidRDefault="00FD54B0" w:rsidP="00FD54B0">
            <w:pPr>
              <w:pStyle w:val="Default"/>
              <w:keepLines/>
              <w:widowControl w:val="0"/>
              <w:numPr>
                <w:ilvl w:val="0"/>
                <w:numId w:val="3"/>
              </w:numPr>
              <w:tabs>
                <w:tab w:val="left" w:pos="851"/>
              </w:tabs>
              <w:spacing w:line="288" w:lineRule="auto"/>
              <w:jc w:val="both"/>
              <w:rPr>
                <w:rFonts w:asciiTheme="minorHAnsi" w:eastAsia="Times New Roman" w:hAnsiTheme="minorHAnsi"/>
                <w:color w:val="auto"/>
                <w:sz w:val="20"/>
                <w:szCs w:val="20"/>
              </w:rPr>
            </w:pPr>
            <w:r w:rsidRPr="00E800D0">
              <w:rPr>
                <w:rFonts w:asciiTheme="minorHAnsi" w:hAnsiTheme="minorHAnsi"/>
                <w:color w:val="auto"/>
                <w:sz w:val="20"/>
                <w:szCs w:val="20"/>
              </w:rPr>
              <w:t>Prokázání, že k nedostupnosti nebo omezení poskytování Služeb došlo vinou vnějšího vlivu (mimo působnost Poskytovatele) nebo nesoučinností Objednatele je povinností Poskytovatele. Pokud toto prokázání není doručeno jako součást podkladů pro vyhodnocení dodávek Služeb, je nedostupnost považována za prokázanou.</w:t>
            </w:r>
          </w:p>
        </w:tc>
      </w:tr>
      <w:tr w:rsidR="00FD54B0" w:rsidRPr="00CA0696" w:rsidTr="00C035A7">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rsidR="00FD54B0" w:rsidRPr="00E800D0" w:rsidRDefault="00FD54B0" w:rsidP="00C035A7">
            <w:pPr>
              <w:keepLines/>
              <w:widowControl w:val="0"/>
              <w:spacing w:after="0" w:line="288" w:lineRule="auto"/>
              <w:rPr>
                <w:b/>
                <w:sz w:val="20"/>
                <w:szCs w:val="20"/>
              </w:rPr>
            </w:pPr>
            <w:r w:rsidRPr="00E800D0">
              <w:rPr>
                <w:rFonts w:cs="Arial"/>
                <w:b/>
                <w:sz w:val="20"/>
                <w:szCs w:val="20"/>
              </w:rPr>
              <w:t>PODMÍNKY</w:t>
            </w:r>
            <w:r w:rsidRPr="00E800D0">
              <w:rPr>
                <w:b/>
                <w:sz w:val="20"/>
                <w:szCs w:val="20"/>
              </w:rPr>
              <w:t xml:space="preserve"> A OMEZENÍ SLUŽBY</w:t>
            </w:r>
          </w:p>
        </w:tc>
      </w:tr>
      <w:tr w:rsidR="00FD54B0" w:rsidRPr="00CA0696" w:rsidTr="00C035A7">
        <w:trPr>
          <w:trHeight w:val="347"/>
        </w:trPr>
        <w:tc>
          <w:tcPr>
            <w:tcW w:w="2829" w:type="dxa"/>
            <w:gridSpan w:val="4"/>
            <w:tcBorders>
              <w:top w:val="single" w:sz="4" w:space="0" w:color="auto"/>
              <w:left w:val="single" w:sz="4" w:space="0" w:color="auto"/>
              <w:bottom w:val="single" w:sz="4" w:space="0" w:color="auto"/>
              <w:right w:val="single" w:sz="4" w:space="0" w:color="auto"/>
            </w:tcBorders>
            <w:vAlign w:val="center"/>
            <w:hideMark/>
          </w:tcPr>
          <w:p w:rsidR="00FD54B0" w:rsidRPr="00E800D0" w:rsidRDefault="00FD54B0" w:rsidP="00C035A7">
            <w:pPr>
              <w:keepLines/>
              <w:widowControl w:val="0"/>
              <w:spacing w:after="0" w:line="288" w:lineRule="auto"/>
              <w:rPr>
                <w:b/>
                <w:sz w:val="20"/>
                <w:szCs w:val="20"/>
              </w:rPr>
            </w:pPr>
            <w:r w:rsidRPr="00E800D0">
              <w:rPr>
                <w:rFonts w:cs="Arial"/>
                <w:b/>
                <w:sz w:val="20"/>
                <w:szCs w:val="20"/>
              </w:rPr>
              <w:t>Omezení</w:t>
            </w:r>
          </w:p>
        </w:tc>
        <w:tc>
          <w:tcPr>
            <w:tcW w:w="7236" w:type="dxa"/>
            <w:gridSpan w:val="11"/>
            <w:tcBorders>
              <w:top w:val="single" w:sz="4" w:space="0" w:color="auto"/>
              <w:left w:val="single" w:sz="4" w:space="0" w:color="auto"/>
              <w:bottom w:val="single" w:sz="4" w:space="0" w:color="auto"/>
              <w:right w:val="single" w:sz="4" w:space="0" w:color="auto"/>
            </w:tcBorders>
            <w:vAlign w:val="center"/>
            <w:hideMark/>
          </w:tcPr>
          <w:p w:rsidR="00FD54B0" w:rsidRPr="00E800D0" w:rsidRDefault="00FD54B0" w:rsidP="00C035A7">
            <w:pPr>
              <w:pStyle w:val="Zkladntext"/>
              <w:widowControl w:val="0"/>
              <w:spacing w:after="0" w:line="276" w:lineRule="auto"/>
              <w:rPr>
                <w:rFonts w:asciiTheme="minorHAnsi" w:hAnsiTheme="minorHAnsi" w:cs="Arial"/>
                <w:sz w:val="20"/>
                <w:szCs w:val="20"/>
                <w:lang w:eastAsia="en-US"/>
              </w:rPr>
            </w:pPr>
            <w:r w:rsidRPr="00E800D0">
              <w:rPr>
                <w:rFonts w:asciiTheme="minorHAnsi" w:hAnsiTheme="minorHAnsi" w:cs="Arial"/>
                <w:sz w:val="20"/>
                <w:szCs w:val="20"/>
                <w:lang w:eastAsia="en-US"/>
              </w:rPr>
              <w:t>Služba je poskytována bez omezení.</w:t>
            </w:r>
          </w:p>
        </w:tc>
      </w:tr>
      <w:tr w:rsidR="00FD54B0" w:rsidRPr="00CA0696" w:rsidTr="00C035A7">
        <w:trPr>
          <w:trHeight w:val="347"/>
        </w:trPr>
        <w:tc>
          <w:tcPr>
            <w:tcW w:w="2829" w:type="dxa"/>
            <w:gridSpan w:val="4"/>
            <w:tcBorders>
              <w:top w:val="single" w:sz="4" w:space="0" w:color="auto"/>
              <w:left w:val="single" w:sz="4" w:space="0" w:color="auto"/>
              <w:bottom w:val="single" w:sz="4" w:space="0" w:color="auto"/>
              <w:right w:val="single" w:sz="4" w:space="0" w:color="auto"/>
            </w:tcBorders>
            <w:vAlign w:val="center"/>
            <w:hideMark/>
          </w:tcPr>
          <w:p w:rsidR="00FD54B0" w:rsidRPr="00E800D0" w:rsidRDefault="00FD54B0" w:rsidP="00C035A7">
            <w:pPr>
              <w:keepLines/>
              <w:widowControl w:val="0"/>
              <w:spacing w:after="0" w:line="288" w:lineRule="auto"/>
              <w:rPr>
                <w:b/>
                <w:sz w:val="20"/>
                <w:szCs w:val="20"/>
              </w:rPr>
            </w:pPr>
            <w:r w:rsidRPr="00E800D0">
              <w:rPr>
                <w:b/>
                <w:sz w:val="20"/>
                <w:szCs w:val="20"/>
              </w:rPr>
              <w:t>Další podmínky</w:t>
            </w:r>
          </w:p>
        </w:tc>
        <w:tc>
          <w:tcPr>
            <w:tcW w:w="7236" w:type="dxa"/>
            <w:gridSpan w:val="11"/>
            <w:tcBorders>
              <w:top w:val="single" w:sz="4" w:space="0" w:color="auto"/>
              <w:left w:val="single" w:sz="4" w:space="0" w:color="auto"/>
              <w:bottom w:val="single" w:sz="4" w:space="0" w:color="auto"/>
              <w:right w:val="single" w:sz="4" w:space="0" w:color="auto"/>
            </w:tcBorders>
            <w:vAlign w:val="center"/>
          </w:tcPr>
          <w:p w:rsidR="00FD54B0" w:rsidRDefault="00FD54B0" w:rsidP="00C035A7">
            <w:pPr>
              <w:pStyle w:val="Zkladntext"/>
              <w:widowControl w:val="0"/>
              <w:spacing w:after="0" w:line="276" w:lineRule="auto"/>
              <w:rPr>
                <w:rFonts w:asciiTheme="minorHAnsi" w:hAnsiTheme="minorHAnsi" w:cs="Arial"/>
                <w:sz w:val="20"/>
                <w:szCs w:val="20"/>
                <w:lang w:eastAsia="en-US"/>
              </w:rPr>
            </w:pPr>
            <w:r w:rsidRPr="008D049B">
              <w:rPr>
                <w:rFonts w:asciiTheme="minorHAnsi" w:hAnsiTheme="minorHAnsi" w:cs="Arial"/>
                <w:sz w:val="20"/>
                <w:szCs w:val="20"/>
                <w:lang w:eastAsia="en-US"/>
              </w:rPr>
              <w:t>Poskytovatel v rámci Služby vytvoří a bude udržovat aktuální dokumentaci, která bude obsahovat</w:t>
            </w:r>
            <w:r>
              <w:rPr>
                <w:rFonts w:asciiTheme="minorHAnsi" w:hAnsiTheme="minorHAnsi" w:cs="Arial"/>
                <w:sz w:val="20"/>
                <w:szCs w:val="20"/>
                <w:lang w:eastAsia="en-US"/>
              </w:rPr>
              <w:t>:</w:t>
            </w:r>
          </w:p>
          <w:p w:rsidR="00FD54B0" w:rsidRDefault="00FD54B0" w:rsidP="00FD54B0">
            <w:pPr>
              <w:pStyle w:val="Zkladntext"/>
              <w:widowControl w:val="0"/>
              <w:numPr>
                <w:ilvl w:val="0"/>
                <w:numId w:val="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konfiguraci zařízení směrem k Objednateli:</w:t>
            </w:r>
          </w:p>
          <w:p w:rsidR="00FD54B0" w:rsidRDefault="00FD54B0" w:rsidP="00FD54B0">
            <w:pPr>
              <w:pStyle w:val="Zkladntext"/>
              <w:widowControl w:val="0"/>
              <w:numPr>
                <w:ilvl w:val="1"/>
                <w:numId w:val="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fyzická konfigurace předávacího interface</w:t>
            </w:r>
          </w:p>
          <w:p w:rsidR="00FD54B0" w:rsidRDefault="00FD54B0" w:rsidP="00FD54B0">
            <w:pPr>
              <w:pStyle w:val="Zkladntext"/>
              <w:widowControl w:val="0"/>
              <w:numPr>
                <w:ilvl w:val="1"/>
                <w:numId w:val="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vysoké dostupnosti, případně link agregace</w:t>
            </w:r>
          </w:p>
          <w:p w:rsidR="00FD54B0" w:rsidRDefault="00FD54B0" w:rsidP="00FD54B0">
            <w:pPr>
              <w:pStyle w:val="Zkladntext"/>
              <w:widowControl w:val="0"/>
              <w:numPr>
                <w:ilvl w:val="1"/>
                <w:numId w:val="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MAC adresy předávacích interface</w:t>
            </w:r>
          </w:p>
          <w:p w:rsidR="00FD54B0" w:rsidRDefault="00FD54B0" w:rsidP="00FD54B0">
            <w:pPr>
              <w:pStyle w:val="Zkladntext"/>
              <w:widowControl w:val="0"/>
              <w:numPr>
                <w:ilvl w:val="1"/>
                <w:numId w:val="4"/>
              </w:numPr>
              <w:spacing w:after="0" w:line="276" w:lineRule="auto"/>
              <w:rPr>
                <w:rFonts w:asciiTheme="minorHAnsi" w:hAnsiTheme="minorHAnsi" w:cs="Arial"/>
                <w:sz w:val="20"/>
                <w:szCs w:val="20"/>
                <w:lang w:eastAsia="en-US"/>
              </w:rPr>
            </w:pPr>
            <w:proofErr w:type="spellStart"/>
            <w:r>
              <w:rPr>
                <w:rFonts w:asciiTheme="minorHAnsi" w:hAnsiTheme="minorHAnsi" w:cs="Arial"/>
                <w:sz w:val="20"/>
                <w:szCs w:val="20"/>
                <w:lang w:eastAsia="en-US"/>
              </w:rPr>
              <w:t>routovací</w:t>
            </w:r>
            <w:proofErr w:type="spellEnd"/>
            <w:r>
              <w:rPr>
                <w:rFonts w:asciiTheme="minorHAnsi" w:hAnsiTheme="minorHAnsi" w:cs="Arial"/>
                <w:sz w:val="20"/>
                <w:szCs w:val="20"/>
                <w:lang w:eastAsia="en-US"/>
              </w:rPr>
              <w:t xml:space="preserve"> tabulku (</w:t>
            </w:r>
            <w:proofErr w:type="spellStart"/>
            <w:r>
              <w:rPr>
                <w:rFonts w:asciiTheme="minorHAnsi" w:hAnsiTheme="minorHAnsi" w:cs="Arial"/>
                <w:sz w:val="20"/>
                <w:szCs w:val="20"/>
                <w:lang w:eastAsia="en-US"/>
              </w:rPr>
              <w:t>subnety</w:t>
            </w:r>
            <w:proofErr w:type="spellEnd"/>
            <w:r>
              <w:rPr>
                <w:rFonts w:asciiTheme="minorHAnsi" w:hAnsiTheme="minorHAnsi" w:cs="Arial"/>
                <w:sz w:val="20"/>
                <w:szCs w:val="20"/>
                <w:lang w:eastAsia="en-US"/>
              </w:rPr>
              <w:t xml:space="preserve"> Objednatele)</w:t>
            </w:r>
          </w:p>
          <w:p w:rsidR="00FD54B0" w:rsidRDefault="00FD54B0" w:rsidP="00FD54B0">
            <w:pPr>
              <w:pStyle w:val="Zkladntext"/>
              <w:widowControl w:val="0"/>
              <w:numPr>
                <w:ilvl w:val="1"/>
                <w:numId w:val="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pravidla firewallu</w:t>
            </w:r>
          </w:p>
          <w:p w:rsidR="00FD54B0" w:rsidRDefault="00FD54B0" w:rsidP="00FD54B0">
            <w:pPr>
              <w:pStyle w:val="Zkladntext"/>
              <w:widowControl w:val="0"/>
              <w:numPr>
                <w:ilvl w:val="0"/>
                <w:numId w:val="4"/>
              </w:numPr>
              <w:spacing w:after="0" w:line="276" w:lineRule="auto"/>
              <w:rPr>
                <w:rFonts w:asciiTheme="minorHAnsi" w:hAnsiTheme="minorHAnsi" w:cs="Arial"/>
                <w:sz w:val="20"/>
                <w:szCs w:val="20"/>
                <w:lang w:eastAsia="en-US"/>
              </w:rPr>
            </w:pPr>
            <w:r w:rsidRPr="005F7258">
              <w:rPr>
                <w:rFonts w:asciiTheme="minorHAnsi" w:hAnsiTheme="minorHAnsi" w:cs="Arial"/>
                <w:sz w:val="20"/>
                <w:szCs w:val="20"/>
                <w:lang w:eastAsia="en-US"/>
              </w:rPr>
              <w:t>skutečnou trasu </w:t>
            </w:r>
            <w:r>
              <w:rPr>
                <w:rFonts w:asciiTheme="minorHAnsi" w:hAnsiTheme="minorHAnsi" w:cs="Arial"/>
                <w:sz w:val="20"/>
                <w:szCs w:val="20"/>
                <w:lang w:eastAsia="en-US"/>
              </w:rPr>
              <w:t xml:space="preserve">kabeláže a umístění </w:t>
            </w:r>
            <w:r w:rsidRPr="005F7258">
              <w:rPr>
                <w:rFonts w:asciiTheme="minorHAnsi" w:hAnsiTheme="minorHAnsi" w:cs="Arial"/>
                <w:sz w:val="20"/>
                <w:szCs w:val="20"/>
                <w:lang w:eastAsia="en-US"/>
              </w:rPr>
              <w:t>zařízení v </w:t>
            </w:r>
            <w:r>
              <w:rPr>
                <w:rFonts w:asciiTheme="minorHAnsi" w:hAnsiTheme="minorHAnsi" w:cs="Arial"/>
                <w:sz w:val="20"/>
                <w:szCs w:val="20"/>
                <w:lang w:eastAsia="en-US"/>
              </w:rPr>
              <w:t>lokalitě</w:t>
            </w:r>
            <w:r w:rsidRPr="005F7258">
              <w:rPr>
                <w:rFonts w:asciiTheme="minorHAnsi" w:hAnsiTheme="minorHAnsi" w:cs="Arial"/>
                <w:sz w:val="20"/>
                <w:szCs w:val="20"/>
                <w:lang w:eastAsia="en-US"/>
              </w:rPr>
              <w:t> Objednatele.</w:t>
            </w:r>
          </w:p>
          <w:p w:rsidR="00FD54B0" w:rsidRDefault="00FD54B0" w:rsidP="00FD54B0">
            <w:pPr>
              <w:pStyle w:val="Zkladntext"/>
              <w:widowControl w:val="0"/>
              <w:numPr>
                <w:ilvl w:val="0"/>
                <w:numId w:val="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základní síťový diagram připojení lokality Objednatele.</w:t>
            </w:r>
          </w:p>
          <w:p w:rsidR="00FD54B0" w:rsidRPr="005C5B43" w:rsidRDefault="00FD54B0" w:rsidP="00FD54B0">
            <w:pPr>
              <w:pStyle w:val="Zkladntext"/>
              <w:widowControl w:val="0"/>
              <w:numPr>
                <w:ilvl w:val="0"/>
                <w:numId w:val="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Poskytovatel je povinen předat vytvořenou dokumentaci současně se zřízením Služby a dále se zavazuje předat aktualizovanou dokumentaci vždy ke konci Vyhodnocovacího období.</w:t>
            </w:r>
          </w:p>
        </w:tc>
      </w:tr>
    </w:tbl>
    <w:p w:rsidR="00FD54B0" w:rsidRPr="00E800D0" w:rsidRDefault="00FD54B0" w:rsidP="00FD54B0">
      <w:pPr>
        <w:spacing w:after="0"/>
        <w:rPr>
          <w:sz w:val="20"/>
          <w:szCs w:val="20"/>
        </w:rPr>
      </w:pPr>
    </w:p>
    <w:p w:rsidR="00FD54B0" w:rsidRDefault="00FD54B0" w:rsidP="00FD54B0">
      <w:pPr>
        <w:spacing w:after="0" w:line="240" w:lineRule="auto"/>
        <w:rPr>
          <w:sz w:val="20"/>
          <w:szCs w:val="20"/>
        </w:rPr>
      </w:pPr>
    </w:p>
    <w:p w:rsidR="00FD54B0" w:rsidRPr="004D636B" w:rsidRDefault="00FD54B0" w:rsidP="00FD54B0">
      <w:pPr>
        <w:pStyle w:val="RLProhlensmluvnchstran"/>
        <w:spacing w:after="0"/>
        <w:rPr>
          <w:rFonts w:asciiTheme="minorHAnsi" w:hAnsiTheme="minorHAnsi"/>
          <w:szCs w:val="20"/>
        </w:rPr>
      </w:pPr>
      <w:bookmarkStart w:id="0" w:name="Annex02"/>
      <w:r w:rsidRPr="004D636B">
        <w:rPr>
          <w:rFonts w:asciiTheme="minorHAnsi" w:hAnsiTheme="minorHAnsi"/>
          <w:szCs w:val="20"/>
        </w:rPr>
        <w:t>Příloha č. 2</w:t>
      </w:r>
      <w:bookmarkEnd w:id="0"/>
    </w:p>
    <w:p w:rsidR="00FD54B0" w:rsidRPr="004D636B" w:rsidRDefault="00FD54B0" w:rsidP="00FD54B0">
      <w:pPr>
        <w:pStyle w:val="RLProhlensmluvnchstran"/>
        <w:spacing w:after="0"/>
        <w:rPr>
          <w:rFonts w:asciiTheme="minorHAnsi" w:hAnsiTheme="minorHAnsi"/>
          <w:szCs w:val="20"/>
          <w:lang w:val="cs-CZ"/>
        </w:rPr>
      </w:pPr>
      <w:r w:rsidRPr="004D636B">
        <w:rPr>
          <w:rFonts w:asciiTheme="minorHAnsi" w:hAnsiTheme="minorHAnsi"/>
          <w:szCs w:val="20"/>
          <w:lang w:val="cs-CZ"/>
        </w:rPr>
        <w:t>Seznam lokalit</w:t>
      </w:r>
    </w:p>
    <w:p w:rsidR="00FD54B0" w:rsidRPr="004D636B" w:rsidRDefault="00FD54B0" w:rsidP="00FD54B0">
      <w:pPr>
        <w:pStyle w:val="RLProhlensmluvnchstran"/>
        <w:spacing w:after="0"/>
        <w:jc w:val="left"/>
        <w:rPr>
          <w:rFonts w:asciiTheme="minorHAnsi" w:hAnsiTheme="minorHAnsi"/>
          <w:b w:val="0"/>
          <w:szCs w:val="20"/>
          <w:lang w:val="cs-CZ" w:eastAsia="en-US"/>
        </w:rPr>
      </w:pPr>
      <w:r>
        <w:rPr>
          <w:rFonts w:asciiTheme="minorHAnsi" w:hAnsiTheme="minorHAnsi"/>
          <w:b w:val="0"/>
          <w:color w:val="000000"/>
          <w:szCs w:val="20"/>
        </w:rPr>
        <w:t xml:space="preserve">ID: </w:t>
      </w:r>
      <w:proofErr w:type="spellStart"/>
      <w:r>
        <w:rPr>
          <w:rFonts w:asciiTheme="minorHAnsi" w:hAnsiTheme="minorHAnsi"/>
          <w:b w:val="0"/>
          <w:color w:val="000000"/>
          <w:szCs w:val="20"/>
        </w:rPr>
        <w:t>KONEKTIVITA_IntTesnov</w:t>
      </w:r>
      <w:proofErr w:type="spellEnd"/>
    </w:p>
    <w:tbl>
      <w:tblPr>
        <w:tblW w:w="5549" w:type="pct"/>
        <w:tblInd w:w="-284" w:type="dxa"/>
        <w:tblCellMar>
          <w:left w:w="70" w:type="dxa"/>
          <w:right w:w="70" w:type="dxa"/>
        </w:tblCellMar>
        <w:tblLook w:val="04A0" w:firstRow="1" w:lastRow="0" w:firstColumn="1" w:lastColumn="0" w:noHBand="0" w:noVBand="1"/>
      </w:tblPr>
      <w:tblGrid>
        <w:gridCol w:w="437"/>
        <w:gridCol w:w="1398"/>
        <w:gridCol w:w="3806"/>
        <w:gridCol w:w="998"/>
        <w:gridCol w:w="1135"/>
        <w:gridCol w:w="1296"/>
        <w:gridCol w:w="1151"/>
      </w:tblGrid>
      <w:tr w:rsidR="00FD54B0" w:rsidRPr="00CA0696" w:rsidTr="00FD54B0">
        <w:trPr>
          <w:trHeight w:val="300"/>
        </w:trPr>
        <w:tc>
          <w:tcPr>
            <w:tcW w:w="214" w:type="pct"/>
            <w:tcBorders>
              <w:top w:val="nil"/>
              <w:left w:val="nil"/>
              <w:bottom w:val="nil"/>
              <w:right w:val="nil"/>
            </w:tcBorders>
            <w:shd w:val="clear" w:color="auto" w:fill="auto"/>
            <w:noWrap/>
            <w:vAlign w:val="bottom"/>
            <w:hideMark/>
          </w:tcPr>
          <w:p w:rsidR="00FD54B0" w:rsidRPr="00E800D0" w:rsidRDefault="00FD54B0" w:rsidP="00C035A7">
            <w:pPr>
              <w:spacing w:after="0" w:line="240" w:lineRule="auto"/>
              <w:rPr>
                <w:color w:val="000000"/>
                <w:sz w:val="20"/>
                <w:szCs w:val="20"/>
              </w:rPr>
            </w:pPr>
          </w:p>
        </w:tc>
        <w:tc>
          <w:tcPr>
            <w:tcW w:w="684" w:type="pct"/>
            <w:tcBorders>
              <w:top w:val="nil"/>
              <w:left w:val="nil"/>
              <w:bottom w:val="nil"/>
              <w:right w:val="nil"/>
            </w:tcBorders>
            <w:shd w:val="clear" w:color="auto" w:fill="auto"/>
            <w:vAlign w:val="bottom"/>
            <w:hideMark/>
          </w:tcPr>
          <w:p w:rsidR="00FD54B0" w:rsidRPr="004D636B" w:rsidRDefault="00FD54B0" w:rsidP="00C035A7">
            <w:pPr>
              <w:spacing w:after="0" w:line="240" w:lineRule="auto"/>
              <w:rPr>
                <w:color w:val="000000"/>
                <w:sz w:val="20"/>
                <w:szCs w:val="20"/>
              </w:rPr>
            </w:pPr>
          </w:p>
        </w:tc>
        <w:tc>
          <w:tcPr>
            <w:tcW w:w="1862" w:type="pct"/>
            <w:tcBorders>
              <w:top w:val="nil"/>
              <w:left w:val="nil"/>
              <w:bottom w:val="nil"/>
              <w:right w:val="nil"/>
            </w:tcBorders>
            <w:shd w:val="clear" w:color="auto" w:fill="auto"/>
            <w:vAlign w:val="bottom"/>
            <w:hideMark/>
          </w:tcPr>
          <w:p w:rsidR="00FD54B0" w:rsidRPr="004D636B" w:rsidRDefault="00FD54B0" w:rsidP="00C035A7">
            <w:pPr>
              <w:spacing w:after="0" w:line="240" w:lineRule="auto"/>
              <w:rPr>
                <w:sz w:val="20"/>
                <w:szCs w:val="20"/>
              </w:rPr>
            </w:pPr>
          </w:p>
        </w:tc>
        <w:tc>
          <w:tcPr>
            <w:tcW w:w="488" w:type="pct"/>
            <w:tcBorders>
              <w:top w:val="nil"/>
              <w:left w:val="nil"/>
              <w:bottom w:val="nil"/>
              <w:right w:val="nil"/>
            </w:tcBorders>
            <w:shd w:val="clear" w:color="auto" w:fill="auto"/>
            <w:noWrap/>
            <w:vAlign w:val="bottom"/>
            <w:hideMark/>
          </w:tcPr>
          <w:p w:rsidR="00FD54B0" w:rsidRPr="004D636B" w:rsidRDefault="00FD54B0" w:rsidP="00C035A7">
            <w:pPr>
              <w:spacing w:after="0" w:line="240" w:lineRule="auto"/>
              <w:rPr>
                <w:sz w:val="20"/>
                <w:szCs w:val="20"/>
              </w:rPr>
            </w:pPr>
          </w:p>
        </w:tc>
        <w:tc>
          <w:tcPr>
            <w:tcW w:w="555" w:type="pct"/>
            <w:tcBorders>
              <w:top w:val="nil"/>
              <w:left w:val="nil"/>
              <w:bottom w:val="nil"/>
              <w:right w:val="nil"/>
            </w:tcBorders>
            <w:shd w:val="clear" w:color="auto" w:fill="auto"/>
            <w:noWrap/>
            <w:vAlign w:val="bottom"/>
            <w:hideMark/>
          </w:tcPr>
          <w:p w:rsidR="00FD54B0" w:rsidRPr="004D636B" w:rsidRDefault="00FD54B0" w:rsidP="00C035A7">
            <w:pPr>
              <w:spacing w:after="0" w:line="240" w:lineRule="auto"/>
              <w:jc w:val="center"/>
              <w:rPr>
                <w:sz w:val="20"/>
                <w:szCs w:val="20"/>
              </w:rPr>
            </w:pPr>
          </w:p>
        </w:tc>
        <w:tc>
          <w:tcPr>
            <w:tcW w:w="634" w:type="pct"/>
            <w:tcBorders>
              <w:top w:val="nil"/>
              <w:left w:val="nil"/>
              <w:bottom w:val="nil"/>
              <w:right w:val="nil"/>
            </w:tcBorders>
            <w:shd w:val="clear" w:color="auto" w:fill="auto"/>
            <w:noWrap/>
            <w:vAlign w:val="bottom"/>
            <w:hideMark/>
          </w:tcPr>
          <w:p w:rsidR="00FD54B0" w:rsidRPr="004D636B" w:rsidRDefault="00FD54B0" w:rsidP="00C035A7">
            <w:pPr>
              <w:spacing w:after="0" w:line="240" w:lineRule="auto"/>
              <w:jc w:val="center"/>
              <w:rPr>
                <w:sz w:val="20"/>
                <w:szCs w:val="20"/>
              </w:rPr>
            </w:pPr>
          </w:p>
        </w:tc>
        <w:tc>
          <w:tcPr>
            <w:tcW w:w="564" w:type="pct"/>
            <w:tcBorders>
              <w:top w:val="nil"/>
              <w:left w:val="nil"/>
              <w:bottom w:val="nil"/>
              <w:right w:val="nil"/>
            </w:tcBorders>
            <w:shd w:val="clear" w:color="auto" w:fill="auto"/>
            <w:noWrap/>
            <w:vAlign w:val="bottom"/>
            <w:hideMark/>
          </w:tcPr>
          <w:p w:rsidR="00FD54B0" w:rsidRPr="004D636B" w:rsidRDefault="00FD54B0" w:rsidP="00C035A7">
            <w:pPr>
              <w:spacing w:after="0" w:line="240" w:lineRule="auto"/>
              <w:rPr>
                <w:sz w:val="20"/>
                <w:szCs w:val="20"/>
              </w:rPr>
            </w:pPr>
          </w:p>
        </w:tc>
      </w:tr>
      <w:tr w:rsidR="00FD54B0" w:rsidRPr="00CA0696" w:rsidTr="00FD54B0">
        <w:trPr>
          <w:trHeight w:val="600"/>
        </w:trPr>
        <w:tc>
          <w:tcPr>
            <w:tcW w:w="2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D54B0" w:rsidRPr="00E800D0" w:rsidRDefault="00FD54B0" w:rsidP="00C035A7">
            <w:pPr>
              <w:spacing w:after="0" w:line="240" w:lineRule="auto"/>
              <w:jc w:val="center"/>
              <w:rPr>
                <w:b/>
                <w:bCs/>
                <w:color w:val="000000"/>
                <w:sz w:val="20"/>
                <w:szCs w:val="20"/>
              </w:rPr>
            </w:pPr>
            <w:r w:rsidRPr="00E800D0">
              <w:rPr>
                <w:b/>
                <w:bCs/>
                <w:color w:val="000000"/>
                <w:sz w:val="20"/>
                <w:szCs w:val="20"/>
              </w:rPr>
              <w:t>ID</w:t>
            </w:r>
          </w:p>
        </w:tc>
        <w:tc>
          <w:tcPr>
            <w:tcW w:w="684" w:type="pct"/>
            <w:tcBorders>
              <w:top w:val="single" w:sz="4" w:space="0" w:color="auto"/>
              <w:left w:val="nil"/>
              <w:bottom w:val="single" w:sz="4" w:space="0" w:color="auto"/>
              <w:right w:val="single" w:sz="4" w:space="0" w:color="auto"/>
            </w:tcBorders>
            <w:shd w:val="clear" w:color="auto" w:fill="auto"/>
            <w:vAlign w:val="bottom"/>
            <w:hideMark/>
          </w:tcPr>
          <w:p w:rsidR="00FD54B0" w:rsidRPr="004D636B" w:rsidRDefault="00FD54B0" w:rsidP="00C035A7">
            <w:pPr>
              <w:spacing w:after="0" w:line="240" w:lineRule="auto"/>
              <w:rPr>
                <w:b/>
                <w:bCs/>
                <w:color w:val="000000"/>
                <w:sz w:val="20"/>
                <w:szCs w:val="20"/>
              </w:rPr>
            </w:pPr>
            <w:r w:rsidRPr="004D636B">
              <w:rPr>
                <w:b/>
                <w:bCs/>
                <w:color w:val="000000"/>
                <w:sz w:val="20"/>
                <w:szCs w:val="20"/>
              </w:rPr>
              <w:t>Lokalita</w:t>
            </w:r>
          </w:p>
        </w:tc>
        <w:tc>
          <w:tcPr>
            <w:tcW w:w="1862" w:type="pct"/>
            <w:tcBorders>
              <w:top w:val="single" w:sz="4" w:space="0" w:color="auto"/>
              <w:left w:val="nil"/>
              <w:bottom w:val="single" w:sz="4" w:space="0" w:color="auto"/>
              <w:right w:val="single" w:sz="4" w:space="0" w:color="auto"/>
            </w:tcBorders>
            <w:shd w:val="clear" w:color="auto" w:fill="auto"/>
            <w:vAlign w:val="bottom"/>
            <w:hideMark/>
          </w:tcPr>
          <w:p w:rsidR="00FD54B0" w:rsidRPr="004D636B" w:rsidRDefault="00FD54B0" w:rsidP="00C035A7">
            <w:pPr>
              <w:spacing w:after="0" w:line="240" w:lineRule="auto"/>
              <w:rPr>
                <w:b/>
                <w:bCs/>
                <w:color w:val="000000"/>
                <w:sz w:val="20"/>
                <w:szCs w:val="20"/>
              </w:rPr>
            </w:pPr>
            <w:r w:rsidRPr="004D636B">
              <w:rPr>
                <w:b/>
                <w:bCs/>
                <w:color w:val="000000"/>
                <w:sz w:val="20"/>
                <w:szCs w:val="20"/>
              </w:rPr>
              <w:t>Adresa</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FD54B0" w:rsidRPr="004D636B" w:rsidRDefault="00FD54B0" w:rsidP="00C035A7">
            <w:pPr>
              <w:spacing w:after="0" w:line="240" w:lineRule="auto"/>
              <w:jc w:val="center"/>
              <w:rPr>
                <w:b/>
                <w:bCs/>
                <w:color w:val="000000"/>
                <w:sz w:val="20"/>
                <w:szCs w:val="20"/>
              </w:rPr>
            </w:pPr>
            <w:r w:rsidRPr="004D636B">
              <w:rPr>
                <w:b/>
                <w:bCs/>
                <w:color w:val="000000"/>
                <w:sz w:val="20"/>
                <w:szCs w:val="20"/>
              </w:rPr>
              <w:t>RUIAN kód</w:t>
            </w:r>
          </w:p>
        </w:tc>
        <w:tc>
          <w:tcPr>
            <w:tcW w:w="555" w:type="pct"/>
            <w:tcBorders>
              <w:top w:val="single" w:sz="4" w:space="0" w:color="auto"/>
              <w:left w:val="nil"/>
              <w:bottom w:val="single" w:sz="4" w:space="0" w:color="auto"/>
              <w:right w:val="single" w:sz="4" w:space="0" w:color="auto"/>
            </w:tcBorders>
            <w:shd w:val="clear" w:color="auto" w:fill="auto"/>
            <w:vAlign w:val="bottom"/>
            <w:hideMark/>
          </w:tcPr>
          <w:p w:rsidR="00FD54B0" w:rsidRPr="004D636B" w:rsidRDefault="00FD54B0" w:rsidP="00C035A7">
            <w:pPr>
              <w:spacing w:after="0" w:line="240" w:lineRule="auto"/>
              <w:jc w:val="center"/>
              <w:rPr>
                <w:b/>
                <w:bCs/>
                <w:color w:val="000000"/>
                <w:sz w:val="20"/>
                <w:szCs w:val="20"/>
              </w:rPr>
            </w:pPr>
            <w:r w:rsidRPr="004D636B">
              <w:rPr>
                <w:b/>
                <w:bCs/>
                <w:color w:val="000000"/>
                <w:sz w:val="20"/>
                <w:szCs w:val="20"/>
              </w:rPr>
              <w:t>předávací rozhraní</w:t>
            </w:r>
          </w:p>
        </w:tc>
        <w:tc>
          <w:tcPr>
            <w:tcW w:w="634" w:type="pct"/>
            <w:tcBorders>
              <w:top w:val="single" w:sz="4" w:space="0" w:color="auto"/>
              <w:left w:val="nil"/>
              <w:bottom w:val="single" w:sz="4" w:space="0" w:color="auto"/>
              <w:right w:val="single" w:sz="4" w:space="0" w:color="auto"/>
            </w:tcBorders>
            <w:shd w:val="clear" w:color="auto" w:fill="auto"/>
            <w:vAlign w:val="bottom"/>
            <w:hideMark/>
          </w:tcPr>
          <w:p w:rsidR="00FD54B0" w:rsidRPr="003F3942" w:rsidRDefault="00FD54B0" w:rsidP="00C035A7">
            <w:pPr>
              <w:spacing w:after="0" w:line="240" w:lineRule="auto"/>
              <w:rPr>
                <w:b/>
                <w:bCs/>
                <w:color w:val="000000"/>
                <w:sz w:val="20"/>
                <w:szCs w:val="20"/>
              </w:rPr>
            </w:pPr>
            <w:proofErr w:type="spellStart"/>
            <w:r w:rsidRPr="003F3942">
              <w:rPr>
                <w:b/>
                <w:bCs/>
                <w:color w:val="000000"/>
                <w:sz w:val="20"/>
                <w:szCs w:val="20"/>
              </w:rPr>
              <w:t>redundatnní</w:t>
            </w:r>
            <w:proofErr w:type="spellEnd"/>
            <w:r w:rsidRPr="003F3942">
              <w:rPr>
                <w:b/>
                <w:bCs/>
                <w:color w:val="000000"/>
                <w:sz w:val="20"/>
                <w:szCs w:val="20"/>
              </w:rPr>
              <w:t xml:space="preserve"> přívod (LAG)</w:t>
            </w:r>
          </w:p>
        </w:tc>
        <w:tc>
          <w:tcPr>
            <w:tcW w:w="564" w:type="pct"/>
            <w:tcBorders>
              <w:top w:val="single" w:sz="4" w:space="0" w:color="auto"/>
              <w:left w:val="nil"/>
              <w:bottom w:val="single" w:sz="4" w:space="0" w:color="auto"/>
              <w:right w:val="single" w:sz="4" w:space="0" w:color="auto"/>
            </w:tcBorders>
            <w:shd w:val="clear" w:color="auto" w:fill="auto"/>
            <w:vAlign w:val="bottom"/>
            <w:hideMark/>
          </w:tcPr>
          <w:p w:rsidR="00FD54B0" w:rsidRPr="003F3942" w:rsidRDefault="00FD54B0" w:rsidP="00C035A7">
            <w:pPr>
              <w:spacing w:after="0" w:line="240" w:lineRule="auto"/>
              <w:jc w:val="center"/>
              <w:rPr>
                <w:b/>
                <w:bCs/>
                <w:color w:val="000000"/>
                <w:sz w:val="20"/>
                <w:szCs w:val="20"/>
              </w:rPr>
            </w:pPr>
            <w:r w:rsidRPr="003F3942">
              <w:rPr>
                <w:b/>
                <w:bCs/>
                <w:color w:val="000000"/>
                <w:sz w:val="20"/>
                <w:szCs w:val="20"/>
              </w:rPr>
              <w:t>ID KL</w:t>
            </w:r>
          </w:p>
        </w:tc>
      </w:tr>
      <w:tr w:rsidR="00FD54B0" w:rsidRPr="00CA0696" w:rsidTr="00FD54B0">
        <w:trPr>
          <w:trHeight w:val="6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FD54B0" w:rsidRPr="00E800D0" w:rsidRDefault="00FD54B0" w:rsidP="00C035A7">
            <w:pPr>
              <w:spacing w:after="0" w:line="240" w:lineRule="auto"/>
              <w:jc w:val="center"/>
              <w:rPr>
                <w:color w:val="000000"/>
                <w:sz w:val="20"/>
                <w:szCs w:val="20"/>
              </w:rPr>
            </w:pPr>
            <w:r w:rsidRPr="00E800D0">
              <w:rPr>
                <w:color w:val="000000"/>
                <w:sz w:val="20"/>
                <w:szCs w:val="20"/>
              </w:rPr>
              <w:t>TES</w:t>
            </w:r>
          </w:p>
        </w:tc>
        <w:tc>
          <w:tcPr>
            <w:tcW w:w="684" w:type="pct"/>
            <w:tcBorders>
              <w:top w:val="nil"/>
              <w:left w:val="nil"/>
              <w:bottom w:val="single" w:sz="4" w:space="0" w:color="auto"/>
              <w:right w:val="single" w:sz="4" w:space="0" w:color="auto"/>
            </w:tcBorders>
            <w:shd w:val="clear" w:color="auto" w:fill="auto"/>
            <w:vAlign w:val="bottom"/>
            <w:hideMark/>
          </w:tcPr>
          <w:p w:rsidR="00FD54B0" w:rsidRPr="004D636B" w:rsidRDefault="00FD54B0" w:rsidP="00C035A7">
            <w:pPr>
              <w:spacing w:after="0" w:line="240" w:lineRule="auto"/>
              <w:rPr>
                <w:color w:val="000000"/>
                <w:sz w:val="20"/>
                <w:szCs w:val="20"/>
              </w:rPr>
            </w:pPr>
            <w:proofErr w:type="spellStart"/>
            <w:r w:rsidRPr="004D636B">
              <w:rPr>
                <w:color w:val="000000"/>
                <w:sz w:val="20"/>
                <w:szCs w:val="20"/>
              </w:rPr>
              <w:t>Těšnov</w:t>
            </w:r>
            <w:proofErr w:type="spellEnd"/>
          </w:p>
        </w:tc>
        <w:tc>
          <w:tcPr>
            <w:tcW w:w="1862" w:type="pct"/>
            <w:tcBorders>
              <w:top w:val="nil"/>
              <w:left w:val="nil"/>
              <w:bottom w:val="single" w:sz="4" w:space="0" w:color="auto"/>
              <w:right w:val="single" w:sz="4" w:space="0" w:color="auto"/>
            </w:tcBorders>
            <w:shd w:val="clear" w:color="auto" w:fill="auto"/>
            <w:vAlign w:val="bottom"/>
            <w:hideMark/>
          </w:tcPr>
          <w:p w:rsidR="00FD54B0" w:rsidRPr="004D636B" w:rsidRDefault="00FD54B0" w:rsidP="00C035A7">
            <w:pPr>
              <w:spacing w:after="0" w:line="240" w:lineRule="auto"/>
              <w:rPr>
                <w:color w:val="000000"/>
                <w:sz w:val="20"/>
                <w:szCs w:val="20"/>
              </w:rPr>
            </w:pPr>
            <w:proofErr w:type="spellStart"/>
            <w:r w:rsidRPr="004D636B">
              <w:rPr>
                <w:color w:val="000000"/>
                <w:sz w:val="20"/>
                <w:szCs w:val="20"/>
              </w:rPr>
              <w:t>Těšnov</w:t>
            </w:r>
            <w:proofErr w:type="spellEnd"/>
            <w:r w:rsidRPr="004D636B">
              <w:rPr>
                <w:color w:val="000000"/>
                <w:sz w:val="20"/>
                <w:szCs w:val="20"/>
              </w:rPr>
              <w:t xml:space="preserve"> 65/17, 110 00 Praha 1 - Nové Město</w:t>
            </w:r>
          </w:p>
        </w:tc>
        <w:tc>
          <w:tcPr>
            <w:tcW w:w="488" w:type="pct"/>
            <w:tcBorders>
              <w:top w:val="nil"/>
              <w:left w:val="nil"/>
              <w:bottom w:val="single" w:sz="4" w:space="0" w:color="auto"/>
              <w:right w:val="single" w:sz="4" w:space="0" w:color="auto"/>
            </w:tcBorders>
            <w:shd w:val="clear" w:color="auto" w:fill="auto"/>
            <w:noWrap/>
            <w:vAlign w:val="bottom"/>
            <w:hideMark/>
          </w:tcPr>
          <w:p w:rsidR="00FD54B0" w:rsidRPr="004D636B" w:rsidRDefault="00FD54B0" w:rsidP="00C035A7">
            <w:pPr>
              <w:spacing w:after="0" w:line="240" w:lineRule="auto"/>
              <w:jc w:val="center"/>
              <w:rPr>
                <w:color w:val="000000"/>
                <w:sz w:val="20"/>
                <w:szCs w:val="20"/>
              </w:rPr>
            </w:pPr>
            <w:r w:rsidRPr="004D636B">
              <w:rPr>
                <w:color w:val="000000"/>
                <w:sz w:val="20"/>
                <w:szCs w:val="20"/>
              </w:rPr>
              <w:t>21650829</w:t>
            </w:r>
          </w:p>
        </w:tc>
        <w:tc>
          <w:tcPr>
            <w:tcW w:w="555" w:type="pct"/>
            <w:tcBorders>
              <w:top w:val="nil"/>
              <w:left w:val="nil"/>
              <w:bottom w:val="single" w:sz="4" w:space="0" w:color="auto"/>
              <w:right w:val="single" w:sz="4" w:space="0" w:color="auto"/>
            </w:tcBorders>
            <w:shd w:val="clear" w:color="auto" w:fill="auto"/>
            <w:noWrap/>
            <w:vAlign w:val="bottom"/>
            <w:hideMark/>
          </w:tcPr>
          <w:p w:rsidR="00FD54B0" w:rsidRPr="004D636B" w:rsidRDefault="00FD54B0" w:rsidP="00C035A7">
            <w:pPr>
              <w:spacing w:after="0" w:line="240" w:lineRule="auto"/>
              <w:jc w:val="center"/>
              <w:rPr>
                <w:color w:val="000000"/>
                <w:sz w:val="20"/>
                <w:szCs w:val="20"/>
              </w:rPr>
            </w:pPr>
            <w:r w:rsidRPr="004D636B">
              <w:rPr>
                <w:color w:val="000000"/>
                <w:sz w:val="20"/>
                <w:szCs w:val="20"/>
              </w:rPr>
              <w:t>RJ 45</w:t>
            </w:r>
          </w:p>
        </w:tc>
        <w:tc>
          <w:tcPr>
            <w:tcW w:w="634" w:type="pct"/>
            <w:tcBorders>
              <w:top w:val="nil"/>
              <w:left w:val="nil"/>
              <w:bottom w:val="single" w:sz="4" w:space="0" w:color="auto"/>
              <w:right w:val="single" w:sz="4" w:space="0" w:color="auto"/>
            </w:tcBorders>
            <w:shd w:val="clear" w:color="auto" w:fill="auto"/>
            <w:noWrap/>
            <w:vAlign w:val="bottom"/>
            <w:hideMark/>
          </w:tcPr>
          <w:p w:rsidR="00FD54B0" w:rsidRPr="003F3942" w:rsidRDefault="00FD54B0" w:rsidP="00C035A7">
            <w:pPr>
              <w:spacing w:after="0" w:line="240" w:lineRule="auto"/>
              <w:jc w:val="center"/>
              <w:rPr>
                <w:color w:val="000000"/>
                <w:sz w:val="20"/>
                <w:szCs w:val="20"/>
              </w:rPr>
            </w:pPr>
            <w:r w:rsidRPr="003F3942">
              <w:rPr>
                <w:color w:val="000000"/>
                <w:sz w:val="20"/>
                <w:szCs w:val="20"/>
              </w:rPr>
              <w:t>ANO</w:t>
            </w:r>
          </w:p>
        </w:tc>
        <w:tc>
          <w:tcPr>
            <w:tcW w:w="564" w:type="pct"/>
            <w:tcBorders>
              <w:top w:val="nil"/>
              <w:left w:val="nil"/>
              <w:bottom w:val="single" w:sz="4" w:space="0" w:color="auto"/>
              <w:right w:val="single" w:sz="4" w:space="0" w:color="auto"/>
            </w:tcBorders>
            <w:shd w:val="clear" w:color="auto" w:fill="auto"/>
            <w:vAlign w:val="bottom"/>
            <w:hideMark/>
          </w:tcPr>
          <w:p w:rsidR="00FD54B0" w:rsidRPr="003F3942" w:rsidRDefault="00FD54B0" w:rsidP="00C035A7">
            <w:pPr>
              <w:spacing w:after="0" w:line="240" w:lineRule="auto"/>
              <w:jc w:val="center"/>
              <w:rPr>
                <w:color w:val="000000"/>
                <w:sz w:val="20"/>
                <w:szCs w:val="20"/>
              </w:rPr>
            </w:pPr>
            <w:proofErr w:type="spellStart"/>
            <w:r>
              <w:rPr>
                <w:color w:val="000000"/>
                <w:sz w:val="20"/>
                <w:szCs w:val="20"/>
              </w:rPr>
              <w:t>IntTesnov</w:t>
            </w:r>
            <w:proofErr w:type="spellEnd"/>
          </w:p>
        </w:tc>
      </w:tr>
    </w:tbl>
    <w:p w:rsidR="00FD54B0" w:rsidRDefault="00FD54B0" w:rsidP="00FD54B0"/>
    <w:p w:rsidR="00FD54B0" w:rsidRDefault="00FD54B0" w:rsidP="00FD54B0">
      <w:pPr>
        <w:spacing w:after="0" w:line="240" w:lineRule="auto"/>
      </w:pPr>
      <w:r>
        <w:br w:type="page"/>
      </w:r>
    </w:p>
    <w:p w:rsidR="00FD54B0" w:rsidRDefault="00FD54B0" w:rsidP="00FD54B0">
      <w:pPr>
        <w:spacing w:after="0" w:line="240" w:lineRule="auto"/>
        <w:rPr>
          <w:b/>
        </w:rPr>
      </w:pPr>
      <w:r w:rsidRPr="002607C7">
        <w:lastRenderedPageBreak/>
        <w:t xml:space="preserve">ID: </w:t>
      </w:r>
      <w:r>
        <w:t xml:space="preserve">CENA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2127"/>
        <w:gridCol w:w="1842"/>
        <w:gridCol w:w="1843"/>
      </w:tblGrid>
      <w:tr w:rsidR="00FD54B0" w:rsidRPr="002607C7" w:rsidTr="00FD54B0">
        <w:trPr>
          <w:trHeight w:val="37"/>
        </w:trPr>
        <w:tc>
          <w:tcPr>
            <w:tcW w:w="10207" w:type="dxa"/>
            <w:gridSpan w:val="4"/>
            <w:shd w:val="clear" w:color="auto" w:fill="00B050"/>
            <w:vAlign w:val="center"/>
            <w:hideMark/>
          </w:tcPr>
          <w:p w:rsidR="00FD54B0" w:rsidRPr="002607C7" w:rsidRDefault="00FD54B0" w:rsidP="00C035A7">
            <w:pPr>
              <w:keepLines/>
              <w:widowControl w:val="0"/>
              <w:spacing w:after="0" w:line="288" w:lineRule="auto"/>
            </w:pPr>
            <w:r w:rsidRPr="002607C7">
              <w:rPr>
                <w:b/>
              </w:rPr>
              <w:t>CENA</w:t>
            </w:r>
            <w:r>
              <w:rPr>
                <w:b/>
              </w:rPr>
              <w:t xml:space="preserve"> za </w:t>
            </w:r>
            <w:r w:rsidRPr="004113ED">
              <w:rPr>
                <w:b/>
                <w:shd w:val="clear" w:color="auto" w:fill="00B050"/>
              </w:rPr>
              <w:t>KL měsíčně</w:t>
            </w:r>
          </w:p>
        </w:tc>
      </w:tr>
      <w:tr w:rsidR="00FD54B0" w:rsidRPr="002607C7" w:rsidTr="00FD54B0">
        <w:trPr>
          <w:trHeight w:val="37"/>
        </w:trPr>
        <w:tc>
          <w:tcPr>
            <w:tcW w:w="4395" w:type="dxa"/>
            <w:shd w:val="clear" w:color="auto" w:fill="92D050"/>
            <w:vAlign w:val="center"/>
            <w:hideMark/>
          </w:tcPr>
          <w:p w:rsidR="00FD54B0" w:rsidRPr="002607C7" w:rsidRDefault="00FD54B0" w:rsidP="00C035A7">
            <w:pPr>
              <w:keepLines/>
              <w:widowControl w:val="0"/>
              <w:spacing w:after="0" w:line="288" w:lineRule="auto"/>
              <w:rPr>
                <w:b/>
              </w:rPr>
            </w:pPr>
            <w:r>
              <w:rPr>
                <w:b/>
              </w:rPr>
              <w:t>Položka</w:t>
            </w:r>
          </w:p>
        </w:tc>
        <w:tc>
          <w:tcPr>
            <w:tcW w:w="2127" w:type="dxa"/>
            <w:shd w:val="clear" w:color="auto" w:fill="92D050"/>
            <w:vAlign w:val="center"/>
            <w:hideMark/>
          </w:tcPr>
          <w:p w:rsidR="00FD54B0" w:rsidRPr="002607C7" w:rsidRDefault="00FD54B0" w:rsidP="00C035A7">
            <w:pPr>
              <w:keepLines/>
              <w:widowControl w:val="0"/>
              <w:spacing w:after="0" w:line="288" w:lineRule="auto"/>
              <w:jc w:val="center"/>
              <w:rPr>
                <w:b/>
              </w:rPr>
            </w:pPr>
            <w:r w:rsidRPr="002607C7">
              <w:rPr>
                <w:b/>
              </w:rPr>
              <w:t>Cena bez DPH</w:t>
            </w:r>
          </w:p>
        </w:tc>
        <w:tc>
          <w:tcPr>
            <w:tcW w:w="1842" w:type="dxa"/>
            <w:shd w:val="clear" w:color="auto" w:fill="92D050"/>
            <w:vAlign w:val="center"/>
            <w:hideMark/>
          </w:tcPr>
          <w:p w:rsidR="00FD54B0" w:rsidRPr="002607C7" w:rsidRDefault="00FD54B0" w:rsidP="00C035A7">
            <w:pPr>
              <w:keepLines/>
              <w:widowControl w:val="0"/>
              <w:spacing w:after="0" w:line="288" w:lineRule="auto"/>
              <w:jc w:val="center"/>
              <w:rPr>
                <w:b/>
              </w:rPr>
            </w:pPr>
            <w:r w:rsidRPr="002607C7">
              <w:rPr>
                <w:b/>
              </w:rPr>
              <w:t>DPH 21 %</w:t>
            </w:r>
          </w:p>
        </w:tc>
        <w:tc>
          <w:tcPr>
            <w:tcW w:w="1843" w:type="dxa"/>
            <w:shd w:val="clear" w:color="auto" w:fill="92D050"/>
            <w:vAlign w:val="center"/>
            <w:hideMark/>
          </w:tcPr>
          <w:p w:rsidR="00FD54B0" w:rsidRPr="002607C7" w:rsidRDefault="00FD54B0" w:rsidP="00C035A7">
            <w:pPr>
              <w:keepLines/>
              <w:widowControl w:val="0"/>
              <w:spacing w:after="0" w:line="288" w:lineRule="auto"/>
              <w:jc w:val="center"/>
              <w:rPr>
                <w:b/>
              </w:rPr>
            </w:pPr>
            <w:r w:rsidRPr="002607C7">
              <w:rPr>
                <w:b/>
              </w:rPr>
              <w:t>Cena s DPH</w:t>
            </w:r>
          </w:p>
        </w:tc>
      </w:tr>
      <w:tr w:rsidR="00FD54B0" w:rsidRPr="002607C7" w:rsidTr="00FD54B0">
        <w:trPr>
          <w:trHeight w:val="37"/>
        </w:trPr>
        <w:tc>
          <w:tcPr>
            <w:tcW w:w="4395" w:type="dxa"/>
            <w:shd w:val="clear" w:color="auto" w:fill="FFFFFF"/>
            <w:vAlign w:val="center"/>
            <w:hideMark/>
          </w:tcPr>
          <w:p w:rsidR="00FD54B0" w:rsidRPr="00751C55" w:rsidRDefault="00FD54B0" w:rsidP="00C035A7">
            <w:pPr>
              <w:pStyle w:val="Zkladntext"/>
              <w:widowControl w:val="0"/>
              <w:spacing w:after="0" w:line="276" w:lineRule="auto"/>
              <w:rPr>
                <w:rFonts w:asciiTheme="minorHAnsi" w:hAnsiTheme="minorHAnsi"/>
                <w:sz w:val="22"/>
                <w:szCs w:val="22"/>
                <w:lang w:val="cs-CZ" w:eastAsia="en-US"/>
              </w:rPr>
            </w:pPr>
            <w:proofErr w:type="spellStart"/>
            <w:r>
              <w:rPr>
                <w:rFonts w:asciiTheme="minorHAnsi" w:hAnsiTheme="minorHAnsi"/>
                <w:sz w:val="22"/>
                <w:szCs w:val="22"/>
                <w:lang w:val="cs-CZ" w:eastAsia="en-US"/>
              </w:rPr>
              <w:t>IntTesnov</w:t>
            </w:r>
            <w:proofErr w:type="spellEnd"/>
          </w:p>
        </w:tc>
        <w:tc>
          <w:tcPr>
            <w:tcW w:w="2127" w:type="dxa"/>
            <w:shd w:val="clear" w:color="auto" w:fill="FFFFFF"/>
            <w:vAlign w:val="center"/>
          </w:tcPr>
          <w:p w:rsidR="00FD54B0" w:rsidRPr="00D52452" w:rsidRDefault="00FD54B0" w:rsidP="00C035A7">
            <w:pPr>
              <w:pStyle w:val="Zkladntext"/>
              <w:tabs>
                <w:tab w:val="left" w:pos="-108"/>
              </w:tabs>
              <w:spacing w:after="0" w:line="276" w:lineRule="auto"/>
              <w:ind w:left="-108"/>
              <w:jc w:val="center"/>
              <w:rPr>
                <w:rFonts w:asciiTheme="minorHAnsi" w:hAnsiTheme="minorHAnsi" w:cs="Arial"/>
                <w:sz w:val="22"/>
                <w:szCs w:val="22"/>
                <w:lang w:val="cs-CZ"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842" w:type="dxa"/>
            <w:shd w:val="clear" w:color="auto" w:fill="FFFFFF"/>
            <w:vAlign w:val="center"/>
          </w:tcPr>
          <w:p w:rsidR="00FD54B0" w:rsidRPr="002607C7" w:rsidRDefault="00FD54B0" w:rsidP="00C035A7">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843" w:type="dxa"/>
            <w:shd w:val="clear" w:color="auto" w:fill="FFFFFF"/>
            <w:vAlign w:val="center"/>
          </w:tcPr>
          <w:p w:rsidR="00FD54B0" w:rsidRPr="002607C7" w:rsidRDefault="00FD54B0" w:rsidP="00C035A7">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FD54B0" w:rsidRPr="002607C7" w:rsidTr="00FD54B0">
        <w:trPr>
          <w:trHeight w:val="37"/>
        </w:trPr>
        <w:tc>
          <w:tcPr>
            <w:tcW w:w="4395" w:type="dxa"/>
            <w:shd w:val="clear" w:color="auto" w:fill="92D050"/>
            <w:vAlign w:val="center"/>
          </w:tcPr>
          <w:p w:rsidR="00FD54B0" w:rsidRPr="004113ED" w:rsidRDefault="00FD54B0" w:rsidP="00C035A7">
            <w:pPr>
              <w:pStyle w:val="Zkladntext"/>
              <w:widowControl w:val="0"/>
              <w:spacing w:after="0" w:line="276" w:lineRule="auto"/>
              <w:rPr>
                <w:rFonts w:asciiTheme="minorHAnsi" w:hAnsiTheme="minorHAnsi"/>
                <w:b/>
                <w:sz w:val="22"/>
                <w:szCs w:val="22"/>
                <w:lang w:val="cs-CZ" w:eastAsia="en-US"/>
              </w:rPr>
            </w:pPr>
            <w:r w:rsidRPr="004113ED">
              <w:rPr>
                <w:rFonts w:asciiTheme="minorHAnsi" w:hAnsiTheme="minorHAnsi"/>
                <w:b/>
                <w:sz w:val="22"/>
                <w:szCs w:val="22"/>
                <w:lang w:val="cs-CZ" w:eastAsia="en-US"/>
              </w:rPr>
              <w:t>Cena celkem za KL</w:t>
            </w:r>
          </w:p>
        </w:tc>
        <w:tc>
          <w:tcPr>
            <w:tcW w:w="2127" w:type="dxa"/>
            <w:shd w:val="clear" w:color="auto" w:fill="92D050"/>
            <w:vAlign w:val="center"/>
          </w:tcPr>
          <w:p w:rsidR="00FD54B0" w:rsidRPr="00D52452" w:rsidRDefault="00FD54B0" w:rsidP="00C035A7">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842" w:type="dxa"/>
            <w:shd w:val="clear" w:color="auto" w:fill="92D050"/>
            <w:vAlign w:val="center"/>
          </w:tcPr>
          <w:p w:rsidR="00FD54B0" w:rsidRPr="00D52452" w:rsidRDefault="00FD54B0" w:rsidP="00C035A7">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843" w:type="dxa"/>
            <w:shd w:val="clear" w:color="auto" w:fill="92D050"/>
            <w:vAlign w:val="center"/>
          </w:tcPr>
          <w:p w:rsidR="00FD54B0" w:rsidRPr="00D52452" w:rsidRDefault="00FD54B0" w:rsidP="00C035A7">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FD54B0" w:rsidRPr="002607C7" w:rsidTr="00FD54B0">
        <w:trPr>
          <w:trHeight w:val="37"/>
        </w:trPr>
        <w:tc>
          <w:tcPr>
            <w:tcW w:w="4395" w:type="dxa"/>
            <w:shd w:val="clear" w:color="auto" w:fill="FFFFFF"/>
            <w:vAlign w:val="center"/>
          </w:tcPr>
          <w:p w:rsidR="00FD54B0" w:rsidRDefault="00FD54B0" w:rsidP="00C035A7">
            <w:pPr>
              <w:pStyle w:val="Zkladntext"/>
              <w:widowControl w:val="0"/>
              <w:spacing w:after="0" w:line="276" w:lineRule="auto"/>
              <w:rPr>
                <w:rFonts w:asciiTheme="minorHAnsi" w:hAnsiTheme="minorHAnsi"/>
                <w:sz w:val="22"/>
                <w:szCs w:val="22"/>
                <w:lang w:val="cs-CZ" w:eastAsia="en-US"/>
              </w:rPr>
            </w:pPr>
            <w:r>
              <w:rPr>
                <w:rFonts w:asciiTheme="minorHAnsi" w:hAnsiTheme="minorHAnsi"/>
                <w:sz w:val="22"/>
                <w:szCs w:val="22"/>
                <w:lang w:val="cs-CZ" w:eastAsia="en-US"/>
              </w:rPr>
              <w:t xml:space="preserve">Instalace služby </w:t>
            </w:r>
            <w:proofErr w:type="spellStart"/>
            <w:r>
              <w:rPr>
                <w:rFonts w:asciiTheme="minorHAnsi" w:hAnsiTheme="minorHAnsi"/>
                <w:sz w:val="22"/>
                <w:szCs w:val="22"/>
                <w:lang w:val="cs-CZ" w:eastAsia="en-US"/>
              </w:rPr>
              <w:t>IntTesnov</w:t>
            </w:r>
            <w:proofErr w:type="spellEnd"/>
            <w:r>
              <w:rPr>
                <w:rFonts w:asciiTheme="minorHAnsi" w:hAnsiTheme="minorHAnsi"/>
                <w:sz w:val="22"/>
                <w:szCs w:val="22"/>
                <w:lang w:val="cs-CZ" w:eastAsia="en-US"/>
              </w:rPr>
              <w:t xml:space="preserve"> (jednorázově)</w:t>
            </w:r>
          </w:p>
        </w:tc>
        <w:tc>
          <w:tcPr>
            <w:tcW w:w="2127" w:type="dxa"/>
            <w:shd w:val="clear" w:color="auto" w:fill="FFFFFF"/>
            <w:vAlign w:val="center"/>
          </w:tcPr>
          <w:p w:rsidR="00FD54B0" w:rsidRPr="00D52452" w:rsidRDefault="00FD54B0" w:rsidP="00C035A7">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842" w:type="dxa"/>
            <w:shd w:val="clear" w:color="auto" w:fill="FFFFFF"/>
            <w:vAlign w:val="center"/>
          </w:tcPr>
          <w:p w:rsidR="00FD54B0" w:rsidRPr="00D52452" w:rsidRDefault="00FD54B0" w:rsidP="00C035A7">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843" w:type="dxa"/>
            <w:shd w:val="clear" w:color="auto" w:fill="FFFFFF"/>
            <w:vAlign w:val="center"/>
          </w:tcPr>
          <w:p w:rsidR="00FD54B0" w:rsidRPr="00D52452" w:rsidRDefault="00FD54B0" w:rsidP="00C035A7">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FD54B0" w:rsidRPr="002607C7" w:rsidTr="00FD54B0">
        <w:trPr>
          <w:trHeight w:val="37"/>
        </w:trPr>
        <w:tc>
          <w:tcPr>
            <w:tcW w:w="4395" w:type="dxa"/>
            <w:shd w:val="clear" w:color="auto" w:fill="92D050"/>
            <w:vAlign w:val="center"/>
          </w:tcPr>
          <w:p w:rsidR="00FD54B0" w:rsidRPr="00D52452" w:rsidRDefault="00FD54B0" w:rsidP="00C035A7">
            <w:pPr>
              <w:pStyle w:val="Zkladntext"/>
              <w:widowControl w:val="0"/>
              <w:spacing w:after="0" w:line="276" w:lineRule="auto"/>
              <w:rPr>
                <w:rFonts w:asciiTheme="minorHAnsi" w:hAnsiTheme="minorHAnsi"/>
                <w:b/>
                <w:sz w:val="22"/>
                <w:szCs w:val="22"/>
                <w:lang w:val="cs-CZ" w:eastAsia="en-US"/>
              </w:rPr>
            </w:pPr>
            <w:r w:rsidRPr="00D52452">
              <w:rPr>
                <w:rFonts w:asciiTheme="minorHAnsi" w:hAnsiTheme="minorHAnsi"/>
                <w:b/>
                <w:sz w:val="22"/>
                <w:szCs w:val="22"/>
                <w:lang w:val="cs-CZ" w:eastAsia="en-US"/>
              </w:rPr>
              <w:t>Cena celkem</w:t>
            </w:r>
            <w:r>
              <w:rPr>
                <w:rFonts w:asciiTheme="minorHAnsi" w:hAnsiTheme="minorHAnsi"/>
                <w:b/>
                <w:sz w:val="22"/>
                <w:szCs w:val="22"/>
                <w:lang w:val="cs-CZ" w:eastAsia="en-US"/>
              </w:rPr>
              <w:t xml:space="preserve"> za instalace služby</w:t>
            </w:r>
          </w:p>
        </w:tc>
        <w:tc>
          <w:tcPr>
            <w:tcW w:w="2127" w:type="dxa"/>
            <w:shd w:val="clear" w:color="auto" w:fill="92D050"/>
            <w:vAlign w:val="center"/>
          </w:tcPr>
          <w:p w:rsidR="00FD54B0" w:rsidRPr="00D52452" w:rsidRDefault="00FD54B0" w:rsidP="00C035A7">
            <w:pPr>
              <w:pStyle w:val="Zkladntext"/>
              <w:tabs>
                <w:tab w:val="left" w:pos="-108"/>
              </w:tabs>
              <w:spacing w:after="0" w:line="276" w:lineRule="auto"/>
              <w:ind w:left="-108"/>
              <w:jc w:val="center"/>
              <w:rPr>
                <w:rFonts w:asciiTheme="minorHAnsi" w:hAnsiTheme="minorHAnsi" w:cs="Arial"/>
                <w:b/>
                <w:sz w:val="22"/>
                <w:szCs w:val="22"/>
                <w:lang w:eastAsia="en-US"/>
              </w:rPr>
            </w:pPr>
            <w:r w:rsidRPr="00D52452">
              <w:rPr>
                <w:rFonts w:asciiTheme="minorHAnsi" w:hAnsiTheme="minorHAnsi" w:cs="Arial"/>
                <w:b/>
                <w:sz w:val="22"/>
                <w:szCs w:val="22"/>
                <w:highlight w:val="yellow"/>
                <w:lang w:val="en-US" w:eastAsia="en-US"/>
              </w:rPr>
              <w:t>[</w:t>
            </w:r>
            <w:proofErr w:type="spellStart"/>
            <w:r w:rsidRPr="00D52452">
              <w:rPr>
                <w:rFonts w:asciiTheme="minorHAnsi" w:hAnsiTheme="minorHAnsi" w:cs="Arial"/>
                <w:b/>
                <w:sz w:val="22"/>
                <w:szCs w:val="22"/>
                <w:highlight w:val="yellow"/>
                <w:lang w:val="en-US" w:eastAsia="en-US"/>
              </w:rPr>
              <w:t>Dopln</w:t>
            </w:r>
            <w:proofErr w:type="spellEnd"/>
            <w:r w:rsidRPr="00D52452">
              <w:rPr>
                <w:rFonts w:asciiTheme="minorHAnsi" w:hAnsiTheme="minorHAnsi" w:cs="Arial"/>
                <w:b/>
                <w:sz w:val="22"/>
                <w:szCs w:val="22"/>
                <w:highlight w:val="yellow"/>
                <w:lang w:val="cs-CZ" w:eastAsia="en-US"/>
              </w:rPr>
              <w:t>í uchazeč</w:t>
            </w:r>
            <w:r w:rsidRPr="00D52452">
              <w:rPr>
                <w:rFonts w:asciiTheme="minorHAnsi" w:hAnsiTheme="minorHAnsi" w:cs="Arial"/>
                <w:b/>
                <w:sz w:val="22"/>
                <w:szCs w:val="22"/>
                <w:highlight w:val="yellow"/>
                <w:lang w:val="en-US" w:eastAsia="en-US"/>
              </w:rPr>
              <w:t>]</w:t>
            </w:r>
          </w:p>
        </w:tc>
        <w:tc>
          <w:tcPr>
            <w:tcW w:w="1842" w:type="dxa"/>
            <w:shd w:val="clear" w:color="auto" w:fill="92D050"/>
            <w:vAlign w:val="center"/>
          </w:tcPr>
          <w:p w:rsidR="00FD54B0" w:rsidRPr="00D52452" w:rsidRDefault="00FD54B0" w:rsidP="00C035A7">
            <w:pPr>
              <w:pStyle w:val="Zkladntext"/>
              <w:tabs>
                <w:tab w:val="left" w:pos="-108"/>
              </w:tabs>
              <w:spacing w:after="0" w:line="276" w:lineRule="auto"/>
              <w:ind w:left="-108"/>
              <w:jc w:val="center"/>
              <w:rPr>
                <w:rFonts w:asciiTheme="minorHAnsi" w:hAnsiTheme="minorHAnsi" w:cs="Arial"/>
                <w:b/>
                <w:sz w:val="22"/>
                <w:szCs w:val="22"/>
                <w:lang w:eastAsia="en-US"/>
              </w:rPr>
            </w:pPr>
            <w:r w:rsidRPr="00D52452">
              <w:rPr>
                <w:rFonts w:asciiTheme="minorHAnsi" w:hAnsiTheme="minorHAnsi" w:cs="Arial"/>
                <w:b/>
                <w:sz w:val="22"/>
                <w:szCs w:val="22"/>
                <w:highlight w:val="yellow"/>
                <w:lang w:val="en-US" w:eastAsia="en-US"/>
              </w:rPr>
              <w:t>[</w:t>
            </w:r>
            <w:proofErr w:type="spellStart"/>
            <w:r w:rsidRPr="00D52452">
              <w:rPr>
                <w:rFonts w:asciiTheme="minorHAnsi" w:hAnsiTheme="minorHAnsi" w:cs="Arial"/>
                <w:b/>
                <w:sz w:val="22"/>
                <w:szCs w:val="22"/>
                <w:highlight w:val="yellow"/>
                <w:lang w:val="en-US" w:eastAsia="en-US"/>
              </w:rPr>
              <w:t>Dopln</w:t>
            </w:r>
            <w:proofErr w:type="spellEnd"/>
            <w:r w:rsidRPr="00D52452">
              <w:rPr>
                <w:rFonts w:asciiTheme="minorHAnsi" w:hAnsiTheme="minorHAnsi" w:cs="Arial"/>
                <w:b/>
                <w:sz w:val="22"/>
                <w:szCs w:val="22"/>
                <w:highlight w:val="yellow"/>
                <w:lang w:val="cs-CZ" w:eastAsia="en-US"/>
              </w:rPr>
              <w:t>í uchazeč</w:t>
            </w:r>
            <w:r w:rsidRPr="00D52452">
              <w:rPr>
                <w:rFonts w:asciiTheme="minorHAnsi" w:hAnsiTheme="minorHAnsi" w:cs="Arial"/>
                <w:b/>
                <w:sz w:val="22"/>
                <w:szCs w:val="22"/>
                <w:highlight w:val="yellow"/>
                <w:lang w:val="en-US" w:eastAsia="en-US"/>
              </w:rPr>
              <w:t>]</w:t>
            </w:r>
          </w:p>
        </w:tc>
        <w:tc>
          <w:tcPr>
            <w:tcW w:w="1843" w:type="dxa"/>
            <w:shd w:val="clear" w:color="auto" w:fill="92D050"/>
            <w:vAlign w:val="center"/>
          </w:tcPr>
          <w:p w:rsidR="00FD54B0" w:rsidRPr="00D52452" w:rsidRDefault="00FD54B0" w:rsidP="00C035A7">
            <w:pPr>
              <w:pStyle w:val="Zkladntext"/>
              <w:tabs>
                <w:tab w:val="left" w:pos="-108"/>
              </w:tabs>
              <w:spacing w:after="0" w:line="276" w:lineRule="auto"/>
              <w:ind w:left="-108"/>
              <w:jc w:val="center"/>
              <w:rPr>
                <w:rFonts w:asciiTheme="minorHAnsi" w:hAnsiTheme="minorHAnsi" w:cs="Arial"/>
                <w:b/>
                <w:sz w:val="22"/>
                <w:szCs w:val="22"/>
                <w:lang w:eastAsia="en-US"/>
              </w:rPr>
            </w:pPr>
            <w:r w:rsidRPr="00D52452">
              <w:rPr>
                <w:rFonts w:asciiTheme="minorHAnsi" w:hAnsiTheme="minorHAnsi" w:cs="Arial"/>
                <w:b/>
                <w:sz w:val="22"/>
                <w:szCs w:val="22"/>
                <w:highlight w:val="yellow"/>
                <w:lang w:val="en-US" w:eastAsia="en-US"/>
              </w:rPr>
              <w:t>[</w:t>
            </w:r>
            <w:proofErr w:type="spellStart"/>
            <w:r w:rsidRPr="00D52452">
              <w:rPr>
                <w:rFonts w:asciiTheme="minorHAnsi" w:hAnsiTheme="minorHAnsi" w:cs="Arial"/>
                <w:b/>
                <w:sz w:val="22"/>
                <w:szCs w:val="22"/>
                <w:highlight w:val="yellow"/>
                <w:lang w:val="en-US" w:eastAsia="en-US"/>
              </w:rPr>
              <w:t>Dopln</w:t>
            </w:r>
            <w:proofErr w:type="spellEnd"/>
            <w:r w:rsidRPr="00D52452">
              <w:rPr>
                <w:rFonts w:asciiTheme="minorHAnsi" w:hAnsiTheme="minorHAnsi" w:cs="Arial"/>
                <w:b/>
                <w:sz w:val="22"/>
                <w:szCs w:val="22"/>
                <w:highlight w:val="yellow"/>
                <w:lang w:val="cs-CZ" w:eastAsia="en-US"/>
              </w:rPr>
              <w:t>í uchazeč</w:t>
            </w:r>
            <w:r w:rsidRPr="00D52452">
              <w:rPr>
                <w:rFonts w:asciiTheme="minorHAnsi" w:hAnsiTheme="minorHAnsi" w:cs="Arial"/>
                <w:b/>
                <w:sz w:val="22"/>
                <w:szCs w:val="22"/>
                <w:highlight w:val="yellow"/>
                <w:lang w:val="en-US" w:eastAsia="en-US"/>
              </w:rPr>
              <w:t>]</w:t>
            </w:r>
          </w:p>
        </w:tc>
      </w:tr>
      <w:tr w:rsidR="00FD54B0" w:rsidRPr="002607C7" w:rsidTr="00FD54B0">
        <w:trPr>
          <w:trHeight w:val="37"/>
        </w:trPr>
        <w:tc>
          <w:tcPr>
            <w:tcW w:w="4395" w:type="dxa"/>
            <w:shd w:val="clear" w:color="auto" w:fill="92D050"/>
            <w:vAlign w:val="center"/>
          </w:tcPr>
          <w:p w:rsidR="00FD54B0" w:rsidRPr="00D52452" w:rsidRDefault="00FD54B0" w:rsidP="00C035A7">
            <w:pPr>
              <w:pStyle w:val="Zkladntext"/>
              <w:widowControl w:val="0"/>
              <w:spacing w:after="0" w:line="276" w:lineRule="auto"/>
              <w:rPr>
                <w:rFonts w:asciiTheme="minorHAnsi" w:hAnsiTheme="minorHAnsi"/>
                <w:b/>
                <w:sz w:val="22"/>
                <w:szCs w:val="22"/>
                <w:lang w:val="cs-CZ" w:eastAsia="en-US"/>
              </w:rPr>
            </w:pPr>
            <w:r>
              <w:rPr>
                <w:rFonts w:asciiTheme="minorHAnsi" w:hAnsiTheme="minorHAnsi"/>
                <w:b/>
                <w:sz w:val="22"/>
                <w:szCs w:val="22"/>
                <w:lang w:val="cs-CZ" w:eastAsia="en-US"/>
              </w:rPr>
              <w:t>Celková cena za 48 měsíců (</w:t>
            </w:r>
            <w:proofErr w:type="spellStart"/>
            <w:r>
              <w:rPr>
                <w:rFonts w:asciiTheme="minorHAnsi" w:hAnsiTheme="minorHAnsi"/>
                <w:b/>
                <w:sz w:val="22"/>
                <w:szCs w:val="22"/>
                <w:lang w:val="cs-CZ" w:eastAsia="en-US"/>
              </w:rPr>
              <w:t>KL+instalace</w:t>
            </w:r>
            <w:proofErr w:type="spellEnd"/>
            <w:r>
              <w:rPr>
                <w:rFonts w:asciiTheme="minorHAnsi" w:hAnsiTheme="minorHAnsi"/>
                <w:b/>
                <w:sz w:val="22"/>
                <w:szCs w:val="22"/>
                <w:lang w:val="cs-CZ" w:eastAsia="en-US"/>
              </w:rPr>
              <w:t>)</w:t>
            </w:r>
          </w:p>
        </w:tc>
        <w:tc>
          <w:tcPr>
            <w:tcW w:w="2127" w:type="dxa"/>
            <w:shd w:val="clear" w:color="auto" w:fill="92D050"/>
            <w:vAlign w:val="center"/>
          </w:tcPr>
          <w:p w:rsidR="00FD54B0" w:rsidRPr="00D52452" w:rsidRDefault="00FD54B0" w:rsidP="00C035A7">
            <w:pPr>
              <w:pStyle w:val="Zkladntext"/>
              <w:tabs>
                <w:tab w:val="left" w:pos="-108"/>
              </w:tabs>
              <w:spacing w:after="0" w:line="276" w:lineRule="auto"/>
              <w:ind w:left="-108"/>
              <w:jc w:val="center"/>
              <w:rPr>
                <w:rFonts w:asciiTheme="minorHAnsi" w:hAnsiTheme="minorHAnsi" w:cs="Arial"/>
                <w:b/>
                <w:sz w:val="22"/>
                <w:szCs w:val="22"/>
                <w:highlight w:val="yellow"/>
                <w:lang w:val="en-US" w:eastAsia="en-US"/>
              </w:rPr>
            </w:pPr>
            <w:r w:rsidRPr="00D52452">
              <w:rPr>
                <w:rFonts w:asciiTheme="minorHAnsi" w:hAnsiTheme="minorHAnsi" w:cs="Arial"/>
                <w:b/>
                <w:sz w:val="22"/>
                <w:szCs w:val="22"/>
                <w:highlight w:val="yellow"/>
                <w:lang w:val="en-US" w:eastAsia="en-US"/>
              </w:rPr>
              <w:t>[</w:t>
            </w:r>
            <w:proofErr w:type="spellStart"/>
            <w:r w:rsidRPr="00D52452">
              <w:rPr>
                <w:rFonts w:asciiTheme="minorHAnsi" w:hAnsiTheme="minorHAnsi" w:cs="Arial"/>
                <w:b/>
                <w:sz w:val="22"/>
                <w:szCs w:val="22"/>
                <w:highlight w:val="yellow"/>
                <w:lang w:val="en-US" w:eastAsia="en-US"/>
              </w:rPr>
              <w:t>Dopln</w:t>
            </w:r>
            <w:proofErr w:type="spellEnd"/>
            <w:r w:rsidRPr="00D52452">
              <w:rPr>
                <w:rFonts w:asciiTheme="minorHAnsi" w:hAnsiTheme="minorHAnsi" w:cs="Arial"/>
                <w:b/>
                <w:sz w:val="22"/>
                <w:szCs w:val="22"/>
                <w:highlight w:val="yellow"/>
                <w:lang w:val="cs-CZ" w:eastAsia="en-US"/>
              </w:rPr>
              <w:t>í uchazeč</w:t>
            </w:r>
            <w:r w:rsidRPr="00D52452">
              <w:rPr>
                <w:rFonts w:asciiTheme="minorHAnsi" w:hAnsiTheme="minorHAnsi" w:cs="Arial"/>
                <w:b/>
                <w:sz w:val="22"/>
                <w:szCs w:val="22"/>
                <w:highlight w:val="yellow"/>
                <w:lang w:val="en-US" w:eastAsia="en-US"/>
              </w:rPr>
              <w:t>]</w:t>
            </w:r>
          </w:p>
        </w:tc>
        <w:tc>
          <w:tcPr>
            <w:tcW w:w="1842" w:type="dxa"/>
            <w:shd w:val="clear" w:color="auto" w:fill="92D050"/>
            <w:vAlign w:val="center"/>
          </w:tcPr>
          <w:p w:rsidR="00FD54B0" w:rsidRPr="00D52452" w:rsidRDefault="00FD54B0" w:rsidP="00C035A7">
            <w:pPr>
              <w:pStyle w:val="Zkladntext"/>
              <w:tabs>
                <w:tab w:val="left" w:pos="-108"/>
              </w:tabs>
              <w:spacing w:after="0" w:line="276" w:lineRule="auto"/>
              <w:ind w:left="-108"/>
              <w:jc w:val="center"/>
              <w:rPr>
                <w:rFonts w:asciiTheme="minorHAnsi" w:hAnsiTheme="minorHAnsi" w:cs="Arial"/>
                <w:b/>
                <w:sz w:val="22"/>
                <w:szCs w:val="22"/>
                <w:highlight w:val="yellow"/>
                <w:lang w:val="en-US" w:eastAsia="en-US"/>
              </w:rPr>
            </w:pPr>
            <w:r w:rsidRPr="00D52452">
              <w:rPr>
                <w:rFonts w:asciiTheme="minorHAnsi" w:hAnsiTheme="minorHAnsi" w:cs="Arial"/>
                <w:b/>
                <w:sz w:val="22"/>
                <w:szCs w:val="22"/>
                <w:highlight w:val="yellow"/>
                <w:lang w:val="en-US" w:eastAsia="en-US"/>
              </w:rPr>
              <w:t>[</w:t>
            </w:r>
            <w:proofErr w:type="spellStart"/>
            <w:r w:rsidRPr="00D52452">
              <w:rPr>
                <w:rFonts w:asciiTheme="minorHAnsi" w:hAnsiTheme="minorHAnsi" w:cs="Arial"/>
                <w:b/>
                <w:sz w:val="22"/>
                <w:szCs w:val="22"/>
                <w:highlight w:val="yellow"/>
                <w:lang w:val="en-US" w:eastAsia="en-US"/>
              </w:rPr>
              <w:t>Dopln</w:t>
            </w:r>
            <w:proofErr w:type="spellEnd"/>
            <w:r w:rsidRPr="00D52452">
              <w:rPr>
                <w:rFonts w:asciiTheme="minorHAnsi" w:hAnsiTheme="minorHAnsi" w:cs="Arial"/>
                <w:b/>
                <w:sz w:val="22"/>
                <w:szCs w:val="22"/>
                <w:highlight w:val="yellow"/>
                <w:lang w:val="cs-CZ" w:eastAsia="en-US"/>
              </w:rPr>
              <w:t>í uchazeč</w:t>
            </w:r>
            <w:r w:rsidRPr="00D52452">
              <w:rPr>
                <w:rFonts w:asciiTheme="minorHAnsi" w:hAnsiTheme="minorHAnsi" w:cs="Arial"/>
                <w:b/>
                <w:sz w:val="22"/>
                <w:szCs w:val="22"/>
                <w:highlight w:val="yellow"/>
                <w:lang w:val="en-US" w:eastAsia="en-US"/>
              </w:rPr>
              <w:t>]</w:t>
            </w:r>
          </w:p>
        </w:tc>
        <w:tc>
          <w:tcPr>
            <w:tcW w:w="1843" w:type="dxa"/>
            <w:shd w:val="clear" w:color="auto" w:fill="92D050"/>
            <w:vAlign w:val="center"/>
          </w:tcPr>
          <w:p w:rsidR="00FD54B0" w:rsidRPr="00D52452" w:rsidRDefault="00FD54B0" w:rsidP="00C035A7">
            <w:pPr>
              <w:pStyle w:val="Zkladntext"/>
              <w:tabs>
                <w:tab w:val="left" w:pos="-108"/>
              </w:tabs>
              <w:spacing w:after="0" w:line="276" w:lineRule="auto"/>
              <w:ind w:left="-108"/>
              <w:jc w:val="center"/>
              <w:rPr>
                <w:rFonts w:asciiTheme="minorHAnsi" w:hAnsiTheme="minorHAnsi" w:cs="Arial"/>
                <w:b/>
                <w:sz w:val="22"/>
                <w:szCs w:val="22"/>
                <w:highlight w:val="yellow"/>
                <w:lang w:val="en-US" w:eastAsia="en-US"/>
              </w:rPr>
            </w:pPr>
            <w:r w:rsidRPr="00D52452">
              <w:rPr>
                <w:rFonts w:asciiTheme="minorHAnsi" w:hAnsiTheme="minorHAnsi" w:cs="Arial"/>
                <w:b/>
                <w:sz w:val="22"/>
                <w:szCs w:val="22"/>
                <w:highlight w:val="yellow"/>
                <w:lang w:val="en-US" w:eastAsia="en-US"/>
              </w:rPr>
              <w:t>[</w:t>
            </w:r>
            <w:proofErr w:type="spellStart"/>
            <w:r w:rsidRPr="00D52452">
              <w:rPr>
                <w:rFonts w:asciiTheme="minorHAnsi" w:hAnsiTheme="minorHAnsi" w:cs="Arial"/>
                <w:b/>
                <w:sz w:val="22"/>
                <w:szCs w:val="22"/>
                <w:highlight w:val="yellow"/>
                <w:lang w:val="en-US" w:eastAsia="en-US"/>
              </w:rPr>
              <w:t>Dopln</w:t>
            </w:r>
            <w:proofErr w:type="spellEnd"/>
            <w:r w:rsidRPr="00D52452">
              <w:rPr>
                <w:rFonts w:asciiTheme="minorHAnsi" w:hAnsiTheme="minorHAnsi" w:cs="Arial"/>
                <w:b/>
                <w:sz w:val="22"/>
                <w:szCs w:val="22"/>
                <w:highlight w:val="yellow"/>
                <w:lang w:val="cs-CZ" w:eastAsia="en-US"/>
              </w:rPr>
              <w:t>í uchazeč</w:t>
            </w:r>
            <w:r w:rsidRPr="00D52452">
              <w:rPr>
                <w:rFonts w:asciiTheme="minorHAnsi" w:hAnsiTheme="minorHAnsi" w:cs="Arial"/>
                <w:b/>
                <w:sz w:val="22"/>
                <w:szCs w:val="22"/>
                <w:highlight w:val="yellow"/>
                <w:lang w:val="en-US" w:eastAsia="en-US"/>
              </w:rPr>
              <w:t>]</w:t>
            </w:r>
          </w:p>
        </w:tc>
      </w:tr>
    </w:tbl>
    <w:p w:rsidR="00FD54B0" w:rsidRDefault="00FD54B0" w:rsidP="00FD54B0">
      <w:pPr>
        <w:pStyle w:val="RLTextlnkuslovan"/>
        <w:numPr>
          <w:ilvl w:val="0"/>
          <w:numId w:val="0"/>
        </w:numPr>
        <w:rPr>
          <w:rFonts w:asciiTheme="minorHAnsi" w:hAnsiTheme="minorHAnsi"/>
          <w:b/>
          <w:szCs w:val="22"/>
          <w:lang w:val="cs-CZ" w:eastAsia="en-US"/>
        </w:rPr>
      </w:pPr>
    </w:p>
    <w:p w:rsidR="00FD54B0" w:rsidRDefault="00FD54B0" w:rsidP="00FD54B0">
      <w:pPr>
        <w:pStyle w:val="RLTextlnkuslovan"/>
        <w:numPr>
          <w:ilvl w:val="0"/>
          <w:numId w:val="0"/>
        </w:numPr>
        <w:rPr>
          <w:rFonts w:asciiTheme="minorHAnsi" w:hAnsiTheme="minorHAnsi"/>
          <w:b/>
          <w:szCs w:val="22"/>
          <w:lang w:val="cs-CZ" w:eastAsia="en-US"/>
        </w:rPr>
      </w:pPr>
      <w:r w:rsidRPr="00D52452">
        <w:rPr>
          <w:rFonts w:asciiTheme="minorHAnsi" w:hAnsiTheme="minorHAnsi"/>
          <w:szCs w:val="22"/>
          <w:lang w:val="cs-CZ" w:eastAsia="en-US"/>
        </w:rPr>
        <w:t xml:space="preserve">*Instalace služby obsahuje všechno potřebné příslušenství pro připojení služby do koncového prvku Objednatele. </w:t>
      </w:r>
      <w:r>
        <w:rPr>
          <w:rFonts w:asciiTheme="minorHAnsi" w:hAnsiTheme="minorHAnsi"/>
          <w:szCs w:val="22"/>
          <w:lang w:val="cs-CZ" w:eastAsia="en-US"/>
        </w:rPr>
        <w:t>Součástí instalace je i měření linek a předání protokolu o měření včetně návrhu monitorovaných adres Poskytovatele.</w:t>
      </w:r>
    </w:p>
    <w:p w:rsidR="00FD54B0" w:rsidRDefault="00FD54B0" w:rsidP="00FD54B0">
      <w:pPr>
        <w:pStyle w:val="RLTextlnkuslovan"/>
        <w:numPr>
          <w:ilvl w:val="0"/>
          <w:numId w:val="0"/>
        </w:numPr>
        <w:rPr>
          <w:highlight w:val="yellow"/>
          <w:lang w:val="cs-CZ" w:eastAsia="en-US"/>
        </w:rPr>
      </w:pPr>
    </w:p>
    <w:p w:rsidR="00FD54B0" w:rsidRDefault="00FD54B0" w:rsidP="00FD54B0">
      <w:pPr>
        <w:pStyle w:val="RLTextlnkuslovan"/>
        <w:numPr>
          <w:ilvl w:val="0"/>
          <w:numId w:val="0"/>
        </w:numPr>
        <w:rPr>
          <w:lang w:val="cs-CZ" w:eastAsia="en-US"/>
        </w:rPr>
      </w:pPr>
      <w:r>
        <w:rPr>
          <w:lang w:val="cs-CZ" w:eastAsia="en-US"/>
        </w:rPr>
        <w:t>Doba plnění 48 měsíců.</w:t>
      </w:r>
    </w:p>
    <w:p w:rsidR="00FD54B0" w:rsidRDefault="00FD54B0" w:rsidP="00FD54B0">
      <w:pPr>
        <w:pStyle w:val="RLTextlnkuslovan"/>
        <w:numPr>
          <w:ilvl w:val="0"/>
          <w:numId w:val="0"/>
        </w:numPr>
        <w:rPr>
          <w:lang w:val="cs-CZ" w:eastAsia="en-US"/>
        </w:rPr>
      </w:pPr>
      <w:r>
        <w:rPr>
          <w:lang w:val="cs-CZ" w:eastAsia="en-US"/>
        </w:rPr>
        <w:t>Výpovědní doba bez uvedení důvodů 3 měsíce.</w:t>
      </w:r>
    </w:p>
    <w:p w:rsidR="00FD54B0" w:rsidRDefault="00FD54B0" w:rsidP="00FD54B0">
      <w:pPr>
        <w:pStyle w:val="RLTextlnkuslovan"/>
        <w:numPr>
          <w:ilvl w:val="0"/>
          <w:numId w:val="0"/>
        </w:numPr>
        <w:rPr>
          <w:lang w:val="cs-CZ" w:eastAsia="en-US"/>
        </w:rPr>
      </w:pPr>
    </w:p>
    <w:p w:rsidR="00FD54B0" w:rsidRPr="00E800D0" w:rsidRDefault="00FD54B0" w:rsidP="00FD54B0">
      <w:pPr>
        <w:pStyle w:val="RLlneksmlouvy"/>
        <w:spacing w:before="120" w:after="0"/>
        <w:rPr>
          <w:rFonts w:asciiTheme="minorHAnsi" w:hAnsiTheme="minorHAnsi"/>
          <w:caps/>
          <w:sz w:val="20"/>
        </w:rPr>
      </w:pPr>
      <w:bookmarkStart w:id="1" w:name="_GoBack"/>
      <w:bookmarkEnd w:id="1"/>
      <w:r w:rsidRPr="00E800D0">
        <w:rPr>
          <w:rFonts w:asciiTheme="minorHAnsi" w:hAnsiTheme="minorHAnsi"/>
          <w:caps/>
          <w:sz w:val="20"/>
          <w:lang w:val="cs-CZ"/>
        </w:rPr>
        <w:t>Sankce</w:t>
      </w:r>
      <w:r>
        <w:rPr>
          <w:rFonts w:asciiTheme="minorHAnsi" w:hAnsiTheme="minorHAnsi"/>
          <w:caps/>
          <w:sz w:val="20"/>
          <w:lang w:val="cs-CZ"/>
        </w:rPr>
        <w:t>, slevy z ceny</w:t>
      </w:r>
      <w:r w:rsidRPr="00E800D0">
        <w:rPr>
          <w:rFonts w:asciiTheme="minorHAnsi" w:hAnsiTheme="minorHAnsi"/>
          <w:caps/>
          <w:sz w:val="20"/>
          <w:lang w:val="cs-CZ"/>
        </w:rPr>
        <w:t xml:space="preserve"> A Náhrada škody</w:t>
      </w:r>
    </w:p>
    <w:p w:rsidR="00FD54B0" w:rsidRPr="005A54AD" w:rsidRDefault="00FD54B0" w:rsidP="00FD54B0">
      <w:pPr>
        <w:pStyle w:val="RLTextlnkuslovan"/>
        <w:tabs>
          <w:tab w:val="clear" w:pos="1474"/>
        </w:tabs>
        <w:spacing w:before="120" w:after="0" w:line="240" w:lineRule="auto"/>
        <w:ind w:left="0" w:firstLine="0"/>
        <w:rPr>
          <w:rFonts w:asciiTheme="minorHAnsi" w:hAnsiTheme="minorHAnsi"/>
        </w:rPr>
      </w:pPr>
      <w:r w:rsidRPr="00CA0696">
        <w:rPr>
          <w:rFonts w:asciiTheme="minorHAnsi" w:hAnsiTheme="minorHAnsi"/>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rsidR="00FD54B0" w:rsidRPr="00E800D0" w:rsidRDefault="00FD54B0" w:rsidP="00FD54B0">
      <w:pPr>
        <w:pStyle w:val="RLTextlnkuslovan"/>
        <w:tabs>
          <w:tab w:val="clear" w:pos="1474"/>
        </w:tabs>
        <w:spacing w:before="120" w:after="0" w:line="240" w:lineRule="auto"/>
        <w:ind w:left="0" w:firstLine="0"/>
        <w:rPr>
          <w:rFonts w:asciiTheme="minorHAnsi" w:hAnsiTheme="minorHAnsi"/>
        </w:rPr>
      </w:pPr>
      <w:r w:rsidRPr="00E800D0">
        <w:rPr>
          <w:rFonts w:asciiTheme="minorHAnsi" w:hAnsiTheme="minorHAnsi"/>
        </w:rPr>
        <w:t>V </w:t>
      </w:r>
      <w:r w:rsidRPr="00E800D0">
        <w:rPr>
          <w:rFonts w:asciiTheme="minorHAnsi" w:hAnsiTheme="minorHAnsi"/>
          <w:color w:val="000000"/>
        </w:rPr>
        <w:t>případě</w:t>
      </w:r>
      <w:r w:rsidRPr="00E800D0">
        <w:rPr>
          <w:rFonts w:asciiTheme="minorHAnsi" w:hAnsiTheme="minorHAnsi"/>
        </w:rPr>
        <w:t xml:space="preserve"> nesplnění povinnosti Poskytovatele</w:t>
      </w:r>
      <w:r w:rsidRPr="00E800D0">
        <w:rPr>
          <w:rFonts w:asciiTheme="minorHAnsi" w:hAnsiTheme="minorHAnsi"/>
          <w:lang w:val="cs-CZ"/>
        </w:rPr>
        <w:t xml:space="preserve"> zřídit Služby v termínu </w:t>
      </w:r>
      <w:r w:rsidRPr="00E800D0">
        <w:rPr>
          <w:rFonts w:asciiTheme="minorHAnsi" w:hAnsiTheme="minorHAnsi"/>
        </w:rPr>
        <w:t>dle odst</w:t>
      </w:r>
      <w:r w:rsidRPr="00E800D0">
        <w:rPr>
          <w:rFonts w:asciiTheme="minorHAnsi" w:hAnsiTheme="minorHAnsi"/>
          <w:lang w:val="cs-CZ"/>
        </w:rPr>
        <w:t>.</w:t>
      </w:r>
      <w:r w:rsidRPr="00E800D0">
        <w:rPr>
          <w:rFonts w:asciiTheme="minorHAnsi" w:hAnsiTheme="minorHAnsi"/>
        </w:rPr>
        <w:t xml:space="preserve"> </w:t>
      </w:r>
      <w:r w:rsidRPr="00E800D0">
        <w:rPr>
          <w:rFonts w:asciiTheme="minorHAnsi" w:hAnsiTheme="minorHAnsi"/>
          <w:lang w:val="cs-CZ"/>
        </w:rPr>
        <w:t xml:space="preserve">5.1 </w:t>
      </w:r>
      <w:r w:rsidRPr="00E800D0">
        <w:rPr>
          <w:rFonts w:asciiTheme="minorHAnsi" w:hAnsiTheme="minorHAnsi"/>
        </w:rPr>
        <w:t xml:space="preserve">Smlouvy je Poskytovatel povinen uhradit </w:t>
      </w:r>
      <w:r w:rsidRPr="00E800D0">
        <w:rPr>
          <w:rFonts w:asciiTheme="minorHAnsi" w:hAnsiTheme="minorHAnsi"/>
          <w:lang w:val="cs-CZ"/>
        </w:rPr>
        <w:t>Objednateli</w:t>
      </w:r>
      <w:r w:rsidRPr="00E800D0">
        <w:rPr>
          <w:rFonts w:asciiTheme="minorHAnsi" w:hAnsiTheme="minorHAnsi"/>
        </w:rPr>
        <w:t xml:space="preserve"> smluvní pokutu ve výši</w:t>
      </w:r>
      <w:r w:rsidRPr="00E800D0">
        <w:rPr>
          <w:rFonts w:asciiTheme="minorHAnsi" w:hAnsiTheme="minorHAnsi"/>
          <w:lang w:val="cs-CZ"/>
        </w:rPr>
        <w:t xml:space="preserve"> </w:t>
      </w:r>
      <w:r>
        <w:rPr>
          <w:rFonts w:asciiTheme="minorHAnsi" w:hAnsiTheme="minorHAnsi"/>
          <w:lang w:val="en-GB"/>
        </w:rPr>
        <w:t xml:space="preserve">10 000,- </w:t>
      </w:r>
      <w:proofErr w:type="spellStart"/>
      <w:r>
        <w:rPr>
          <w:rFonts w:asciiTheme="minorHAnsi" w:hAnsiTheme="minorHAnsi"/>
          <w:lang w:val="en-GB"/>
        </w:rPr>
        <w:t>Kč</w:t>
      </w:r>
      <w:proofErr w:type="spellEnd"/>
      <w:r w:rsidRPr="00E800D0">
        <w:rPr>
          <w:rFonts w:asciiTheme="minorHAnsi" w:hAnsiTheme="minorHAnsi"/>
        </w:rPr>
        <w:t>, a to za každ</w:t>
      </w:r>
      <w:r w:rsidRPr="00E800D0">
        <w:rPr>
          <w:rFonts w:asciiTheme="minorHAnsi" w:hAnsiTheme="minorHAnsi"/>
          <w:lang w:val="cs-CZ"/>
        </w:rPr>
        <w:t>ý</w:t>
      </w:r>
      <w:r w:rsidRPr="00E800D0">
        <w:rPr>
          <w:rFonts w:asciiTheme="minorHAnsi" w:hAnsiTheme="minorHAnsi"/>
        </w:rPr>
        <w:t xml:space="preserve"> </w:t>
      </w:r>
      <w:r w:rsidRPr="00E800D0">
        <w:rPr>
          <w:rFonts w:asciiTheme="minorHAnsi" w:hAnsiTheme="minorHAnsi"/>
          <w:lang w:val="cs-CZ"/>
        </w:rPr>
        <w:t>započatý den prodlení se splněním předmětné povinnosti</w:t>
      </w:r>
      <w:r w:rsidRPr="00E800D0">
        <w:rPr>
          <w:rFonts w:asciiTheme="minorHAnsi" w:hAnsiTheme="minorHAnsi"/>
        </w:rPr>
        <w:t>.</w:t>
      </w:r>
    </w:p>
    <w:p w:rsidR="00FD54B0" w:rsidRDefault="00FD54B0" w:rsidP="00FD54B0">
      <w:pPr>
        <w:pStyle w:val="RLTextlnkuslovan"/>
        <w:tabs>
          <w:tab w:val="clear" w:pos="1474"/>
        </w:tabs>
        <w:spacing w:before="120" w:after="0" w:line="240" w:lineRule="auto"/>
        <w:ind w:left="0" w:firstLine="0"/>
        <w:rPr>
          <w:rFonts w:asciiTheme="minorHAnsi" w:hAnsiTheme="minorHAnsi"/>
        </w:rPr>
      </w:pPr>
      <w:r w:rsidRPr="00E800D0">
        <w:rPr>
          <w:rFonts w:asciiTheme="minorHAnsi" w:hAnsiTheme="minorHAnsi"/>
        </w:rPr>
        <w:t>V případě</w:t>
      </w:r>
      <w:r>
        <w:rPr>
          <w:rFonts w:asciiTheme="minorHAnsi" w:hAnsiTheme="minorHAnsi"/>
          <w:lang w:val="cs-CZ"/>
        </w:rPr>
        <w:t>, že Služby nebudou poskytovány v souladu s parametry</w:t>
      </w:r>
      <w:r w:rsidRPr="00E800D0">
        <w:rPr>
          <w:rFonts w:asciiTheme="minorHAnsi" w:hAnsiTheme="minorHAnsi"/>
        </w:rPr>
        <w:t xml:space="preserve"> </w:t>
      </w:r>
      <w:r>
        <w:rPr>
          <w:rFonts w:asciiTheme="minorHAnsi" w:hAnsiTheme="minorHAnsi"/>
          <w:lang w:val="cs-CZ"/>
        </w:rPr>
        <w:t xml:space="preserve">stanovenými v </w:t>
      </w:r>
      <w:hyperlink w:anchor="ListAnnex01" w:history="1">
        <w:r w:rsidRPr="00E800D0">
          <w:rPr>
            <w:rStyle w:val="Hypertextovodkaz"/>
            <w:rFonts w:asciiTheme="minorHAnsi" w:hAnsiTheme="minorHAnsi"/>
          </w:rPr>
          <w:t>Příloze č. 1</w:t>
        </w:r>
      </w:hyperlink>
      <w:r>
        <w:rPr>
          <w:rFonts w:asciiTheme="minorHAnsi" w:hAnsiTheme="minorHAnsi"/>
          <w:lang w:val="cs-CZ"/>
        </w:rPr>
        <w:t xml:space="preserve"> </w:t>
      </w:r>
      <w:r w:rsidRPr="00E800D0">
        <w:rPr>
          <w:rFonts w:asciiTheme="minorHAnsi" w:hAnsiTheme="minorHAnsi"/>
          <w:lang w:val="cs-CZ"/>
        </w:rPr>
        <w:t>této Smlouvy</w:t>
      </w:r>
      <w:r>
        <w:rPr>
          <w:rFonts w:asciiTheme="minorHAnsi" w:hAnsiTheme="minorHAnsi"/>
          <w:lang w:val="cs-CZ"/>
        </w:rPr>
        <w:t>,</w:t>
      </w:r>
      <w:r w:rsidRPr="00E800D0">
        <w:rPr>
          <w:rFonts w:asciiTheme="minorHAnsi" w:hAnsiTheme="minorHAnsi"/>
          <w:lang w:val="cs-CZ"/>
        </w:rPr>
        <w:t xml:space="preserve"> je Poskytovatel povinen uhradit Objednateli slevu z ceny </w:t>
      </w:r>
      <w:r w:rsidRPr="00E800D0">
        <w:rPr>
          <w:rFonts w:asciiTheme="minorHAnsi" w:hAnsiTheme="minorHAnsi"/>
        </w:rPr>
        <w:t xml:space="preserve">dle </w:t>
      </w:r>
      <w:hyperlink w:anchor="ListAnnex03" w:history="1">
        <w:r>
          <w:rPr>
            <w:rStyle w:val="Hypertextovodkaz"/>
            <w:rFonts w:asciiTheme="minorHAnsi" w:hAnsiTheme="minorHAnsi"/>
          </w:rPr>
          <w:t>Přílohy </w:t>
        </w:r>
        <w:r w:rsidRPr="00E800D0">
          <w:rPr>
            <w:rStyle w:val="Hypertextovodkaz"/>
            <w:rFonts w:asciiTheme="minorHAnsi" w:hAnsiTheme="minorHAnsi"/>
          </w:rPr>
          <w:t>č.</w:t>
        </w:r>
        <w:r w:rsidRPr="00E800D0">
          <w:rPr>
            <w:rStyle w:val="Hypertextovodkaz"/>
            <w:rFonts w:asciiTheme="minorHAnsi" w:hAnsiTheme="minorHAnsi"/>
            <w:lang w:val="cs-CZ"/>
          </w:rPr>
          <w:t xml:space="preserve"> 3</w:t>
        </w:r>
        <w:r w:rsidRPr="00E800D0">
          <w:rPr>
            <w:rStyle w:val="Hypertextovodkaz"/>
            <w:rFonts w:asciiTheme="minorHAnsi" w:hAnsiTheme="minorHAnsi"/>
          </w:rPr>
          <w:t xml:space="preserve"> </w:t>
        </w:r>
      </w:hyperlink>
      <w:r w:rsidRPr="00E800D0">
        <w:rPr>
          <w:rFonts w:asciiTheme="minorHAnsi" w:hAnsiTheme="minorHAnsi"/>
        </w:rPr>
        <w:t xml:space="preserve"> této </w:t>
      </w:r>
      <w:r w:rsidRPr="00E800D0">
        <w:rPr>
          <w:rFonts w:asciiTheme="minorHAnsi" w:hAnsiTheme="minorHAnsi"/>
          <w:color w:val="000000"/>
        </w:rPr>
        <w:t>Smlouvy</w:t>
      </w:r>
      <w:r w:rsidRPr="00E800D0">
        <w:rPr>
          <w:rFonts w:asciiTheme="minorHAnsi" w:hAnsiTheme="minorHAnsi"/>
        </w:rPr>
        <w:t xml:space="preserve">. </w:t>
      </w:r>
    </w:p>
    <w:p w:rsidR="00FD54B0" w:rsidRDefault="00FD54B0" w:rsidP="00FD54B0">
      <w:pPr>
        <w:pStyle w:val="RLTextlnkuslovan"/>
        <w:tabs>
          <w:tab w:val="clear" w:pos="1474"/>
        </w:tabs>
        <w:spacing w:before="120" w:after="0" w:line="240" w:lineRule="auto"/>
        <w:ind w:left="0" w:firstLine="0"/>
        <w:rPr>
          <w:rFonts w:asciiTheme="minorHAnsi" w:hAnsiTheme="minorHAnsi"/>
        </w:rPr>
      </w:pPr>
      <w:r>
        <w:rPr>
          <w:rFonts w:asciiTheme="minorHAnsi" w:hAnsiTheme="minorHAnsi"/>
        </w:rPr>
        <w:t>V případě porušení povinnosti</w:t>
      </w:r>
      <w:r w:rsidRPr="00CA0696">
        <w:rPr>
          <w:rFonts w:asciiTheme="minorHAnsi" w:hAnsiTheme="minorHAnsi"/>
        </w:rPr>
        <w:t xml:space="preserve"> </w:t>
      </w:r>
      <w:r>
        <w:rPr>
          <w:rFonts w:asciiTheme="minorHAnsi" w:hAnsiTheme="minorHAnsi"/>
        </w:rPr>
        <w:t xml:space="preserve">ze strany Poskytovatele dle odst. </w:t>
      </w:r>
      <w:r>
        <w:rPr>
          <w:rFonts w:asciiTheme="minorHAnsi" w:hAnsiTheme="minorHAnsi"/>
        </w:rPr>
        <w:fldChar w:fldCharType="begin"/>
      </w:r>
      <w:r>
        <w:rPr>
          <w:rFonts w:asciiTheme="minorHAnsi" w:hAnsiTheme="minorHAnsi"/>
        </w:rPr>
        <w:instrText xml:space="preserve"> REF _Ref10970971 \r \h </w:instrText>
      </w:r>
      <w:r>
        <w:rPr>
          <w:rFonts w:asciiTheme="minorHAnsi" w:hAnsiTheme="minorHAnsi"/>
        </w:rPr>
      </w:r>
      <w:r>
        <w:rPr>
          <w:rFonts w:asciiTheme="minorHAnsi" w:hAnsiTheme="minorHAnsi"/>
        </w:rPr>
        <w:fldChar w:fldCharType="separate"/>
      </w:r>
      <w:r>
        <w:rPr>
          <w:rFonts w:asciiTheme="minorHAnsi" w:hAnsiTheme="minorHAnsi"/>
        </w:rPr>
        <w:t>8.2</w:t>
      </w:r>
      <w:r>
        <w:rPr>
          <w:rFonts w:asciiTheme="minorHAnsi" w:hAnsiTheme="minorHAnsi"/>
        </w:rPr>
        <w:fldChar w:fldCharType="end"/>
      </w:r>
      <w:r>
        <w:rPr>
          <w:rFonts w:asciiTheme="minorHAnsi" w:hAnsiTheme="minorHAnsi"/>
          <w:lang w:val="cs-CZ"/>
        </w:rPr>
        <w:t xml:space="preserve"> této Smlouvy</w:t>
      </w:r>
      <w:r w:rsidRPr="00CA0696">
        <w:rPr>
          <w:rFonts w:asciiTheme="minorHAnsi" w:hAnsiTheme="minorHAnsi"/>
        </w:rPr>
        <w:t xml:space="preserve"> je </w:t>
      </w:r>
      <w:r w:rsidRPr="00CA0696">
        <w:rPr>
          <w:rFonts w:asciiTheme="minorHAnsi" w:hAnsiTheme="minorHAnsi"/>
          <w:bCs/>
        </w:rPr>
        <w:t>Poskytovatel</w:t>
      </w:r>
      <w:r w:rsidRPr="00CA0696">
        <w:rPr>
          <w:rFonts w:asciiTheme="minorHAnsi" w:hAnsiTheme="minorHAnsi"/>
        </w:rPr>
        <w:t xml:space="preserve"> povinen uhradit Objednateli smluvní pokutu ve výši </w:t>
      </w:r>
      <w:r>
        <w:rPr>
          <w:rFonts w:asciiTheme="minorHAnsi" w:hAnsiTheme="minorHAnsi"/>
          <w:lang w:val="en-GB"/>
        </w:rPr>
        <w:t xml:space="preserve">1 000,- </w:t>
      </w:r>
      <w:proofErr w:type="spellStart"/>
      <w:r>
        <w:rPr>
          <w:rFonts w:asciiTheme="minorHAnsi" w:hAnsiTheme="minorHAnsi"/>
          <w:lang w:val="en-GB"/>
        </w:rPr>
        <w:t>Kč</w:t>
      </w:r>
      <w:proofErr w:type="spellEnd"/>
      <w:r>
        <w:rPr>
          <w:rFonts w:asciiTheme="minorHAnsi" w:hAnsiTheme="minorHAnsi"/>
          <w:lang w:val="en-GB"/>
        </w:rPr>
        <w:t xml:space="preserve"> </w:t>
      </w:r>
      <w:r w:rsidRPr="00CA0696">
        <w:rPr>
          <w:rFonts w:asciiTheme="minorHAnsi" w:hAnsiTheme="minorHAnsi"/>
        </w:rPr>
        <w:t>za každé jednotlivé porušení.</w:t>
      </w:r>
    </w:p>
    <w:p w:rsidR="00FD54B0" w:rsidRDefault="00FD54B0" w:rsidP="00FD54B0">
      <w:pPr>
        <w:pStyle w:val="RLTextlnkuslovan"/>
        <w:tabs>
          <w:tab w:val="clear" w:pos="1474"/>
        </w:tabs>
        <w:spacing w:before="120" w:after="0" w:line="240" w:lineRule="auto"/>
        <w:ind w:left="0" w:firstLine="0"/>
        <w:rPr>
          <w:rFonts w:asciiTheme="minorHAnsi" w:hAnsiTheme="minorHAnsi"/>
        </w:rPr>
      </w:pPr>
      <w:r w:rsidRPr="00CA0696">
        <w:rPr>
          <w:rFonts w:asciiTheme="minorHAnsi" w:hAnsiTheme="minorHAnsi"/>
        </w:rPr>
        <w:t xml:space="preserve">V případě porušení povinností ze strany Poskytovatele dle čl. </w:t>
      </w:r>
      <w:r>
        <w:rPr>
          <w:rFonts w:asciiTheme="minorHAnsi" w:hAnsiTheme="minorHAnsi"/>
        </w:rPr>
        <w:fldChar w:fldCharType="begin"/>
      </w:r>
      <w:r>
        <w:rPr>
          <w:rFonts w:asciiTheme="minorHAnsi" w:hAnsiTheme="minorHAnsi"/>
        </w:rPr>
        <w:instrText xml:space="preserve"> REF _Ref10810091 \r \h </w:instrText>
      </w:r>
      <w:r>
        <w:rPr>
          <w:rFonts w:asciiTheme="minorHAnsi" w:hAnsiTheme="minorHAnsi"/>
        </w:rPr>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lang w:val="cs-CZ"/>
        </w:rPr>
        <w:t xml:space="preserve"> této Smlouvy</w:t>
      </w:r>
      <w:r w:rsidRPr="00CA0696">
        <w:rPr>
          <w:rFonts w:asciiTheme="minorHAnsi" w:hAnsiTheme="minorHAnsi"/>
        </w:rPr>
        <w:t xml:space="preserve"> je </w:t>
      </w:r>
      <w:r w:rsidRPr="00CA0696">
        <w:rPr>
          <w:rFonts w:asciiTheme="minorHAnsi" w:hAnsiTheme="minorHAnsi"/>
          <w:bCs/>
        </w:rPr>
        <w:t>Poskytovatel</w:t>
      </w:r>
      <w:r w:rsidRPr="00CA0696">
        <w:rPr>
          <w:rFonts w:asciiTheme="minorHAnsi" w:hAnsiTheme="minorHAnsi"/>
        </w:rPr>
        <w:t xml:space="preserve"> povinen uhradit Objednateli smluvní pokutu ve výši </w:t>
      </w:r>
      <w:r>
        <w:rPr>
          <w:rFonts w:asciiTheme="minorHAnsi" w:hAnsiTheme="minorHAnsi"/>
          <w:lang w:val="cs-CZ"/>
        </w:rPr>
        <w:t>5</w:t>
      </w:r>
      <w:r w:rsidRPr="00CA0696">
        <w:rPr>
          <w:rFonts w:asciiTheme="minorHAnsi" w:hAnsiTheme="minorHAnsi"/>
        </w:rPr>
        <w:t>0</w:t>
      </w:r>
      <w:r w:rsidRPr="00CA0696">
        <w:rPr>
          <w:rFonts w:asciiTheme="minorHAnsi" w:hAnsiTheme="minorHAnsi"/>
          <w:lang w:val="cs-CZ"/>
        </w:rPr>
        <w:t xml:space="preserve"> </w:t>
      </w:r>
      <w:r w:rsidRPr="00CA0696">
        <w:rPr>
          <w:rFonts w:asciiTheme="minorHAnsi" w:hAnsiTheme="minorHAnsi"/>
        </w:rPr>
        <w:t>000,- Kč za každé jednotlivé porušení.</w:t>
      </w:r>
    </w:p>
    <w:p w:rsidR="00FD54B0" w:rsidRPr="00CA0696" w:rsidRDefault="00FD54B0" w:rsidP="00FD54B0">
      <w:pPr>
        <w:pStyle w:val="RLTextlnkuslovan"/>
        <w:tabs>
          <w:tab w:val="clear" w:pos="1474"/>
        </w:tabs>
        <w:spacing w:before="120" w:after="0" w:line="240" w:lineRule="auto"/>
        <w:ind w:left="0" w:firstLine="0"/>
        <w:rPr>
          <w:rFonts w:asciiTheme="minorHAnsi" w:hAnsiTheme="minorHAnsi"/>
        </w:rPr>
      </w:pPr>
      <w:r w:rsidRPr="00A10381">
        <w:rPr>
          <w:lang w:val="cs-CZ"/>
        </w:rPr>
        <w:t xml:space="preserve">V </w:t>
      </w:r>
      <w:r w:rsidRPr="00A10381">
        <w:t>případě</w:t>
      </w:r>
      <w:r w:rsidRPr="00A10381">
        <w:rPr>
          <w:lang w:val="cs-CZ"/>
        </w:rPr>
        <w:t xml:space="preserve">, že Poskytovatel poruší povinnost </w:t>
      </w:r>
      <w:r w:rsidRPr="00A10381">
        <w:t xml:space="preserve">reagovat na požadavek Objednatele nebo jím určené třetí strany a zahájit poskytování součinnosti dle </w:t>
      </w:r>
      <w:r>
        <w:rPr>
          <w:lang w:val="cs-CZ"/>
        </w:rPr>
        <w:t xml:space="preserve">čl. </w:t>
      </w:r>
      <w:r>
        <w:rPr>
          <w:lang w:val="cs-CZ"/>
        </w:rPr>
        <w:fldChar w:fldCharType="begin"/>
      </w:r>
      <w:r>
        <w:rPr>
          <w:lang w:val="cs-CZ"/>
        </w:rPr>
        <w:instrText xml:space="preserve"> REF _Ref10796817 \r \h </w:instrText>
      </w:r>
      <w:r>
        <w:rPr>
          <w:lang w:val="cs-CZ"/>
        </w:rPr>
      </w:r>
      <w:r>
        <w:rPr>
          <w:lang w:val="cs-CZ"/>
        </w:rPr>
        <w:fldChar w:fldCharType="separate"/>
      </w:r>
      <w:r>
        <w:rPr>
          <w:lang w:val="cs-CZ"/>
        </w:rPr>
        <w:t>12</w:t>
      </w:r>
      <w:r>
        <w:rPr>
          <w:lang w:val="cs-CZ"/>
        </w:rPr>
        <w:fldChar w:fldCharType="end"/>
      </w:r>
      <w:r>
        <w:rPr>
          <w:lang w:val="cs-CZ"/>
        </w:rPr>
        <w:t xml:space="preserve"> </w:t>
      </w:r>
      <w:r w:rsidRPr="00A10381">
        <w:rPr>
          <w:lang w:val="cs-CZ"/>
        </w:rPr>
        <w:t xml:space="preserve">této </w:t>
      </w:r>
      <w:r w:rsidRPr="00A10381">
        <w:t>Smlouvy nejpozději do 3 pracovních dnů ode dne doručení takovéhoto požadavku</w:t>
      </w:r>
      <w:r>
        <w:rPr>
          <w:lang w:val="cs-CZ"/>
        </w:rPr>
        <w:t xml:space="preserve"> (</w:t>
      </w:r>
      <w:r w:rsidRPr="00E800D0">
        <w:rPr>
          <w:rFonts w:asciiTheme="minorHAnsi" w:hAnsiTheme="minorHAnsi"/>
        </w:rPr>
        <w:t xml:space="preserve">po dobu </w:t>
      </w:r>
      <w:r w:rsidRPr="00E800D0">
        <w:rPr>
          <w:rFonts w:asciiTheme="minorHAnsi" w:hAnsiTheme="minorHAnsi"/>
          <w:lang w:val="cs-CZ"/>
        </w:rPr>
        <w:t>1</w:t>
      </w:r>
      <w:r w:rsidRPr="00E800D0">
        <w:rPr>
          <w:rFonts w:asciiTheme="minorHAnsi" w:hAnsiTheme="minorHAnsi"/>
        </w:rPr>
        <w:t xml:space="preserve"> měsíc po uplynutí doby trvání této Smlouvy</w:t>
      </w:r>
      <w:r>
        <w:rPr>
          <w:rFonts w:asciiTheme="minorHAnsi" w:hAnsiTheme="minorHAnsi"/>
          <w:lang w:val="cs-CZ"/>
        </w:rPr>
        <w:t>)</w:t>
      </w:r>
      <w:r w:rsidRPr="00A10381">
        <w:t>, je Objednatel oprávněn po něm požadovat smluvní pokutu ve výši</w:t>
      </w:r>
      <w:r>
        <w:rPr>
          <w:lang w:val="cs-CZ"/>
        </w:rPr>
        <w:t xml:space="preserve"> </w:t>
      </w:r>
      <w:r>
        <w:rPr>
          <w:rFonts w:asciiTheme="minorHAnsi" w:hAnsiTheme="minorHAnsi"/>
          <w:lang w:val="en-GB"/>
        </w:rPr>
        <w:t xml:space="preserve">1 000,- </w:t>
      </w:r>
      <w:proofErr w:type="spellStart"/>
      <w:r>
        <w:rPr>
          <w:rFonts w:asciiTheme="minorHAnsi" w:hAnsiTheme="minorHAnsi"/>
          <w:lang w:val="en-GB"/>
        </w:rPr>
        <w:t>Kč</w:t>
      </w:r>
      <w:proofErr w:type="spellEnd"/>
      <w:r>
        <w:rPr>
          <w:rFonts w:asciiTheme="minorHAnsi" w:hAnsiTheme="minorHAnsi"/>
          <w:lang w:val="en-GB"/>
        </w:rPr>
        <w:t xml:space="preserve"> </w:t>
      </w:r>
      <w:r w:rsidRPr="00A10381">
        <w:t>za každý i započatý den prodlení s plněním této smluvní povinnosti</w:t>
      </w:r>
      <w:r>
        <w:rPr>
          <w:lang w:val="cs-CZ"/>
        </w:rPr>
        <w:t>.</w:t>
      </w:r>
    </w:p>
    <w:p w:rsidR="00FD54B0" w:rsidRPr="005A54AD" w:rsidRDefault="00FD54B0" w:rsidP="00FD54B0">
      <w:pPr>
        <w:pStyle w:val="RLTextlnkuslovan"/>
        <w:tabs>
          <w:tab w:val="clear" w:pos="1474"/>
        </w:tabs>
        <w:spacing w:before="120" w:after="0" w:line="240" w:lineRule="auto"/>
        <w:ind w:left="0" w:firstLine="0"/>
        <w:rPr>
          <w:rFonts w:asciiTheme="minorHAnsi" w:hAnsiTheme="minorHAnsi"/>
        </w:rPr>
      </w:pPr>
      <w:r w:rsidRPr="00CA0696">
        <w:rPr>
          <w:rFonts w:asciiTheme="minorHAnsi" w:hAnsiTheme="minorHAnsi"/>
        </w:rPr>
        <w:t xml:space="preserve">V případě porušení povinností ze strany Poskytovatele dle </w:t>
      </w:r>
      <w:r>
        <w:rPr>
          <w:rFonts w:asciiTheme="minorHAnsi" w:hAnsiTheme="minorHAnsi"/>
          <w:lang w:val="cs-CZ"/>
        </w:rPr>
        <w:t xml:space="preserve">odst. </w:t>
      </w:r>
      <w:r>
        <w:rPr>
          <w:rFonts w:asciiTheme="minorHAnsi" w:hAnsiTheme="minorHAnsi"/>
          <w:lang w:val="cs-CZ"/>
        </w:rPr>
        <w:fldChar w:fldCharType="begin"/>
      </w:r>
      <w:r>
        <w:rPr>
          <w:rFonts w:asciiTheme="minorHAnsi" w:hAnsiTheme="minorHAnsi"/>
          <w:lang w:val="cs-CZ"/>
        </w:rPr>
        <w:instrText xml:space="preserve"> REF _Ref10796228 \r \h </w:instrText>
      </w:r>
      <w:r>
        <w:rPr>
          <w:rFonts w:asciiTheme="minorHAnsi" w:hAnsiTheme="minorHAnsi"/>
          <w:lang w:val="cs-CZ"/>
        </w:rPr>
      </w:r>
      <w:r>
        <w:rPr>
          <w:rFonts w:asciiTheme="minorHAnsi" w:hAnsiTheme="minorHAnsi"/>
          <w:lang w:val="cs-CZ"/>
        </w:rPr>
        <w:fldChar w:fldCharType="separate"/>
      </w:r>
      <w:r>
        <w:rPr>
          <w:rFonts w:asciiTheme="minorHAnsi" w:hAnsiTheme="minorHAnsi"/>
          <w:lang w:val="cs-CZ"/>
        </w:rPr>
        <w:t>13.3</w:t>
      </w:r>
      <w:r>
        <w:rPr>
          <w:rFonts w:asciiTheme="minorHAnsi" w:hAnsiTheme="minorHAnsi"/>
          <w:lang w:val="cs-CZ"/>
        </w:rPr>
        <w:fldChar w:fldCharType="end"/>
      </w:r>
      <w:r>
        <w:rPr>
          <w:rFonts w:asciiTheme="minorHAnsi" w:hAnsiTheme="minorHAnsi"/>
          <w:lang w:val="cs-CZ"/>
        </w:rPr>
        <w:t xml:space="preserve"> této Smlouvy</w:t>
      </w:r>
      <w:r w:rsidRPr="00CA0696">
        <w:rPr>
          <w:rFonts w:asciiTheme="minorHAnsi" w:hAnsiTheme="minorHAnsi"/>
        </w:rPr>
        <w:t xml:space="preserve"> je </w:t>
      </w:r>
      <w:r w:rsidRPr="00CA0696">
        <w:rPr>
          <w:rFonts w:asciiTheme="minorHAnsi" w:hAnsiTheme="minorHAnsi"/>
          <w:bCs/>
        </w:rPr>
        <w:t>Poskytovatel</w:t>
      </w:r>
      <w:r w:rsidRPr="00CA0696">
        <w:rPr>
          <w:rFonts w:asciiTheme="minorHAnsi" w:hAnsiTheme="minorHAnsi"/>
        </w:rPr>
        <w:t xml:space="preserve"> povinen uhradit Objednateli smluvní pokutu ve výši</w:t>
      </w:r>
      <w:r>
        <w:rPr>
          <w:rFonts w:asciiTheme="minorHAnsi" w:hAnsiTheme="minorHAnsi"/>
          <w:lang w:val="cs-CZ"/>
        </w:rPr>
        <w:t xml:space="preserve"> </w:t>
      </w:r>
      <w:r>
        <w:rPr>
          <w:rFonts w:asciiTheme="minorHAnsi" w:hAnsiTheme="minorHAnsi"/>
          <w:lang w:val="en-GB"/>
        </w:rPr>
        <w:t xml:space="preserve">5 000,- </w:t>
      </w:r>
      <w:proofErr w:type="spellStart"/>
      <w:r>
        <w:rPr>
          <w:rFonts w:asciiTheme="minorHAnsi" w:hAnsiTheme="minorHAnsi"/>
          <w:lang w:val="en-GB"/>
        </w:rPr>
        <w:t>Kč</w:t>
      </w:r>
      <w:proofErr w:type="spellEnd"/>
      <w:r>
        <w:rPr>
          <w:rFonts w:asciiTheme="minorHAnsi" w:hAnsiTheme="minorHAnsi"/>
          <w:lang w:val="en-GB"/>
        </w:rPr>
        <w:t xml:space="preserve"> </w:t>
      </w:r>
      <w:r w:rsidRPr="00CA0696">
        <w:rPr>
          <w:rFonts w:asciiTheme="minorHAnsi" w:hAnsiTheme="minorHAnsi"/>
        </w:rPr>
        <w:t>za každé jednotlivé porušení.</w:t>
      </w:r>
    </w:p>
    <w:p w:rsidR="00FD54B0" w:rsidRPr="00CA0696" w:rsidRDefault="00FD54B0" w:rsidP="00FD54B0">
      <w:pPr>
        <w:pStyle w:val="RLTextlnkuslovan"/>
        <w:tabs>
          <w:tab w:val="clear" w:pos="1474"/>
        </w:tabs>
        <w:spacing w:before="120" w:after="0" w:line="240" w:lineRule="auto"/>
        <w:ind w:left="0" w:firstLine="0"/>
        <w:rPr>
          <w:rFonts w:asciiTheme="minorHAnsi" w:hAnsiTheme="minorHAnsi"/>
        </w:rPr>
      </w:pPr>
      <w:r w:rsidRPr="00CA0696">
        <w:rPr>
          <w:rFonts w:asciiTheme="minorHAnsi" w:hAnsiTheme="minorHAnsi"/>
        </w:rPr>
        <w:t xml:space="preserve">V případě porušení povinností ze strany Poskytovatele dle </w:t>
      </w:r>
      <w:r>
        <w:rPr>
          <w:rFonts w:asciiTheme="minorHAnsi" w:hAnsiTheme="minorHAnsi"/>
          <w:lang w:val="cs-CZ"/>
        </w:rPr>
        <w:t>KL bodu „Další Podmínky“ této Smlouvy</w:t>
      </w:r>
      <w:r w:rsidRPr="00CA0696">
        <w:rPr>
          <w:rFonts w:asciiTheme="minorHAnsi" w:hAnsiTheme="minorHAnsi"/>
        </w:rPr>
        <w:t xml:space="preserve"> je </w:t>
      </w:r>
      <w:r w:rsidRPr="00CA0696">
        <w:rPr>
          <w:rFonts w:asciiTheme="minorHAnsi" w:hAnsiTheme="minorHAnsi"/>
          <w:bCs/>
        </w:rPr>
        <w:t>Poskytovatel</w:t>
      </w:r>
      <w:r w:rsidRPr="00CA0696">
        <w:rPr>
          <w:rFonts w:asciiTheme="minorHAnsi" w:hAnsiTheme="minorHAnsi"/>
        </w:rPr>
        <w:t xml:space="preserve"> povinen uhradit Objednateli smluvní pokutu ve výši</w:t>
      </w:r>
      <w:r>
        <w:rPr>
          <w:rFonts w:asciiTheme="minorHAnsi" w:hAnsiTheme="minorHAnsi"/>
          <w:lang w:val="cs-CZ"/>
        </w:rPr>
        <w:t xml:space="preserve"> </w:t>
      </w:r>
      <w:r>
        <w:rPr>
          <w:rFonts w:asciiTheme="minorHAnsi" w:hAnsiTheme="minorHAnsi"/>
          <w:lang w:val="en-GB"/>
        </w:rPr>
        <w:t xml:space="preserve">1 000,- </w:t>
      </w:r>
      <w:proofErr w:type="spellStart"/>
      <w:r>
        <w:rPr>
          <w:rFonts w:asciiTheme="minorHAnsi" w:hAnsiTheme="minorHAnsi"/>
          <w:lang w:val="en-GB"/>
        </w:rPr>
        <w:t>Kč</w:t>
      </w:r>
      <w:proofErr w:type="spellEnd"/>
      <w:r w:rsidRPr="00CA0696">
        <w:rPr>
          <w:rFonts w:asciiTheme="minorHAnsi" w:hAnsiTheme="minorHAnsi"/>
        </w:rPr>
        <w:t xml:space="preserve"> za každé jednotlivé porušení.</w:t>
      </w:r>
    </w:p>
    <w:p w:rsidR="00FD54B0" w:rsidRPr="00A36023" w:rsidRDefault="00FD54B0" w:rsidP="00FD54B0">
      <w:pPr>
        <w:pStyle w:val="RLTextlnkuslovan"/>
        <w:tabs>
          <w:tab w:val="clear" w:pos="1474"/>
        </w:tabs>
        <w:spacing w:before="120" w:after="0" w:line="240" w:lineRule="auto"/>
        <w:ind w:left="0" w:firstLine="0"/>
        <w:rPr>
          <w:rFonts w:asciiTheme="minorHAnsi" w:hAnsiTheme="minorHAnsi"/>
        </w:rPr>
      </w:pPr>
      <w:bookmarkStart w:id="2" w:name="_Ref13054509"/>
      <w:r w:rsidRPr="00E800D0">
        <w:rPr>
          <w:rFonts w:asciiTheme="minorHAnsi" w:hAnsiTheme="minorHAnsi"/>
        </w:rPr>
        <w:lastRenderedPageBreak/>
        <w:t>Každá ze smluvních stran je oprávněna požadovat náhradu škody v plné výši</w:t>
      </w:r>
      <w:r w:rsidRPr="00E800D0">
        <w:rPr>
          <w:rFonts w:asciiTheme="minorHAnsi" w:hAnsiTheme="minorHAnsi"/>
          <w:lang w:val="cs-CZ"/>
        </w:rPr>
        <w:t>, a to</w:t>
      </w:r>
      <w:r w:rsidRPr="00E800D0">
        <w:rPr>
          <w:rFonts w:asciiTheme="minorHAnsi" w:hAnsiTheme="minorHAnsi"/>
        </w:rPr>
        <w:t xml:space="preserve"> i v případě, že se jedná o porušení povinnosti, na kterou se </w:t>
      </w:r>
      <w:r w:rsidRPr="004D636B">
        <w:rPr>
          <w:rFonts w:asciiTheme="minorHAnsi" w:hAnsiTheme="minorHAnsi"/>
          <w:lang w:val="cs-CZ"/>
        </w:rPr>
        <w:t xml:space="preserve">dle této Smlouvy </w:t>
      </w:r>
      <w:r w:rsidRPr="004D636B">
        <w:rPr>
          <w:rFonts w:asciiTheme="minorHAnsi" w:hAnsiTheme="minorHAnsi"/>
        </w:rPr>
        <w:t xml:space="preserve">vztahuje </w:t>
      </w:r>
      <w:r w:rsidRPr="00A36023">
        <w:rPr>
          <w:rFonts w:asciiTheme="minorHAnsi" w:hAnsiTheme="minorHAnsi"/>
          <w:lang w:val="cs-CZ"/>
        </w:rPr>
        <w:t>smluvní pokuta nebo sleva z ceny</w:t>
      </w:r>
      <w:r w:rsidRPr="00A36023">
        <w:rPr>
          <w:rFonts w:asciiTheme="minorHAnsi" w:hAnsiTheme="minorHAnsi"/>
        </w:rPr>
        <w:t>.</w:t>
      </w:r>
      <w:bookmarkEnd w:id="2"/>
    </w:p>
    <w:p w:rsidR="00FD54B0" w:rsidRPr="003F3942" w:rsidRDefault="00FD54B0" w:rsidP="00FD54B0">
      <w:pPr>
        <w:pStyle w:val="RLTextlnkuslovan"/>
        <w:tabs>
          <w:tab w:val="clear" w:pos="1474"/>
        </w:tabs>
        <w:spacing w:before="120" w:after="0" w:line="240" w:lineRule="auto"/>
        <w:ind w:left="0" w:firstLine="0"/>
        <w:rPr>
          <w:rFonts w:asciiTheme="minorHAnsi" w:hAnsiTheme="minorHAnsi"/>
        </w:rPr>
      </w:pPr>
      <w:bookmarkStart w:id="3" w:name="_Ref13054536"/>
      <w:r w:rsidRPr="003F3942">
        <w:rPr>
          <w:rFonts w:asciiTheme="minorHAnsi" w:hAnsiTheme="minorHAnsi"/>
        </w:rPr>
        <w:t>Smluvní pokuty dle této Smlouvy jsou splatné jednadvacátý (21.) den ode dne doručení písemné výzvy oprávněné smluvní strany k jejich úhradě povinnou smluvní stranou, není-li ve výzvě uvedena lhůta delší.</w:t>
      </w:r>
      <w:bookmarkEnd w:id="3"/>
    </w:p>
    <w:p w:rsidR="00FD54B0" w:rsidRPr="005A54AD" w:rsidRDefault="00FD54B0" w:rsidP="00FD54B0">
      <w:pPr>
        <w:pStyle w:val="RLTextlnkuslovan"/>
        <w:tabs>
          <w:tab w:val="clear" w:pos="1474"/>
        </w:tabs>
        <w:spacing w:before="120" w:after="0" w:line="240" w:lineRule="auto"/>
        <w:ind w:left="0" w:firstLine="0"/>
        <w:rPr>
          <w:rFonts w:asciiTheme="minorHAnsi" w:hAnsiTheme="minorHAnsi"/>
        </w:rPr>
      </w:pPr>
      <w:r w:rsidRPr="00E800D0">
        <w:rPr>
          <w:rFonts w:asciiTheme="minorHAnsi" w:hAnsiTheme="minorHAnsi"/>
        </w:rPr>
        <w:t>Ustanovení</w:t>
      </w:r>
      <w:r w:rsidRPr="00E800D0">
        <w:rPr>
          <w:rFonts w:asciiTheme="minorHAnsi" w:hAnsiTheme="minorHAnsi"/>
          <w:lang w:val="cs-CZ"/>
        </w:rPr>
        <w:t xml:space="preserve"> odst.</w:t>
      </w:r>
      <w:r>
        <w:rPr>
          <w:rFonts w:asciiTheme="minorHAnsi" w:hAnsiTheme="minorHAnsi"/>
          <w:lang w:val="cs-CZ"/>
        </w:rPr>
        <w:t xml:space="preserve"> 10.9 a 10.10</w:t>
      </w:r>
      <w:r w:rsidRPr="00E800D0">
        <w:rPr>
          <w:rFonts w:asciiTheme="minorHAnsi" w:hAnsiTheme="minorHAnsi"/>
          <w:lang w:val="cs-CZ"/>
        </w:rPr>
        <w:t xml:space="preserve"> tohoto článku se použijí také pro smluvní pokuty nebo slevy z ceny stanovené na jiných místech této Smlouvy nebo v jejích přílohách.</w:t>
      </w:r>
    </w:p>
    <w:p w:rsidR="00FD54B0" w:rsidRDefault="00FD54B0" w:rsidP="00FD54B0">
      <w:pPr>
        <w:pStyle w:val="RLTextlnkuslovan"/>
        <w:numPr>
          <w:ilvl w:val="0"/>
          <w:numId w:val="0"/>
        </w:numPr>
        <w:rPr>
          <w:lang w:val="cs-CZ" w:eastAsia="en-US"/>
        </w:rPr>
      </w:pPr>
    </w:p>
    <w:p w:rsidR="0077473A" w:rsidRDefault="0077473A"/>
    <w:sectPr w:rsidR="0077473A" w:rsidSect="00F0500B">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678"/>
    <w:multiLevelType w:val="hybridMultilevel"/>
    <w:tmpl w:val="B5A036EA"/>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B5E7EF3"/>
    <w:multiLevelType w:val="hybridMultilevel"/>
    <w:tmpl w:val="80CA6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62536BD"/>
    <w:multiLevelType w:val="hybridMultilevel"/>
    <w:tmpl w:val="4E78AAF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B0"/>
    <w:rsid w:val="0077473A"/>
    <w:rsid w:val="00F769B1"/>
    <w:rsid w:val="00FD5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FD54B0"/>
    <w:pPr>
      <w:numPr>
        <w:ilvl w:val="1"/>
        <w:numId w:val="1"/>
      </w:numPr>
      <w:spacing w:after="120" w:line="280" w:lineRule="exact"/>
      <w:jc w:val="both"/>
    </w:pPr>
    <w:rPr>
      <w:rFonts w:ascii="Calibri" w:eastAsia="Times New Roman" w:hAnsi="Calibri" w:cs="Times New Roman"/>
      <w:szCs w:val="24"/>
      <w:lang w:val="x-none" w:eastAsia="x-none"/>
    </w:rPr>
  </w:style>
  <w:style w:type="paragraph" w:customStyle="1" w:styleId="RLlneksmlouvy">
    <w:name w:val="RL Článek smlouvy"/>
    <w:basedOn w:val="Normln"/>
    <w:next w:val="RLTextlnkuslovan"/>
    <w:link w:val="RLlneksmlouvyChar"/>
    <w:qFormat/>
    <w:rsid w:val="00FD54B0"/>
    <w:pPr>
      <w:keepNext/>
      <w:numPr>
        <w:numId w:val="1"/>
      </w:numPr>
      <w:suppressAutoHyphens/>
      <w:spacing w:before="360" w:after="120" w:line="280" w:lineRule="exact"/>
      <w:jc w:val="both"/>
      <w:outlineLvl w:val="0"/>
    </w:pPr>
    <w:rPr>
      <w:rFonts w:ascii="Calibri" w:eastAsia="Times New Roman" w:hAnsi="Calibri" w:cs="Times New Roman"/>
      <w:b/>
      <w:szCs w:val="24"/>
      <w:lang w:val="x-none"/>
    </w:rPr>
  </w:style>
  <w:style w:type="character" w:customStyle="1" w:styleId="RLlneksmlouvyChar">
    <w:name w:val="RL Článek smlouvy Char"/>
    <w:link w:val="RLlneksmlouvy"/>
    <w:rsid w:val="00FD54B0"/>
    <w:rPr>
      <w:rFonts w:ascii="Calibri" w:eastAsia="Times New Roman" w:hAnsi="Calibri" w:cs="Times New Roman"/>
      <w:b/>
      <w:szCs w:val="24"/>
      <w:lang w:val="x-none"/>
    </w:rPr>
  </w:style>
  <w:style w:type="paragraph" w:customStyle="1" w:styleId="RLProhlensmluvnchstran">
    <w:name w:val="RL Prohlášení smluvních stran"/>
    <w:basedOn w:val="Normln"/>
    <w:link w:val="RLProhlensmluvnchstranChar"/>
    <w:rsid w:val="00FD54B0"/>
    <w:pPr>
      <w:spacing w:after="120" w:line="280" w:lineRule="exact"/>
      <w:jc w:val="center"/>
    </w:pPr>
    <w:rPr>
      <w:rFonts w:ascii="Calibri" w:eastAsia="Times New Roman" w:hAnsi="Calibri" w:cs="Times New Roman"/>
      <w:b/>
      <w:szCs w:val="24"/>
      <w:lang w:val="x-none" w:eastAsia="x-none"/>
    </w:rPr>
  </w:style>
  <w:style w:type="character" w:styleId="Hypertextovodkaz">
    <w:name w:val="Hyperlink"/>
    <w:uiPriority w:val="99"/>
    <w:qFormat/>
    <w:rsid w:val="00FD54B0"/>
    <w:rPr>
      <w:color w:val="0000FF"/>
      <w:u w:val="single"/>
    </w:rPr>
  </w:style>
  <w:style w:type="character" w:customStyle="1" w:styleId="RLProhlensmluvnchstranChar">
    <w:name w:val="RL Prohlášení smluvních stran Char"/>
    <w:link w:val="RLProhlensmluvnchstran"/>
    <w:rsid w:val="00FD54B0"/>
    <w:rPr>
      <w:rFonts w:ascii="Calibri" w:eastAsia="Times New Roman" w:hAnsi="Calibri" w:cs="Times New Roman"/>
      <w:b/>
      <w:szCs w:val="24"/>
      <w:lang w:val="x-none" w:eastAsia="x-none"/>
    </w:rPr>
  </w:style>
  <w:style w:type="character" w:customStyle="1" w:styleId="RLTextlnkuslovanChar">
    <w:name w:val="RL Text článku číslovaný Char"/>
    <w:link w:val="RLTextlnkuslovan"/>
    <w:rsid w:val="00FD54B0"/>
    <w:rPr>
      <w:rFonts w:ascii="Calibri" w:eastAsia="Times New Roman" w:hAnsi="Calibri" w:cs="Times New Roman"/>
      <w:szCs w:val="24"/>
      <w:lang w:val="x-none" w:eastAsia="x-none"/>
    </w:rPr>
  </w:style>
  <w:style w:type="paragraph" w:styleId="Zkladntext">
    <w:name w:val="Body Text"/>
    <w:basedOn w:val="Normln"/>
    <w:link w:val="ZkladntextChar"/>
    <w:uiPriority w:val="99"/>
    <w:rsid w:val="00FD54B0"/>
    <w:pPr>
      <w:spacing w:after="120" w:line="280" w:lineRule="exact"/>
    </w:pPr>
    <w:rPr>
      <w:rFonts w:ascii="Garamond" w:eastAsia="Times New Roman" w:hAnsi="Garamond" w:cs="Times New Roman"/>
      <w:sz w:val="24"/>
      <w:szCs w:val="24"/>
      <w:lang w:val="x-none" w:eastAsia="x-none"/>
    </w:rPr>
  </w:style>
  <w:style w:type="character" w:customStyle="1" w:styleId="ZkladntextChar">
    <w:name w:val="Základní text Char"/>
    <w:basedOn w:val="Standardnpsmoodstavce"/>
    <w:link w:val="Zkladntext"/>
    <w:uiPriority w:val="99"/>
    <w:rsid w:val="00FD54B0"/>
    <w:rPr>
      <w:rFonts w:ascii="Garamond" w:eastAsia="Times New Roman" w:hAnsi="Garamond" w:cs="Times New Roman"/>
      <w:sz w:val="24"/>
      <w:szCs w:val="24"/>
      <w:lang w:val="x-none" w:eastAsia="x-none"/>
    </w:rPr>
  </w:style>
  <w:style w:type="paragraph" w:styleId="Odstavecseseznamem">
    <w:name w:val="List Paragraph"/>
    <w:basedOn w:val="Normln"/>
    <w:link w:val="OdstavecseseznamemChar"/>
    <w:qFormat/>
    <w:rsid w:val="00FD54B0"/>
    <w:pPr>
      <w:spacing w:after="0" w:line="240" w:lineRule="auto"/>
      <w:ind w:left="720"/>
    </w:pPr>
    <w:rPr>
      <w:rFonts w:ascii="Calibri" w:eastAsia="Calibri" w:hAnsi="Calibri" w:cs="Times New Roman"/>
      <w:lang w:val="x-none" w:eastAsia="x-none"/>
    </w:rPr>
  </w:style>
  <w:style w:type="paragraph" w:customStyle="1" w:styleId="Default">
    <w:name w:val="Default"/>
    <w:rsid w:val="00FD54B0"/>
    <w:pPr>
      <w:autoSpaceDE w:val="0"/>
      <w:autoSpaceDN w:val="0"/>
      <w:adjustRightInd w:val="0"/>
      <w:spacing w:after="0" w:line="240" w:lineRule="auto"/>
    </w:pPr>
    <w:rPr>
      <w:rFonts w:ascii="Calibri" w:eastAsia="Calibri" w:hAnsi="Calibri" w:cs="Calibri"/>
      <w:color w:val="000000"/>
      <w:sz w:val="24"/>
      <w:szCs w:val="24"/>
      <w:lang w:eastAsia="cs-CZ"/>
    </w:rPr>
  </w:style>
  <w:style w:type="character" w:customStyle="1" w:styleId="OdstavecseseznamemChar">
    <w:name w:val="Odstavec se seznamem Char"/>
    <w:link w:val="Odstavecseseznamem"/>
    <w:rsid w:val="00FD54B0"/>
    <w:rPr>
      <w:rFonts w:ascii="Calibri" w:eastAsia="Calibri"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FD54B0"/>
    <w:pPr>
      <w:numPr>
        <w:ilvl w:val="1"/>
        <w:numId w:val="1"/>
      </w:numPr>
      <w:spacing w:after="120" w:line="280" w:lineRule="exact"/>
      <w:jc w:val="both"/>
    </w:pPr>
    <w:rPr>
      <w:rFonts w:ascii="Calibri" w:eastAsia="Times New Roman" w:hAnsi="Calibri" w:cs="Times New Roman"/>
      <w:szCs w:val="24"/>
      <w:lang w:val="x-none" w:eastAsia="x-none"/>
    </w:rPr>
  </w:style>
  <w:style w:type="paragraph" w:customStyle="1" w:styleId="RLlneksmlouvy">
    <w:name w:val="RL Článek smlouvy"/>
    <w:basedOn w:val="Normln"/>
    <w:next w:val="RLTextlnkuslovan"/>
    <w:link w:val="RLlneksmlouvyChar"/>
    <w:qFormat/>
    <w:rsid w:val="00FD54B0"/>
    <w:pPr>
      <w:keepNext/>
      <w:numPr>
        <w:numId w:val="1"/>
      </w:numPr>
      <w:suppressAutoHyphens/>
      <w:spacing w:before="360" w:after="120" w:line="280" w:lineRule="exact"/>
      <w:jc w:val="both"/>
      <w:outlineLvl w:val="0"/>
    </w:pPr>
    <w:rPr>
      <w:rFonts w:ascii="Calibri" w:eastAsia="Times New Roman" w:hAnsi="Calibri" w:cs="Times New Roman"/>
      <w:b/>
      <w:szCs w:val="24"/>
      <w:lang w:val="x-none"/>
    </w:rPr>
  </w:style>
  <w:style w:type="character" w:customStyle="1" w:styleId="RLlneksmlouvyChar">
    <w:name w:val="RL Článek smlouvy Char"/>
    <w:link w:val="RLlneksmlouvy"/>
    <w:rsid w:val="00FD54B0"/>
    <w:rPr>
      <w:rFonts w:ascii="Calibri" w:eastAsia="Times New Roman" w:hAnsi="Calibri" w:cs="Times New Roman"/>
      <w:b/>
      <w:szCs w:val="24"/>
      <w:lang w:val="x-none"/>
    </w:rPr>
  </w:style>
  <w:style w:type="paragraph" w:customStyle="1" w:styleId="RLProhlensmluvnchstran">
    <w:name w:val="RL Prohlášení smluvních stran"/>
    <w:basedOn w:val="Normln"/>
    <w:link w:val="RLProhlensmluvnchstranChar"/>
    <w:rsid w:val="00FD54B0"/>
    <w:pPr>
      <w:spacing w:after="120" w:line="280" w:lineRule="exact"/>
      <w:jc w:val="center"/>
    </w:pPr>
    <w:rPr>
      <w:rFonts w:ascii="Calibri" w:eastAsia="Times New Roman" w:hAnsi="Calibri" w:cs="Times New Roman"/>
      <w:b/>
      <w:szCs w:val="24"/>
      <w:lang w:val="x-none" w:eastAsia="x-none"/>
    </w:rPr>
  </w:style>
  <w:style w:type="character" w:styleId="Hypertextovodkaz">
    <w:name w:val="Hyperlink"/>
    <w:uiPriority w:val="99"/>
    <w:qFormat/>
    <w:rsid w:val="00FD54B0"/>
    <w:rPr>
      <w:color w:val="0000FF"/>
      <w:u w:val="single"/>
    </w:rPr>
  </w:style>
  <w:style w:type="character" w:customStyle="1" w:styleId="RLProhlensmluvnchstranChar">
    <w:name w:val="RL Prohlášení smluvních stran Char"/>
    <w:link w:val="RLProhlensmluvnchstran"/>
    <w:rsid w:val="00FD54B0"/>
    <w:rPr>
      <w:rFonts w:ascii="Calibri" w:eastAsia="Times New Roman" w:hAnsi="Calibri" w:cs="Times New Roman"/>
      <w:b/>
      <w:szCs w:val="24"/>
      <w:lang w:val="x-none" w:eastAsia="x-none"/>
    </w:rPr>
  </w:style>
  <w:style w:type="character" w:customStyle="1" w:styleId="RLTextlnkuslovanChar">
    <w:name w:val="RL Text článku číslovaný Char"/>
    <w:link w:val="RLTextlnkuslovan"/>
    <w:rsid w:val="00FD54B0"/>
    <w:rPr>
      <w:rFonts w:ascii="Calibri" w:eastAsia="Times New Roman" w:hAnsi="Calibri" w:cs="Times New Roman"/>
      <w:szCs w:val="24"/>
      <w:lang w:val="x-none" w:eastAsia="x-none"/>
    </w:rPr>
  </w:style>
  <w:style w:type="paragraph" w:styleId="Zkladntext">
    <w:name w:val="Body Text"/>
    <w:basedOn w:val="Normln"/>
    <w:link w:val="ZkladntextChar"/>
    <w:uiPriority w:val="99"/>
    <w:rsid w:val="00FD54B0"/>
    <w:pPr>
      <w:spacing w:after="120" w:line="280" w:lineRule="exact"/>
    </w:pPr>
    <w:rPr>
      <w:rFonts w:ascii="Garamond" w:eastAsia="Times New Roman" w:hAnsi="Garamond" w:cs="Times New Roman"/>
      <w:sz w:val="24"/>
      <w:szCs w:val="24"/>
      <w:lang w:val="x-none" w:eastAsia="x-none"/>
    </w:rPr>
  </w:style>
  <w:style w:type="character" w:customStyle="1" w:styleId="ZkladntextChar">
    <w:name w:val="Základní text Char"/>
    <w:basedOn w:val="Standardnpsmoodstavce"/>
    <w:link w:val="Zkladntext"/>
    <w:uiPriority w:val="99"/>
    <w:rsid w:val="00FD54B0"/>
    <w:rPr>
      <w:rFonts w:ascii="Garamond" w:eastAsia="Times New Roman" w:hAnsi="Garamond" w:cs="Times New Roman"/>
      <w:sz w:val="24"/>
      <w:szCs w:val="24"/>
      <w:lang w:val="x-none" w:eastAsia="x-none"/>
    </w:rPr>
  </w:style>
  <w:style w:type="paragraph" w:styleId="Odstavecseseznamem">
    <w:name w:val="List Paragraph"/>
    <w:basedOn w:val="Normln"/>
    <w:link w:val="OdstavecseseznamemChar"/>
    <w:qFormat/>
    <w:rsid w:val="00FD54B0"/>
    <w:pPr>
      <w:spacing w:after="0" w:line="240" w:lineRule="auto"/>
      <w:ind w:left="720"/>
    </w:pPr>
    <w:rPr>
      <w:rFonts w:ascii="Calibri" w:eastAsia="Calibri" w:hAnsi="Calibri" w:cs="Times New Roman"/>
      <w:lang w:val="x-none" w:eastAsia="x-none"/>
    </w:rPr>
  </w:style>
  <w:style w:type="paragraph" w:customStyle="1" w:styleId="Default">
    <w:name w:val="Default"/>
    <w:rsid w:val="00FD54B0"/>
    <w:pPr>
      <w:autoSpaceDE w:val="0"/>
      <w:autoSpaceDN w:val="0"/>
      <w:adjustRightInd w:val="0"/>
      <w:spacing w:after="0" w:line="240" w:lineRule="auto"/>
    </w:pPr>
    <w:rPr>
      <w:rFonts w:ascii="Calibri" w:eastAsia="Calibri" w:hAnsi="Calibri" w:cs="Calibri"/>
      <w:color w:val="000000"/>
      <w:sz w:val="24"/>
      <w:szCs w:val="24"/>
      <w:lang w:eastAsia="cs-CZ"/>
    </w:rPr>
  </w:style>
  <w:style w:type="character" w:customStyle="1" w:styleId="OdstavecseseznamemChar">
    <w:name w:val="Odstavec se seznamem Char"/>
    <w:link w:val="Odstavecseseznamem"/>
    <w:rsid w:val="00FD54B0"/>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6958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Kubíček Tomáš</dc:creator>
  <cp:lastModifiedBy>Šemorová Jana</cp:lastModifiedBy>
  <cp:revision>2</cp:revision>
  <dcterms:created xsi:type="dcterms:W3CDTF">2019-09-26T14:46:00Z</dcterms:created>
  <dcterms:modified xsi:type="dcterms:W3CDTF">2019-09-26T14:46:00Z</dcterms:modified>
</cp:coreProperties>
</file>