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7C" w:rsidRDefault="00FA467C" w:rsidP="00980983">
      <w:pPr>
        <w:spacing w:after="0"/>
        <w:jc w:val="center"/>
        <w:rPr>
          <w:b/>
          <w:sz w:val="28"/>
          <w:szCs w:val="28"/>
        </w:rPr>
      </w:pPr>
      <w:r>
        <w:rPr>
          <w:b/>
          <w:sz w:val="28"/>
          <w:szCs w:val="28"/>
        </w:rPr>
        <w:t>Poptávkové řízení</w:t>
      </w:r>
    </w:p>
    <w:p w:rsidR="00980983" w:rsidRDefault="00980983" w:rsidP="00980983">
      <w:pPr>
        <w:spacing w:after="0"/>
        <w:jc w:val="center"/>
        <w:rPr>
          <w:b/>
          <w:sz w:val="28"/>
          <w:szCs w:val="28"/>
        </w:rPr>
      </w:pPr>
      <w:r w:rsidRPr="00F36BC7">
        <w:rPr>
          <w:b/>
          <w:sz w:val="28"/>
          <w:szCs w:val="28"/>
        </w:rPr>
        <w:t>Tvorba webových stránek</w:t>
      </w:r>
    </w:p>
    <w:p w:rsidR="003F10B2" w:rsidRPr="003F10B2" w:rsidRDefault="003F10B2" w:rsidP="00980983">
      <w:pPr>
        <w:spacing w:after="0"/>
        <w:jc w:val="center"/>
        <w:rPr>
          <w:sz w:val="24"/>
          <w:szCs w:val="24"/>
        </w:rPr>
      </w:pPr>
      <w:r>
        <w:rPr>
          <w:sz w:val="24"/>
          <w:szCs w:val="24"/>
        </w:rPr>
        <w:t>č.j. 41/001024/VULHM/2018</w:t>
      </w:r>
    </w:p>
    <w:p w:rsidR="00980983" w:rsidRPr="00B05290" w:rsidRDefault="00980983" w:rsidP="004A0B72">
      <w:pPr>
        <w:spacing w:after="0"/>
        <w:rPr>
          <w:b/>
        </w:rPr>
      </w:pPr>
      <w:r w:rsidRPr="00B05290">
        <w:rPr>
          <w:b/>
        </w:rPr>
        <w:t>Zadavatel:</w:t>
      </w:r>
    </w:p>
    <w:p w:rsidR="004A0B72" w:rsidRDefault="00980983" w:rsidP="004A0B72">
      <w:pPr>
        <w:spacing w:after="0"/>
      </w:pPr>
      <w:r w:rsidRPr="00B05290">
        <w:t>Výzkumný ústav lesního hospodářství a myslivosti, v. v. i.</w:t>
      </w:r>
    </w:p>
    <w:p w:rsidR="00980983" w:rsidRPr="00B05290" w:rsidRDefault="00980983" w:rsidP="004A0B72">
      <w:pPr>
        <w:spacing w:after="0"/>
      </w:pPr>
      <w:r>
        <w:t xml:space="preserve">IČ: </w:t>
      </w:r>
      <w:r w:rsidRPr="00582EC7">
        <w:t>00020702</w:t>
      </w:r>
    </w:p>
    <w:p w:rsidR="00FB0743" w:rsidRDefault="00FB0743" w:rsidP="004A0B72">
      <w:pPr>
        <w:spacing w:after="0"/>
      </w:pPr>
      <w:r>
        <w:t>Strnady 136, 252 02 Jíloviště</w:t>
      </w:r>
    </w:p>
    <w:p w:rsidR="00FB0743" w:rsidRDefault="00FB0743" w:rsidP="004A0B72">
      <w:pPr>
        <w:spacing w:after="0"/>
      </w:pPr>
    </w:p>
    <w:p w:rsidR="00015DB8" w:rsidRDefault="00476501" w:rsidP="004A0B72">
      <w:pPr>
        <w:spacing w:after="0"/>
      </w:pPr>
      <w:r>
        <w:rPr>
          <w:b/>
        </w:rPr>
        <w:t>Zadání</w:t>
      </w:r>
    </w:p>
    <w:p w:rsidR="00980983" w:rsidRDefault="00476501" w:rsidP="004A0B72">
      <w:pPr>
        <w:spacing w:after="0"/>
      </w:pPr>
      <w:r>
        <w:rPr>
          <w:b/>
        </w:rPr>
        <w:t>T</w:t>
      </w:r>
      <w:r w:rsidR="00980983" w:rsidRPr="00B05290">
        <w:rPr>
          <w:b/>
        </w:rPr>
        <w:t>vorb</w:t>
      </w:r>
      <w:r>
        <w:rPr>
          <w:b/>
        </w:rPr>
        <w:t>a</w:t>
      </w:r>
      <w:r w:rsidR="00980983" w:rsidRPr="00B05290">
        <w:rPr>
          <w:b/>
        </w:rPr>
        <w:t xml:space="preserve"> webových stránek</w:t>
      </w:r>
      <w:r w:rsidR="00A01FC9">
        <w:rPr>
          <w:b/>
        </w:rPr>
        <w:t xml:space="preserve"> VÚLHM, v.v.i.</w:t>
      </w:r>
      <w:r w:rsidR="00980983" w:rsidRPr="00B05290">
        <w:rPr>
          <w:b/>
        </w:rPr>
        <w:t xml:space="preserve"> </w:t>
      </w:r>
      <w:r w:rsidR="00980983" w:rsidRPr="00B05290">
        <w:t>(</w:t>
      </w:r>
      <w:r w:rsidR="006A63F4" w:rsidRPr="002B494A">
        <w:rPr>
          <w:rFonts w:ascii="Calibri" w:hAnsi="Calibri" w:cs="Calibri"/>
        </w:rPr>
        <w:t>vytvoření</w:t>
      </w:r>
      <w:r w:rsidR="006A63F4">
        <w:rPr>
          <w:rFonts w:ascii="Calibri" w:hAnsi="Calibri" w:cs="Calibri"/>
        </w:rPr>
        <w:t xml:space="preserve"> a dodání nového prostředí, </w:t>
      </w:r>
      <w:r w:rsidR="00980983" w:rsidRPr="00B05290">
        <w:t>konverz</w:t>
      </w:r>
      <w:r w:rsidR="003F10B2">
        <w:t>e</w:t>
      </w:r>
      <w:r w:rsidR="00980983" w:rsidRPr="00B05290">
        <w:t xml:space="preserve"> </w:t>
      </w:r>
      <w:r w:rsidR="00AE70E6">
        <w:t xml:space="preserve">obsahu </w:t>
      </w:r>
      <w:r w:rsidR="00980983" w:rsidRPr="00B05290">
        <w:t xml:space="preserve">stávajících webových stránek </w:t>
      </w:r>
      <w:hyperlink r:id="rId7" w:history="1">
        <w:r w:rsidR="00980983" w:rsidRPr="00133A53">
          <w:rPr>
            <w:rStyle w:val="Hypertextovodkaz"/>
          </w:rPr>
          <w:t>www.vulhm.cz</w:t>
        </w:r>
      </w:hyperlink>
      <w:r w:rsidR="00980983">
        <w:t xml:space="preserve"> </w:t>
      </w:r>
      <w:r w:rsidR="00980983" w:rsidRPr="00B05290">
        <w:t xml:space="preserve">do </w:t>
      </w:r>
      <w:r w:rsidR="00980983">
        <w:t>nového redakčního systému)</w:t>
      </w:r>
      <w:r w:rsidR="00F73DF8">
        <w:t>, v české a anglické verzi.</w:t>
      </w:r>
    </w:p>
    <w:p w:rsidR="004A0B72" w:rsidRDefault="004A0B72" w:rsidP="004A0B72">
      <w:pPr>
        <w:spacing w:after="0"/>
        <w:rPr>
          <w:b/>
        </w:rPr>
      </w:pPr>
    </w:p>
    <w:p w:rsidR="00980983" w:rsidRPr="004A0B72" w:rsidRDefault="00980983" w:rsidP="003F10B2">
      <w:pPr>
        <w:spacing w:after="0"/>
        <w:jc w:val="center"/>
        <w:rPr>
          <w:b/>
          <w:sz w:val="28"/>
          <w:szCs w:val="28"/>
        </w:rPr>
      </w:pPr>
      <w:r w:rsidRPr="004A0B72">
        <w:rPr>
          <w:b/>
          <w:sz w:val="28"/>
          <w:szCs w:val="28"/>
        </w:rPr>
        <w:t>Vymezení předmětu zakázky</w:t>
      </w:r>
    </w:p>
    <w:p w:rsidR="00980983" w:rsidRPr="00B05290" w:rsidRDefault="004A0B72" w:rsidP="004A0B72">
      <w:pPr>
        <w:spacing w:after="0"/>
        <w:rPr>
          <w:b/>
        </w:rPr>
      </w:pPr>
      <w:r>
        <w:rPr>
          <w:b/>
        </w:rPr>
        <w:t xml:space="preserve">1) </w:t>
      </w:r>
      <w:r w:rsidR="00980983" w:rsidRPr="00B05290">
        <w:rPr>
          <w:b/>
        </w:rPr>
        <w:t xml:space="preserve">Zadání – Etapy </w:t>
      </w:r>
    </w:p>
    <w:tbl>
      <w:tblPr>
        <w:tblStyle w:val="Mkatabulky"/>
        <w:tblW w:w="10060" w:type="dxa"/>
        <w:tblLook w:val="04A0" w:firstRow="1" w:lastRow="0" w:firstColumn="1" w:lastColumn="0" w:noHBand="0" w:noVBand="1"/>
      </w:tblPr>
      <w:tblGrid>
        <w:gridCol w:w="6958"/>
        <w:gridCol w:w="1686"/>
        <w:gridCol w:w="1416"/>
      </w:tblGrid>
      <w:tr w:rsidR="00980983" w:rsidTr="003F10B2">
        <w:tc>
          <w:tcPr>
            <w:tcW w:w="6958" w:type="dxa"/>
          </w:tcPr>
          <w:p w:rsidR="00980983" w:rsidRPr="007B080F" w:rsidRDefault="00980983" w:rsidP="004A0B72">
            <w:pPr>
              <w:rPr>
                <w:b/>
              </w:rPr>
            </w:pPr>
            <w:r w:rsidRPr="007B080F">
              <w:rPr>
                <w:b/>
              </w:rPr>
              <w:t>Etapa</w:t>
            </w:r>
          </w:p>
        </w:tc>
        <w:tc>
          <w:tcPr>
            <w:tcW w:w="1686" w:type="dxa"/>
          </w:tcPr>
          <w:p w:rsidR="00980983" w:rsidRPr="007B080F" w:rsidRDefault="00980983" w:rsidP="004A0B72">
            <w:pPr>
              <w:rPr>
                <w:b/>
              </w:rPr>
            </w:pPr>
            <w:r w:rsidRPr="007B080F">
              <w:rPr>
                <w:b/>
              </w:rPr>
              <w:t>Doba realizace</w:t>
            </w:r>
            <w:r w:rsidR="00FB0743">
              <w:rPr>
                <w:b/>
              </w:rPr>
              <w:t xml:space="preserve"> </w:t>
            </w:r>
          </w:p>
        </w:tc>
        <w:tc>
          <w:tcPr>
            <w:tcW w:w="1416" w:type="dxa"/>
          </w:tcPr>
          <w:p w:rsidR="00980983" w:rsidRPr="007B080F" w:rsidRDefault="00980983" w:rsidP="004A0B72">
            <w:pPr>
              <w:rPr>
                <w:b/>
              </w:rPr>
            </w:pPr>
            <w:r w:rsidRPr="007B080F">
              <w:rPr>
                <w:b/>
              </w:rPr>
              <w:t>cena</w:t>
            </w:r>
            <w:r w:rsidR="00291DBC">
              <w:rPr>
                <w:b/>
              </w:rPr>
              <w:t xml:space="preserve"> v Kč, </w:t>
            </w:r>
            <w:r w:rsidR="003F10B2">
              <w:rPr>
                <w:b/>
              </w:rPr>
              <w:t>(</w:t>
            </w:r>
            <w:r w:rsidR="00291DBC">
              <w:rPr>
                <w:b/>
              </w:rPr>
              <w:t>bez DPH</w:t>
            </w:r>
            <w:r w:rsidR="003F10B2">
              <w:rPr>
                <w:b/>
              </w:rPr>
              <w:t xml:space="preserve"> pro plátce DPH)</w:t>
            </w:r>
          </w:p>
        </w:tc>
      </w:tr>
      <w:tr w:rsidR="00980983" w:rsidTr="003F10B2">
        <w:tc>
          <w:tcPr>
            <w:tcW w:w="6958" w:type="dxa"/>
          </w:tcPr>
          <w:p w:rsidR="00980983" w:rsidRDefault="00980983" w:rsidP="004A0B72">
            <w:r>
              <w:t>Zahájení prací</w:t>
            </w:r>
            <w:r w:rsidR="009C7E21">
              <w:t xml:space="preserve"> </w:t>
            </w:r>
            <w:r w:rsidR="008027F7">
              <w:t>–</w:t>
            </w:r>
            <w:r w:rsidR="009C7E21">
              <w:t xml:space="preserve"> </w:t>
            </w:r>
            <w:r w:rsidR="008027F7">
              <w:t>nejpozději do 5 kalendářních dnů po nabytí účinnosti smlouvy</w:t>
            </w:r>
          </w:p>
        </w:tc>
        <w:tc>
          <w:tcPr>
            <w:tcW w:w="1686" w:type="dxa"/>
            <w:shd w:val="clear" w:color="auto" w:fill="000000" w:themeFill="text1"/>
          </w:tcPr>
          <w:p w:rsidR="00980983" w:rsidRDefault="00980983" w:rsidP="004A0B72"/>
        </w:tc>
        <w:tc>
          <w:tcPr>
            <w:tcW w:w="1416" w:type="dxa"/>
            <w:shd w:val="clear" w:color="auto" w:fill="000000" w:themeFill="text1"/>
          </w:tcPr>
          <w:p w:rsidR="00980983" w:rsidRDefault="00980983" w:rsidP="004A0B72"/>
        </w:tc>
      </w:tr>
      <w:tr w:rsidR="00980983" w:rsidTr="003F10B2">
        <w:tc>
          <w:tcPr>
            <w:tcW w:w="6958" w:type="dxa"/>
          </w:tcPr>
          <w:p w:rsidR="00980983" w:rsidRPr="00254022" w:rsidRDefault="0020112E" w:rsidP="004A0B72">
            <w:r w:rsidRPr="00254022">
              <w:t xml:space="preserve">Vytvoření HTML šablony a instalace </w:t>
            </w:r>
            <w:r>
              <w:t>r</w:t>
            </w:r>
            <w:r w:rsidRPr="00254022">
              <w:t>edakčního systému,</w:t>
            </w:r>
            <w:r>
              <w:t xml:space="preserve"> </w:t>
            </w:r>
            <w:r w:rsidRPr="00254022">
              <w:t>včetně konfigurace</w:t>
            </w:r>
          </w:p>
        </w:tc>
        <w:tc>
          <w:tcPr>
            <w:tcW w:w="1686" w:type="dxa"/>
          </w:tcPr>
          <w:p w:rsidR="00980983" w:rsidRDefault="00980983" w:rsidP="004A0B72"/>
        </w:tc>
        <w:tc>
          <w:tcPr>
            <w:tcW w:w="1416" w:type="dxa"/>
          </w:tcPr>
          <w:p w:rsidR="00980983" w:rsidRDefault="00980983" w:rsidP="004A0B72"/>
        </w:tc>
      </w:tr>
      <w:tr w:rsidR="0020112E" w:rsidTr="003F10B2">
        <w:tc>
          <w:tcPr>
            <w:tcW w:w="6958" w:type="dxa"/>
          </w:tcPr>
          <w:p w:rsidR="0020112E" w:rsidRPr="00254022" w:rsidRDefault="0020112E" w:rsidP="00FA467C">
            <w:r w:rsidRPr="00254022">
              <w:t xml:space="preserve">Grafické práce – responzivní design, redakce textů, </w:t>
            </w:r>
            <w:r>
              <w:t xml:space="preserve">unifikace stránek </w:t>
            </w:r>
            <w:r w:rsidR="00FA467C">
              <w:t>pracovišť zadavatele</w:t>
            </w:r>
            <w:r>
              <w:t xml:space="preserve">, </w:t>
            </w:r>
            <w:r w:rsidRPr="00254022">
              <w:t>fonty písma, ikony, navigační systém, formátováni</w:t>
            </w:r>
            <w:r>
              <w:t xml:space="preserve"> </w:t>
            </w:r>
            <w:r w:rsidRPr="00254022">
              <w:t>příspěvků atd.</w:t>
            </w:r>
          </w:p>
        </w:tc>
        <w:tc>
          <w:tcPr>
            <w:tcW w:w="1686" w:type="dxa"/>
          </w:tcPr>
          <w:p w:rsidR="0020112E" w:rsidRDefault="0020112E" w:rsidP="004A0B72"/>
        </w:tc>
        <w:tc>
          <w:tcPr>
            <w:tcW w:w="1416" w:type="dxa"/>
          </w:tcPr>
          <w:p w:rsidR="0020112E" w:rsidRDefault="0020112E" w:rsidP="004A0B72"/>
        </w:tc>
      </w:tr>
      <w:tr w:rsidR="00BF3394" w:rsidTr="006F496B">
        <w:tc>
          <w:tcPr>
            <w:tcW w:w="6958" w:type="dxa"/>
          </w:tcPr>
          <w:p w:rsidR="00BF3394" w:rsidRPr="003F10B2" w:rsidRDefault="00BF3394" w:rsidP="00BF3394">
            <w:pPr>
              <w:rPr>
                <w:rFonts w:ascii="Calibri" w:hAnsi="Calibri" w:cs="Calibri"/>
              </w:rPr>
            </w:pPr>
            <w:r w:rsidRPr="003F10B2">
              <w:rPr>
                <w:rFonts w:ascii="Calibri" w:hAnsi="Calibri" w:cs="Calibri"/>
              </w:rPr>
              <w:t>Předání grafického návrhu úvodní strany a dalších unikátních modulů zhotovitelem ke schválení objednateli.</w:t>
            </w:r>
          </w:p>
          <w:p w:rsidR="00BF3394" w:rsidRPr="003F10B2" w:rsidRDefault="00BF3394" w:rsidP="00BF3394">
            <w:r w:rsidRPr="003F10B2">
              <w:rPr>
                <w:rFonts w:ascii="Calibri" w:hAnsi="Calibri" w:cs="Calibri"/>
              </w:rPr>
              <w:t>Zadavatel si vyhrazuje lhůtu pro odsouhlasení, případně vznesení připomínek v délce nepřekračující 3 pracovní dny.</w:t>
            </w:r>
          </w:p>
        </w:tc>
        <w:tc>
          <w:tcPr>
            <w:tcW w:w="1686" w:type="dxa"/>
          </w:tcPr>
          <w:p w:rsidR="00BF3394" w:rsidRDefault="00BF3394" w:rsidP="004A0B72">
            <w:r>
              <w:t>nejpozději do:</w:t>
            </w:r>
          </w:p>
        </w:tc>
        <w:tc>
          <w:tcPr>
            <w:tcW w:w="1416" w:type="dxa"/>
            <w:vAlign w:val="center"/>
          </w:tcPr>
          <w:p w:rsidR="00BF3394" w:rsidRDefault="00BF3394" w:rsidP="006F496B">
            <w:pPr>
              <w:jc w:val="center"/>
            </w:pPr>
          </w:p>
        </w:tc>
      </w:tr>
      <w:tr w:rsidR="00980983" w:rsidTr="003F10B2">
        <w:tc>
          <w:tcPr>
            <w:tcW w:w="6958" w:type="dxa"/>
          </w:tcPr>
          <w:p w:rsidR="00980983" w:rsidRPr="00254022" w:rsidRDefault="00980983" w:rsidP="004A0B72">
            <w:r w:rsidRPr="00254022">
              <w:t>Impor</w:t>
            </w:r>
            <w:r w:rsidR="0020112E">
              <w:t>t</w:t>
            </w:r>
            <w:r w:rsidRPr="00254022">
              <w:t xml:space="preserve"> </w:t>
            </w:r>
            <w:r w:rsidR="0020112E">
              <w:t xml:space="preserve">obsahu </w:t>
            </w:r>
            <w:r w:rsidRPr="00254022">
              <w:t>www stránek ze stávajícího webu a sazba nových podkladů</w:t>
            </w:r>
          </w:p>
        </w:tc>
        <w:tc>
          <w:tcPr>
            <w:tcW w:w="1686" w:type="dxa"/>
          </w:tcPr>
          <w:p w:rsidR="00980983" w:rsidRDefault="00980983" w:rsidP="004A0B72"/>
        </w:tc>
        <w:tc>
          <w:tcPr>
            <w:tcW w:w="1416" w:type="dxa"/>
          </w:tcPr>
          <w:p w:rsidR="00980983" w:rsidRDefault="00980983" w:rsidP="004A0B72"/>
        </w:tc>
      </w:tr>
      <w:tr w:rsidR="00980983" w:rsidTr="003F10B2">
        <w:tc>
          <w:tcPr>
            <w:tcW w:w="6958" w:type="dxa"/>
          </w:tcPr>
          <w:p w:rsidR="00980983" w:rsidRPr="00254022" w:rsidRDefault="0020112E" w:rsidP="004A0B72">
            <w:r>
              <w:t>Tvorba m</w:t>
            </w:r>
            <w:r w:rsidRPr="00254022">
              <w:t>odul</w:t>
            </w:r>
            <w:r>
              <w:t>u</w:t>
            </w:r>
            <w:r w:rsidRPr="00254022">
              <w:t xml:space="preserve"> </w:t>
            </w:r>
            <w:r w:rsidR="00980983" w:rsidRPr="00254022">
              <w:t>intranet</w:t>
            </w:r>
            <w:r>
              <w:t xml:space="preserve"> a import stávajícího obsahu modulu</w:t>
            </w:r>
          </w:p>
        </w:tc>
        <w:tc>
          <w:tcPr>
            <w:tcW w:w="1686" w:type="dxa"/>
          </w:tcPr>
          <w:p w:rsidR="00980983" w:rsidRDefault="00980983" w:rsidP="004A0B72"/>
        </w:tc>
        <w:tc>
          <w:tcPr>
            <w:tcW w:w="1416" w:type="dxa"/>
          </w:tcPr>
          <w:p w:rsidR="00980983" w:rsidRDefault="00980983" w:rsidP="004A0B72"/>
        </w:tc>
      </w:tr>
      <w:tr w:rsidR="00980983" w:rsidTr="003F10B2">
        <w:tc>
          <w:tcPr>
            <w:tcW w:w="6958" w:type="dxa"/>
          </w:tcPr>
          <w:p w:rsidR="00980983" w:rsidRPr="00254022" w:rsidRDefault="0020112E" w:rsidP="004A0B72">
            <w:r>
              <w:t>Tvorba m</w:t>
            </w:r>
            <w:r w:rsidRPr="00254022">
              <w:t>odul</w:t>
            </w:r>
            <w:r>
              <w:t>u</w:t>
            </w:r>
            <w:r w:rsidR="00980983" w:rsidRPr="00254022">
              <w:t xml:space="preserve"> „Databáze pracovníků, projektů, publikací“</w:t>
            </w:r>
            <w:r>
              <w:t xml:space="preserve"> a import stávajícího obsahu modulu</w:t>
            </w:r>
          </w:p>
        </w:tc>
        <w:tc>
          <w:tcPr>
            <w:tcW w:w="1686" w:type="dxa"/>
          </w:tcPr>
          <w:p w:rsidR="00980983" w:rsidRDefault="00980983" w:rsidP="004A0B72"/>
        </w:tc>
        <w:tc>
          <w:tcPr>
            <w:tcW w:w="1416" w:type="dxa"/>
          </w:tcPr>
          <w:p w:rsidR="00980983" w:rsidRDefault="00980983" w:rsidP="004A0B72"/>
        </w:tc>
      </w:tr>
      <w:tr w:rsidR="00980983" w:rsidTr="003F10B2">
        <w:tc>
          <w:tcPr>
            <w:tcW w:w="6958" w:type="dxa"/>
          </w:tcPr>
          <w:p w:rsidR="00980983" w:rsidRPr="00254022" w:rsidRDefault="0020112E" w:rsidP="004A0B72">
            <w:r>
              <w:t>Tvorba m</w:t>
            </w:r>
            <w:r w:rsidRPr="00254022">
              <w:t>odul</w:t>
            </w:r>
            <w:r>
              <w:t>u</w:t>
            </w:r>
            <w:r w:rsidRPr="00254022">
              <w:t xml:space="preserve"> </w:t>
            </w:r>
            <w:r>
              <w:t>e-</w:t>
            </w:r>
            <w:r w:rsidR="00980983" w:rsidRPr="00254022">
              <w:t>časopis</w:t>
            </w:r>
            <w:r>
              <w:t>u</w:t>
            </w:r>
            <w:r w:rsidR="00980983" w:rsidRPr="00254022">
              <w:t xml:space="preserve"> „Zprávy lesnického výzkumu„ - </w:t>
            </w:r>
            <w:r>
              <w:t>a import stávajícího obsahu modulu</w:t>
            </w:r>
          </w:p>
        </w:tc>
        <w:tc>
          <w:tcPr>
            <w:tcW w:w="1686" w:type="dxa"/>
          </w:tcPr>
          <w:p w:rsidR="00980983" w:rsidRDefault="00980983" w:rsidP="004A0B72"/>
        </w:tc>
        <w:tc>
          <w:tcPr>
            <w:tcW w:w="1416" w:type="dxa"/>
          </w:tcPr>
          <w:p w:rsidR="00980983" w:rsidRDefault="00980983" w:rsidP="004A0B72"/>
        </w:tc>
      </w:tr>
      <w:tr w:rsidR="00980983" w:rsidTr="003F10B2">
        <w:tc>
          <w:tcPr>
            <w:tcW w:w="6958" w:type="dxa"/>
          </w:tcPr>
          <w:p w:rsidR="00980983" w:rsidRDefault="00980983" w:rsidP="004A0B72">
            <w:r>
              <w:t>Odladění, testování</w:t>
            </w:r>
          </w:p>
        </w:tc>
        <w:tc>
          <w:tcPr>
            <w:tcW w:w="1686" w:type="dxa"/>
          </w:tcPr>
          <w:p w:rsidR="00980983" w:rsidRDefault="00980983" w:rsidP="004A0B72"/>
        </w:tc>
        <w:tc>
          <w:tcPr>
            <w:tcW w:w="1416" w:type="dxa"/>
          </w:tcPr>
          <w:p w:rsidR="00980983" w:rsidRDefault="00980983" w:rsidP="004A0B72"/>
        </w:tc>
      </w:tr>
      <w:tr w:rsidR="00980983" w:rsidTr="003F10B2">
        <w:tc>
          <w:tcPr>
            <w:tcW w:w="6958" w:type="dxa"/>
          </w:tcPr>
          <w:p w:rsidR="00980983" w:rsidRDefault="00980983" w:rsidP="004A0B72">
            <w:r>
              <w:t>Zkušební provoz</w:t>
            </w:r>
          </w:p>
        </w:tc>
        <w:tc>
          <w:tcPr>
            <w:tcW w:w="1686" w:type="dxa"/>
          </w:tcPr>
          <w:p w:rsidR="00980983" w:rsidRDefault="00980983" w:rsidP="004A0B72"/>
        </w:tc>
        <w:tc>
          <w:tcPr>
            <w:tcW w:w="1416" w:type="dxa"/>
          </w:tcPr>
          <w:p w:rsidR="00980983" w:rsidRDefault="00980983" w:rsidP="004A0B72"/>
        </w:tc>
      </w:tr>
      <w:tr w:rsidR="00980983" w:rsidTr="003F10B2">
        <w:tc>
          <w:tcPr>
            <w:tcW w:w="6958" w:type="dxa"/>
          </w:tcPr>
          <w:p w:rsidR="00980983" w:rsidRDefault="00980983" w:rsidP="004A0B72">
            <w:r>
              <w:t xml:space="preserve">Školení </w:t>
            </w:r>
          </w:p>
        </w:tc>
        <w:tc>
          <w:tcPr>
            <w:tcW w:w="1686" w:type="dxa"/>
          </w:tcPr>
          <w:p w:rsidR="00980983" w:rsidRDefault="00980983" w:rsidP="004A0B72"/>
        </w:tc>
        <w:tc>
          <w:tcPr>
            <w:tcW w:w="1416" w:type="dxa"/>
          </w:tcPr>
          <w:p w:rsidR="00980983" w:rsidRDefault="00980983" w:rsidP="004A0B72"/>
        </w:tc>
      </w:tr>
      <w:tr w:rsidR="00980983" w:rsidTr="003F10B2">
        <w:tc>
          <w:tcPr>
            <w:tcW w:w="6958" w:type="dxa"/>
          </w:tcPr>
          <w:p w:rsidR="00980983" w:rsidRDefault="00980983" w:rsidP="004A0B72">
            <w:r>
              <w:t xml:space="preserve">Ostrý provoz </w:t>
            </w:r>
          </w:p>
        </w:tc>
        <w:tc>
          <w:tcPr>
            <w:tcW w:w="1686" w:type="dxa"/>
          </w:tcPr>
          <w:p w:rsidR="00980983" w:rsidRDefault="008027F7" w:rsidP="003F10B2">
            <w:r>
              <w:t xml:space="preserve">od </w:t>
            </w:r>
            <w:r w:rsidR="003F10B2">
              <w:t>31</w:t>
            </w:r>
            <w:r>
              <w:t xml:space="preserve">. </w:t>
            </w:r>
            <w:r w:rsidR="005B70CA">
              <w:t>3</w:t>
            </w:r>
            <w:r>
              <w:t>. 2019</w:t>
            </w:r>
          </w:p>
        </w:tc>
        <w:tc>
          <w:tcPr>
            <w:tcW w:w="1416" w:type="dxa"/>
            <w:shd w:val="clear" w:color="auto" w:fill="000000" w:themeFill="text1"/>
          </w:tcPr>
          <w:p w:rsidR="00980983" w:rsidRDefault="00980983" w:rsidP="004A0B72"/>
        </w:tc>
      </w:tr>
      <w:tr w:rsidR="00291DBC" w:rsidTr="003F10B2">
        <w:tc>
          <w:tcPr>
            <w:tcW w:w="8644" w:type="dxa"/>
            <w:gridSpan w:val="2"/>
          </w:tcPr>
          <w:p w:rsidR="00291DBC" w:rsidRDefault="00291DBC" w:rsidP="003F10B2">
            <w:r>
              <w:t>Cena</w:t>
            </w:r>
            <w:r w:rsidR="003F10B2">
              <w:t xml:space="preserve"> celkem u neplátců DPH / cena </w:t>
            </w:r>
            <w:r>
              <w:t xml:space="preserve">bez DPH </w:t>
            </w:r>
            <w:r w:rsidR="003F10B2">
              <w:t>pro plátce DPH</w:t>
            </w:r>
          </w:p>
        </w:tc>
        <w:tc>
          <w:tcPr>
            <w:tcW w:w="1416" w:type="dxa"/>
            <w:shd w:val="clear" w:color="auto" w:fill="auto"/>
          </w:tcPr>
          <w:p w:rsidR="00291DBC" w:rsidRDefault="00291DBC" w:rsidP="004A0B72"/>
        </w:tc>
      </w:tr>
      <w:tr w:rsidR="003F10B2" w:rsidTr="003F10B2">
        <w:tc>
          <w:tcPr>
            <w:tcW w:w="8644" w:type="dxa"/>
            <w:gridSpan w:val="2"/>
          </w:tcPr>
          <w:p w:rsidR="003F10B2" w:rsidRDefault="003F10B2" w:rsidP="003F10B2">
            <w:r>
              <w:t>DPH – sazba 21 % (vyplní pouze plátci DPH)</w:t>
            </w:r>
          </w:p>
        </w:tc>
        <w:tc>
          <w:tcPr>
            <w:tcW w:w="1416" w:type="dxa"/>
            <w:shd w:val="clear" w:color="auto" w:fill="auto"/>
          </w:tcPr>
          <w:p w:rsidR="003F10B2" w:rsidRDefault="003F10B2" w:rsidP="004A0B72"/>
        </w:tc>
      </w:tr>
      <w:tr w:rsidR="003F10B2" w:rsidTr="003F10B2">
        <w:tc>
          <w:tcPr>
            <w:tcW w:w="8644" w:type="dxa"/>
            <w:gridSpan w:val="2"/>
          </w:tcPr>
          <w:p w:rsidR="003F10B2" w:rsidRDefault="003F10B2" w:rsidP="003F10B2">
            <w:r>
              <w:t>Cena celkem včetně DPH (vyplní pouze plátci DPH)</w:t>
            </w:r>
          </w:p>
        </w:tc>
        <w:tc>
          <w:tcPr>
            <w:tcW w:w="1416" w:type="dxa"/>
            <w:shd w:val="clear" w:color="auto" w:fill="auto"/>
          </w:tcPr>
          <w:p w:rsidR="003F10B2" w:rsidRDefault="003F10B2" w:rsidP="004A0B72"/>
        </w:tc>
      </w:tr>
    </w:tbl>
    <w:p w:rsidR="00BF3394" w:rsidRDefault="00BF3394" w:rsidP="006F496B">
      <w:pPr>
        <w:spacing w:after="0" w:line="240" w:lineRule="auto"/>
        <w:rPr>
          <w:b/>
        </w:rPr>
      </w:pPr>
    </w:p>
    <w:p w:rsidR="00980983" w:rsidRPr="00B05290" w:rsidRDefault="004A0B72" w:rsidP="004A0B72">
      <w:pPr>
        <w:spacing w:after="0"/>
        <w:rPr>
          <w:b/>
        </w:rPr>
      </w:pPr>
      <w:r>
        <w:rPr>
          <w:b/>
        </w:rPr>
        <w:t xml:space="preserve">2) </w:t>
      </w:r>
      <w:r w:rsidR="00980983" w:rsidRPr="00B05290">
        <w:rPr>
          <w:b/>
        </w:rPr>
        <w:t xml:space="preserve">Požadavky </w:t>
      </w:r>
    </w:p>
    <w:p w:rsidR="00980983" w:rsidRDefault="006F496B" w:rsidP="006F496B">
      <w:pPr>
        <w:pStyle w:val="Odstavecseseznamem"/>
        <w:numPr>
          <w:ilvl w:val="0"/>
          <w:numId w:val="12"/>
        </w:numPr>
        <w:spacing w:after="0" w:line="240" w:lineRule="auto"/>
      </w:pPr>
      <w:r>
        <w:t>O</w:t>
      </w:r>
      <w:r w:rsidR="00980983" w:rsidRPr="00616EE6">
        <w:t>pen source redakční systém</w:t>
      </w:r>
      <w:r w:rsidR="00980983">
        <w:t xml:space="preserve"> (např. Wordpress, Joomla…)</w:t>
      </w:r>
    </w:p>
    <w:p w:rsidR="00980983" w:rsidRDefault="00980983" w:rsidP="006F496B">
      <w:pPr>
        <w:pStyle w:val="Odstavecseseznamem"/>
        <w:numPr>
          <w:ilvl w:val="0"/>
          <w:numId w:val="12"/>
        </w:numPr>
        <w:spacing w:after="0" w:line="240" w:lineRule="auto"/>
      </w:pPr>
      <w:r>
        <w:t xml:space="preserve">Funkčnost (zobrazování) na mobilních zařízeních </w:t>
      </w:r>
      <w:r w:rsidR="000A7456">
        <w:t>a různých OS</w:t>
      </w:r>
      <w:r>
        <w:t xml:space="preserve"> – </w:t>
      </w:r>
      <w:r w:rsidR="000A7456">
        <w:t>Android, IPad, IPhone…</w:t>
      </w:r>
    </w:p>
    <w:p w:rsidR="00980983" w:rsidRDefault="00980983" w:rsidP="006F496B">
      <w:pPr>
        <w:pStyle w:val="Odstavecseseznamem"/>
        <w:numPr>
          <w:ilvl w:val="0"/>
          <w:numId w:val="12"/>
        </w:numPr>
        <w:spacing w:after="0" w:line="240" w:lineRule="auto"/>
      </w:pPr>
      <w:r>
        <w:t>Důraz na funkčnost časopisu Zprávy lesnického výzkumu, který v současné době tvoří samostatný modul</w:t>
      </w:r>
    </w:p>
    <w:p w:rsidR="00980983" w:rsidRDefault="00980983" w:rsidP="006F496B">
      <w:pPr>
        <w:pStyle w:val="Odstavecseseznamem"/>
        <w:numPr>
          <w:ilvl w:val="0"/>
          <w:numId w:val="12"/>
        </w:numPr>
        <w:spacing w:after="0" w:line="240" w:lineRule="auto"/>
      </w:pPr>
      <w:r>
        <w:t xml:space="preserve">Vytvořit stránky </w:t>
      </w:r>
      <w:r w:rsidR="00FA467C">
        <w:t>jednotlivých pracovišť zadavatele</w:t>
      </w:r>
      <w:r>
        <w:t xml:space="preserve"> tak, aby je mohli obsluhovat webeditoři s nastaveným přístupem</w:t>
      </w:r>
    </w:p>
    <w:p w:rsidR="00980983" w:rsidRDefault="00980983" w:rsidP="006F496B">
      <w:pPr>
        <w:pStyle w:val="Odstavecseseznamem"/>
        <w:numPr>
          <w:ilvl w:val="0"/>
          <w:numId w:val="12"/>
        </w:numPr>
        <w:spacing w:after="0" w:line="240" w:lineRule="auto"/>
      </w:pPr>
      <w:r>
        <w:t>Možnosti modulárního rozvoje do budoucna</w:t>
      </w:r>
    </w:p>
    <w:p w:rsidR="004A0B72" w:rsidRDefault="004A0B72" w:rsidP="006F496B">
      <w:pPr>
        <w:spacing w:after="0" w:line="240" w:lineRule="auto"/>
        <w:rPr>
          <w:b/>
        </w:rPr>
      </w:pPr>
    </w:p>
    <w:p w:rsidR="00980983" w:rsidRPr="00B05290" w:rsidRDefault="004A0B72" w:rsidP="004A0B72">
      <w:pPr>
        <w:spacing w:after="0"/>
        <w:rPr>
          <w:b/>
        </w:rPr>
      </w:pPr>
      <w:r>
        <w:rPr>
          <w:b/>
        </w:rPr>
        <w:t xml:space="preserve">3) </w:t>
      </w:r>
      <w:r w:rsidR="00980983" w:rsidRPr="00B05290">
        <w:rPr>
          <w:b/>
        </w:rPr>
        <w:t>Doplňující informace:</w:t>
      </w:r>
    </w:p>
    <w:p w:rsidR="00476501" w:rsidRDefault="00980983" w:rsidP="004A0B72">
      <w:pPr>
        <w:pStyle w:val="Odstavecseseznamem"/>
        <w:numPr>
          <w:ilvl w:val="0"/>
          <w:numId w:val="13"/>
        </w:numPr>
        <w:spacing w:after="0" w:line="259" w:lineRule="auto"/>
      </w:pPr>
      <w:r>
        <w:t xml:space="preserve">Stránky budou </w:t>
      </w:r>
      <w:r w:rsidR="000A7456">
        <w:t xml:space="preserve">umístěny </w:t>
      </w:r>
      <w:r>
        <w:t xml:space="preserve">na </w:t>
      </w:r>
      <w:r w:rsidR="000A7456">
        <w:t>serveru v sídle zadavatele</w:t>
      </w:r>
      <w:r>
        <w:t xml:space="preserve">, </w:t>
      </w:r>
      <w:r w:rsidR="00476501">
        <w:t>není nutno řešit webhosting.</w:t>
      </w:r>
    </w:p>
    <w:p w:rsidR="00980983" w:rsidRDefault="00476501" w:rsidP="004A0B72">
      <w:pPr>
        <w:pStyle w:val="Odstavecseseznamem"/>
        <w:numPr>
          <w:ilvl w:val="0"/>
          <w:numId w:val="13"/>
        </w:numPr>
        <w:spacing w:after="0" w:line="259" w:lineRule="auto"/>
      </w:pPr>
      <w:r>
        <w:lastRenderedPageBreak/>
        <w:t>Celkový rozsah obsahu stávajících we</w:t>
      </w:r>
      <w:r w:rsidR="00675686">
        <w:t>b</w:t>
      </w:r>
      <w:r>
        <w:t xml:space="preserve">ových stránek </w:t>
      </w:r>
      <w:hyperlink r:id="rId8" w:history="1">
        <w:r w:rsidRPr="007A0A67">
          <w:rPr>
            <w:rStyle w:val="Hypertextovodkaz"/>
          </w:rPr>
          <w:t>www.vulhm.cz</w:t>
        </w:r>
      </w:hyperlink>
      <w:r>
        <w:t xml:space="preserve"> je:</w:t>
      </w:r>
      <w:r w:rsidR="00675686">
        <w:t xml:space="preserve"> 300 unikátních stánek  v české mutaci a 200 unikátních stránek v anglické mutaci</w:t>
      </w:r>
    </w:p>
    <w:p w:rsidR="006F496B" w:rsidRDefault="006F496B" w:rsidP="004A0B72">
      <w:pPr>
        <w:pStyle w:val="Odstavecseseznamem"/>
        <w:numPr>
          <w:ilvl w:val="0"/>
          <w:numId w:val="13"/>
        </w:numPr>
        <w:spacing w:after="0" w:line="259" w:lineRule="auto"/>
      </w:pPr>
      <w:r>
        <w:t>Obchodní podmínky jsou uvedeny v závazném vzoru smlouvy</w:t>
      </w:r>
    </w:p>
    <w:p w:rsidR="004A0B72" w:rsidRDefault="004A0B72" w:rsidP="004A0B72">
      <w:pPr>
        <w:spacing w:after="0"/>
        <w:rPr>
          <w:b/>
        </w:rPr>
      </w:pPr>
    </w:p>
    <w:p w:rsidR="00980983" w:rsidRPr="00F36BC7" w:rsidRDefault="004A0B72" w:rsidP="004A0B72">
      <w:pPr>
        <w:spacing w:after="0"/>
        <w:rPr>
          <w:b/>
        </w:rPr>
      </w:pPr>
      <w:r>
        <w:rPr>
          <w:b/>
        </w:rPr>
        <w:t xml:space="preserve">4) </w:t>
      </w:r>
      <w:r w:rsidR="00980983" w:rsidRPr="00F36BC7">
        <w:rPr>
          <w:b/>
        </w:rPr>
        <w:t>Další podmínky</w:t>
      </w:r>
    </w:p>
    <w:p w:rsidR="00675686" w:rsidRDefault="008027F7" w:rsidP="004A0B72">
      <w:pPr>
        <w:pStyle w:val="Odstavecseseznamem"/>
        <w:numPr>
          <w:ilvl w:val="0"/>
          <w:numId w:val="14"/>
        </w:numPr>
        <w:spacing w:after="0" w:line="259" w:lineRule="auto"/>
      </w:pPr>
      <w:r>
        <w:t xml:space="preserve">Reference – minimálně v počtu </w:t>
      </w:r>
      <w:r w:rsidR="004A0B72">
        <w:t>alespoň 5 odkazů na</w:t>
      </w:r>
      <w:r>
        <w:t xml:space="preserve"> </w:t>
      </w:r>
      <w:r w:rsidR="00675686">
        <w:t>www stránk</w:t>
      </w:r>
      <w:r w:rsidR="004A0B72">
        <w:t>y</w:t>
      </w:r>
      <w:r>
        <w:t xml:space="preserve"> vytvořen</w:t>
      </w:r>
      <w:r w:rsidR="004A0B72">
        <w:t>é</w:t>
      </w:r>
      <w:r>
        <w:t xml:space="preserve"> pro jiné </w:t>
      </w:r>
      <w:r w:rsidR="004A0B72">
        <w:t>zákazníky</w:t>
      </w:r>
      <w:r w:rsidR="00FB0743">
        <w:t>,</w:t>
      </w:r>
      <w:r w:rsidR="004A0B72">
        <w:t xml:space="preserve"> vč.</w:t>
      </w:r>
      <w:r w:rsidR="00FB0743">
        <w:t xml:space="preserve"> u</w:t>
      </w:r>
      <w:r w:rsidR="00291DBC">
        <w:t xml:space="preserve">vedení odkazu a kontaktní osoby: </w:t>
      </w:r>
    </w:p>
    <w:tbl>
      <w:tblPr>
        <w:tblW w:w="892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3686"/>
      </w:tblGrid>
      <w:tr w:rsidR="002504B7" w:rsidRPr="001B38A6" w:rsidTr="002504B7">
        <w:tc>
          <w:tcPr>
            <w:tcW w:w="3114" w:type="dxa"/>
            <w:shd w:val="clear" w:color="auto" w:fill="auto"/>
          </w:tcPr>
          <w:p w:rsidR="002504B7" w:rsidRPr="001B38A6" w:rsidRDefault="002504B7" w:rsidP="004A0B72">
            <w:pPr>
              <w:spacing w:after="0"/>
              <w:jc w:val="both"/>
              <w:rPr>
                <w:sz w:val="20"/>
                <w:szCs w:val="20"/>
              </w:rPr>
            </w:pPr>
            <w:r>
              <w:rPr>
                <w:sz w:val="20"/>
                <w:szCs w:val="20"/>
              </w:rPr>
              <w:t>Z</w:t>
            </w:r>
            <w:r w:rsidRPr="001B38A6">
              <w:rPr>
                <w:sz w:val="20"/>
                <w:szCs w:val="20"/>
              </w:rPr>
              <w:t>ákazník</w:t>
            </w:r>
            <w:r>
              <w:rPr>
                <w:sz w:val="20"/>
                <w:szCs w:val="20"/>
              </w:rPr>
              <w:t xml:space="preserve"> (název, sídlo)</w:t>
            </w:r>
            <w:r w:rsidRPr="001B38A6">
              <w:rPr>
                <w:sz w:val="20"/>
                <w:szCs w:val="20"/>
              </w:rPr>
              <w:t>:</w:t>
            </w:r>
          </w:p>
        </w:tc>
        <w:tc>
          <w:tcPr>
            <w:tcW w:w="2126" w:type="dxa"/>
            <w:shd w:val="clear" w:color="auto" w:fill="auto"/>
          </w:tcPr>
          <w:p w:rsidR="002504B7" w:rsidRPr="001B38A6" w:rsidRDefault="002504B7" w:rsidP="004A0B72">
            <w:pPr>
              <w:spacing w:after="0" w:line="240" w:lineRule="auto"/>
              <w:jc w:val="both"/>
              <w:rPr>
                <w:sz w:val="20"/>
                <w:szCs w:val="20"/>
              </w:rPr>
            </w:pPr>
            <w:r>
              <w:rPr>
                <w:sz w:val="20"/>
                <w:szCs w:val="20"/>
              </w:rPr>
              <w:t>odkaz na www stránky:</w:t>
            </w:r>
          </w:p>
        </w:tc>
        <w:tc>
          <w:tcPr>
            <w:tcW w:w="3686" w:type="dxa"/>
            <w:shd w:val="clear" w:color="auto" w:fill="auto"/>
          </w:tcPr>
          <w:p w:rsidR="002504B7" w:rsidRPr="001B38A6" w:rsidRDefault="002504B7" w:rsidP="004A0B72">
            <w:pPr>
              <w:spacing w:after="0" w:line="240" w:lineRule="auto"/>
              <w:jc w:val="both"/>
              <w:rPr>
                <w:sz w:val="20"/>
                <w:szCs w:val="20"/>
              </w:rPr>
            </w:pPr>
            <w:r w:rsidRPr="001B38A6">
              <w:rPr>
                <w:sz w:val="20"/>
                <w:szCs w:val="20"/>
              </w:rPr>
              <w:t xml:space="preserve">Kontaktní osoba zákazníka: </w:t>
            </w:r>
          </w:p>
          <w:p w:rsidR="002504B7" w:rsidRPr="001B38A6" w:rsidRDefault="002504B7" w:rsidP="004A0B72">
            <w:pPr>
              <w:spacing w:after="0" w:line="240" w:lineRule="auto"/>
              <w:jc w:val="both"/>
              <w:rPr>
                <w:sz w:val="20"/>
                <w:szCs w:val="20"/>
              </w:rPr>
            </w:pPr>
            <w:r>
              <w:rPr>
                <w:sz w:val="20"/>
                <w:szCs w:val="20"/>
              </w:rPr>
              <w:t>- jméno, příjmení, tel., email</w:t>
            </w:r>
          </w:p>
        </w:tc>
      </w:tr>
      <w:tr w:rsidR="002504B7" w:rsidRPr="001B38A6" w:rsidTr="002504B7">
        <w:tc>
          <w:tcPr>
            <w:tcW w:w="3114" w:type="dxa"/>
            <w:shd w:val="clear" w:color="auto" w:fill="auto"/>
          </w:tcPr>
          <w:p w:rsidR="002504B7" w:rsidRPr="001B38A6" w:rsidRDefault="002504B7" w:rsidP="004A0B72">
            <w:pPr>
              <w:spacing w:after="0"/>
              <w:jc w:val="both"/>
              <w:rPr>
                <w:sz w:val="20"/>
                <w:szCs w:val="20"/>
              </w:rPr>
            </w:pPr>
          </w:p>
        </w:tc>
        <w:tc>
          <w:tcPr>
            <w:tcW w:w="2126" w:type="dxa"/>
            <w:shd w:val="clear" w:color="auto" w:fill="auto"/>
          </w:tcPr>
          <w:p w:rsidR="002504B7" w:rsidRPr="001B38A6" w:rsidRDefault="002504B7" w:rsidP="004A0B72">
            <w:pPr>
              <w:spacing w:after="0"/>
              <w:jc w:val="both"/>
              <w:rPr>
                <w:sz w:val="20"/>
                <w:szCs w:val="20"/>
              </w:rPr>
            </w:pPr>
          </w:p>
        </w:tc>
        <w:tc>
          <w:tcPr>
            <w:tcW w:w="3686" w:type="dxa"/>
            <w:shd w:val="clear" w:color="auto" w:fill="auto"/>
          </w:tcPr>
          <w:p w:rsidR="002504B7" w:rsidRPr="001B38A6" w:rsidRDefault="002504B7" w:rsidP="004A0B72">
            <w:pPr>
              <w:spacing w:after="0"/>
              <w:jc w:val="both"/>
              <w:rPr>
                <w:sz w:val="20"/>
                <w:szCs w:val="20"/>
              </w:rPr>
            </w:pPr>
          </w:p>
        </w:tc>
      </w:tr>
      <w:tr w:rsidR="002504B7" w:rsidRPr="001B38A6" w:rsidTr="002504B7">
        <w:tc>
          <w:tcPr>
            <w:tcW w:w="3114" w:type="dxa"/>
            <w:shd w:val="clear" w:color="auto" w:fill="auto"/>
          </w:tcPr>
          <w:p w:rsidR="002504B7" w:rsidRPr="001B38A6" w:rsidRDefault="002504B7" w:rsidP="004A0B72">
            <w:pPr>
              <w:spacing w:after="0"/>
              <w:jc w:val="both"/>
              <w:rPr>
                <w:sz w:val="20"/>
                <w:szCs w:val="20"/>
              </w:rPr>
            </w:pPr>
          </w:p>
        </w:tc>
        <w:tc>
          <w:tcPr>
            <w:tcW w:w="2126" w:type="dxa"/>
            <w:shd w:val="clear" w:color="auto" w:fill="auto"/>
          </w:tcPr>
          <w:p w:rsidR="002504B7" w:rsidRPr="001B38A6" w:rsidRDefault="002504B7" w:rsidP="004A0B72">
            <w:pPr>
              <w:spacing w:after="0"/>
              <w:jc w:val="both"/>
              <w:rPr>
                <w:sz w:val="20"/>
                <w:szCs w:val="20"/>
              </w:rPr>
            </w:pPr>
          </w:p>
        </w:tc>
        <w:tc>
          <w:tcPr>
            <w:tcW w:w="3686" w:type="dxa"/>
            <w:shd w:val="clear" w:color="auto" w:fill="auto"/>
          </w:tcPr>
          <w:p w:rsidR="002504B7" w:rsidRPr="001B38A6" w:rsidRDefault="002504B7" w:rsidP="004A0B72">
            <w:pPr>
              <w:spacing w:after="0"/>
              <w:jc w:val="both"/>
              <w:rPr>
                <w:sz w:val="20"/>
                <w:szCs w:val="20"/>
              </w:rPr>
            </w:pPr>
          </w:p>
        </w:tc>
      </w:tr>
      <w:tr w:rsidR="002504B7" w:rsidRPr="001B38A6" w:rsidTr="002504B7">
        <w:tc>
          <w:tcPr>
            <w:tcW w:w="3114" w:type="dxa"/>
            <w:shd w:val="clear" w:color="auto" w:fill="auto"/>
          </w:tcPr>
          <w:p w:rsidR="002504B7" w:rsidRPr="001B38A6" w:rsidRDefault="002504B7" w:rsidP="004A0B72">
            <w:pPr>
              <w:spacing w:after="0"/>
              <w:jc w:val="both"/>
              <w:rPr>
                <w:sz w:val="20"/>
                <w:szCs w:val="20"/>
              </w:rPr>
            </w:pPr>
          </w:p>
        </w:tc>
        <w:tc>
          <w:tcPr>
            <w:tcW w:w="2126" w:type="dxa"/>
            <w:shd w:val="clear" w:color="auto" w:fill="auto"/>
          </w:tcPr>
          <w:p w:rsidR="002504B7" w:rsidRPr="001B38A6" w:rsidRDefault="002504B7" w:rsidP="004A0B72">
            <w:pPr>
              <w:spacing w:after="0"/>
              <w:jc w:val="both"/>
              <w:rPr>
                <w:sz w:val="20"/>
                <w:szCs w:val="20"/>
              </w:rPr>
            </w:pPr>
          </w:p>
        </w:tc>
        <w:tc>
          <w:tcPr>
            <w:tcW w:w="3686" w:type="dxa"/>
            <w:shd w:val="clear" w:color="auto" w:fill="auto"/>
          </w:tcPr>
          <w:p w:rsidR="002504B7" w:rsidRPr="001B38A6" w:rsidRDefault="002504B7" w:rsidP="004A0B72">
            <w:pPr>
              <w:spacing w:after="0"/>
              <w:jc w:val="both"/>
              <w:rPr>
                <w:sz w:val="20"/>
                <w:szCs w:val="20"/>
              </w:rPr>
            </w:pPr>
          </w:p>
        </w:tc>
      </w:tr>
      <w:tr w:rsidR="002504B7" w:rsidRPr="001B38A6" w:rsidTr="002504B7">
        <w:tc>
          <w:tcPr>
            <w:tcW w:w="3114" w:type="dxa"/>
            <w:shd w:val="clear" w:color="auto" w:fill="auto"/>
          </w:tcPr>
          <w:p w:rsidR="002504B7" w:rsidRPr="001B38A6" w:rsidRDefault="002504B7" w:rsidP="004A0B72">
            <w:pPr>
              <w:spacing w:after="0"/>
              <w:jc w:val="both"/>
              <w:rPr>
                <w:sz w:val="20"/>
                <w:szCs w:val="20"/>
              </w:rPr>
            </w:pPr>
          </w:p>
        </w:tc>
        <w:tc>
          <w:tcPr>
            <w:tcW w:w="2126" w:type="dxa"/>
            <w:shd w:val="clear" w:color="auto" w:fill="auto"/>
          </w:tcPr>
          <w:p w:rsidR="002504B7" w:rsidRPr="001B38A6" w:rsidRDefault="002504B7" w:rsidP="004A0B72">
            <w:pPr>
              <w:spacing w:after="0"/>
              <w:jc w:val="both"/>
              <w:rPr>
                <w:sz w:val="20"/>
                <w:szCs w:val="20"/>
              </w:rPr>
            </w:pPr>
          </w:p>
        </w:tc>
        <w:tc>
          <w:tcPr>
            <w:tcW w:w="3686" w:type="dxa"/>
            <w:shd w:val="clear" w:color="auto" w:fill="auto"/>
          </w:tcPr>
          <w:p w:rsidR="002504B7" w:rsidRPr="001B38A6" w:rsidRDefault="002504B7" w:rsidP="004A0B72">
            <w:pPr>
              <w:spacing w:after="0"/>
              <w:jc w:val="both"/>
              <w:rPr>
                <w:sz w:val="20"/>
                <w:szCs w:val="20"/>
              </w:rPr>
            </w:pPr>
          </w:p>
        </w:tc>
      </w:tr>
      <w:tr w:rsidR="002504B7" w:rsidRPr="001B38A6" w:rsidTr="002504B7">
        <w:tc>
          <w:tcPr>
            <w:tcW w:w="3114" w:type="dxa"/>
            <w:shd w:val="clear" w:color="auto" w:fill="auto"/>
          </w:tcPr>
          <w:p w:rsidR="002504B7" w:rsidRPr="001B38A6" w:rsidRDefault="002504B7" w:rsidP="004A0B72">
            <w:pPr>
              <w:spacing w:after="0"/>
              <w:jc w:val="both"/>
              <w:rPr>
                <w:sz w:val="20"/>
                <w:szCs w:val="20"/>
              </w:rPr>
            </w:pPr>
          </w:p>
        </w:tc>
        <w:tc>
          <w:tcPr>
            <w:tcW w:w="2126" w:type="dxa"/>
            <w:shd w:val="clear" w:color="auto" w:fill="auto"/>
          </w:tcPr>
          <w:p w:rsidR="002504B7" w:rsidRPr="001B38A6" w:rsidRDefault="002504B7" w:rsidP="004A0B72">
            <w:pPr>
              <w:spacing w:after="0"/>
              <w:jc w:val="both"/>
              <w:rPr>
                <w:sz w:val="20"/>
                <w:szCs w:val="20"/>
              </w:rPr>
            </w:pPr>
          </w:p>
        </w:tc>
        <w:tc>
          <w:tcPr>
            <w:tcW w:w="3686" w:type="dxa"/>
            <w:shd w:val="clear" w:color="auto" w:fill="auto"/>
          </w:tcPr>
          <w:p w:rsidR="002504B7" w:rsidRPr="001B38A6" w:rsidRDefault="002504B7" w:rsidP="004A0B72">
            <w:pPr>
              <w:spacing w:after="0"/>
              <w:jc w:val="both"/>
              <w:rPr>
                <w:sz w:val="20"/>
                <w:szCs w:val="20"/>
              </w:rPr>
            </w:pPr>
          </w:p>
        </w:tc>
      </w:tr>
      <w:tr w:rsidR="002504B7" w:rsidRPr="001B38A6" w:rsidTr="002504B7">
        <w:tc>
          <w:tcPr>
            <w:tcW w:w="3114" w:type="dxa"/>
            <w:shd w:val="clear" w:color="auto" w:fill="auto"/>
          </w:tcPr>
          <w:p w:rsidR="002504B7" w:rsidRPr="001B38A6" w:rsidRDefault="002504B7" w:rsidP="004A0B72">
            <w:pPr>
              <w:spacing w:after="0"/>
              <w:jc w:val="both"/>
              <w:rPr>
                <w:sz w:val="20"/>
                <w:szCs w:val="20"/>
              </w:rPr>
            </w:pPr>
          </w:p>
        </w:tc>
        <w:tc>
          <w:tcPr>
            <w:tcW w:w="2126" w:type="dxa"/>
            <w:shd w:val="clear" w:color="auto" w:fill="auto"/>
          </w:tcPr>
          <w:p w:rsidR="002504B7" w:rsidRPr="001B38A6" w:rsidRDefault="002504B7" w:rsidP="004A0B72">
            <w:pPr>
              <w:spacing w:after="0"/>
              <w:jc w:val="both"/>
              <w:rPr>
                <w:sz w:val="20"/>
                <w:szCs w:val="20"/>
              </w:rPr>
            </w:pPr>
          </w:p>
        </w:tc>
        <w:tc>
          <w:tcPr>
            <w:tcW w:w="3686" w:type="dxa"/>
            <w:shd w:val="clear" w:color="auto" w:fill="auto"/>
          </w:tcPr>
          <w:p w:rsidR="002504B7" w:rsidRPr="001B38A6" w:rsidRDefault="002504B7" w:rsidP="004A0B72">
            <w:pPr>
              <w:spacing w:after="0"/>
              <w:jc w:val="both"/>
              <w:rPr>
                <w:sz w:val="20"/>
                <w:szCs w:val="20"/>
              </w:rPr>
            </w:pPr>
          </w:p>
        </w:tc>
      </w:tr>
    </w:tbl>
    <w:p w:rsidR="00291DBC" w:rsidRDefault="00291DBC" w:rsidP="004A0B72">
      <w:pPr>
        <w:pStyle w:val="Odstavecseseznamem"/>
        <w:spacing w:after="0" w:line="259" w:lineRule="auto"/>
      </w:pPr>
    </w:p>
    <w:p w:rsidR="002504B7" w:rsidRDefault="002504B7" w:rsidP="002504B7">
      <w:pPr>
        <w:spacing w:after="0"/>
        <w:jc w:val="both"/>
      </w:pPr>
      <w:r w:rsidRPr="002504B7">
        <w:rPr>
          <w:b/>
        </w:rPr>
        <w:t xml:space="preserve">5) </w:t>
      </w:r>
      <w:r w:rsidR="004A0B72" w:rsidRPr="002504B7">
        <w:rPr>
          <w:b/>
        </w:rPr>
        <w:t>Ho</w:t>
      </w:r>
      <w:r w:rsidR="00980983" w:rsidRPr="002504B7">
        <w:rPr>
          <w:b/>
        </w:rPr>
        <w:t>dnotící kritéri</w:t>
      </w:r>
      <w:r w:rsidR="004A0B72" w:rsidRPr="002504B7">
        <w:rPr>
          <w:b/>
        </w:rPr>
        <w:t>um</w:t>
      </w:r>
      <w:r w:rsidR="004A0B72">
        <w:t>:</w:t>
      </w:r>
      <w:r w:rsidR="00980983">
        <w:t xml:space="preserve"> </w:t>
      </w:r>
      <w:r>
        <w:t>dle ekonomické výhodnosti nabídky, dle kritérií:</w:t>
      </w:r>
    </w:p>
    <w:p w:rsidR="002504B7" w:rsidRDefault="002504B7" w:rsidP="002504B7">
      <w:pPr>
        <w:spacing w:after="0"/>
        <w:jc w:val="both"/>
      </w:pPr>
      <w:r>
        <w:t xml:space="preserve">    </w:t>
      </w:r>
      <w:r w:rsidR="006F496B">
        <w:t xml:space="preserve"> </w:t>
      </w:r>
      <w:r>
        <w:t>Kritéria: a) cena - váha kritéria 60 %</w:t>
      </w:r>
    </w:p>
    <w:p w:rsidR="002504B7" w:rsidRDefault="002504B7" w:rsidP="002504B7">
      <w:pPr>
        <w:spacing w:after="0"/>
        <w:jc w:val="both"/>
      </w:pPr>
      <w:r>
        <w:t xml:space="preserve">                    </w:t>
      </w:r>
      <w:r w:rsidRPr="00CE00A3">
        <w:t xml:space="preserve">b) </w:t>
      </w:r>
      <w:r>
        <w:t>funkční účelnost a estetický vzhled referenčních webových stránek</w:t>
      </w:r>
      <w:r w:rsidRPr="00CE00A3">
        <w:t xml:space="preserve"> - váha kritéria </w:t>
      </w:r>
      <w:r>
        <w:t>4</w:t>
      </w:r>
      <w:r w:rsidRPr="00CE00A3">
        <w:t>0 %</w:t>
      </w:r>
    </w:p>
    <w:p w:rsidR="002504B7" w:rsidRDefault="002504B7" w:rsidP="002504B7">
      <w:pPr>
        <w:spacing w:after="120"/>
        <w:ind w:left="284"/>
        <w:jc w:val="both"/>
      </w:pPr>
      <w:r w:rsidRPr="0084783F">
        <w:t>Pro hodnocení bude každé kritérium ohodnoceno číselně od nejlepší (1) po nejhorší umístění, podle počtu uchazečů. Hodnocení bude provedeno váženým aritmetickým průměrem, kdy nejnižší hodnota znamená nejlepší nabídku, nejvyšší hodnota naopak poslední pořadí v nabídkách.</w:t>
      </w:r>
    </w:p>
    <w:p w:rsidR="003F10B2" w:rsidRDefault="003F10B2" w:rsidP="002504B7">
      <w:pPr>
        <w:spacing w:after="120"/>
        <w:ind w:left="284"/>
        <w:jc w:val="both"/>
      </w:pPr>
      <w:r>
        <w:t xml:space="preserve">V případě cenového hodnocení uchazečů plátců DPH a uchazečů neplátců DPH bude posuzována cena po odpočtu DPH v poměrné výši dle § 75 ZDPH u nabídek plátců DPH. </w:t>
      </w:r>
    </w:p>
    <w:p w:rsidR="003F10B2" w:rsidRPr="0084783F" w:rsidRDefault="003F10B2" w:rsidP="002504B7">
      <w:pPr>
        <w:spacing w:after="120"/>
        <w:ind w:left="284"/>
        <w:jc w:val="both"/>
      </w:pPr>
      <w:r>
        <w:t xml:space="preserve">Uchazeči neplátci DPH nabízí cenu celkovou, bez </w:t>
      </w:r>
      <w:r w:rsidR="00FB0B5F">
        <w:t xml:space="preserve">dalšího rozlišení. </w:t>
      </w:r>
    </w:p>
    <w:p w:rsidR="00291DBC" w:rsidRPr="00FB0B5F" w:rsidRDefault="002504B7" w:rsidP="004A0B72">
      <w:pPr>
        <w:spacing w:after="0"/>
        <w:jc w:val="both"/>
      </w:pPr>
      <w:r>
        <w:rPr>
          <w:b/>
        </w:rPr>
        <w:t>6</w:t>
      </w:r>
      <w:r w:rsidR="004A0B72" w:rsidRPr="004A0B72">
        <w:rPr>
          <w:b/>
        </w:rPr>
        <w:t xml:space="preserve">) </w:t>
      </w:r>
      <w:r w:rsidR="00291DBC" w:rsidRPr="00FB0B5F">
        <w:rPr>
          <w:b/>
        </w:rPr>
        <w:t>Požadavky na obsah nabídky</w:t>
      </w:r>
      <w:r w:rsidR="00291DBC" w:rsidRPr="00FB0B5F">
        <w:t>:</w:t>
      </w:r>
    </w:p>
    <w:p w:rsidR="00291DBC" w:rsidRDefault="00291DBC" w:rsidP="006F496B">
      <w:pPr>
        <w:spacing w:after="0"/>
        <w:ind w:left="284"/>
        <w:jc w:val="both"/>
      </w:pPr>
      <w:r>
        <w:t xml:space="preserve">Nabídka bude předložena v českém jazyce, </w:t>
      </w:r>
      <w:r w:rsidRPr="000A602F">
        <w:rPr>
          <w:b/>
        </w:rPr>
        <w:t>elektronicky</w:t>
      </w:r>
      <w:r>
        <w:t xml:space="preserve">, a to </w:t>
      </w:r>
      <w:r w:rsidRPr="009F682F">
        <w:rPr>
          <w:b/>
        </w:rPr>
        <w:t> </w:t>
      </w:r>
      <w:r>
        <w:rPr>
          <w:b/>
        </w:rPr>
        <w:t>formou jednoho dokumentu ve formátu PDF</w:t>
      </w:r>
      <w:r>
        <w:t xml:space="preserve">. Nabídka, </w:t>
      </w:r>
      <w:r w:rsidRPr="009F682F">
        <w:rPr>
          <w:b/>
        </w:rPr>
        <w:t>podepsaná</w:t>
      </w:r>
      <w:r>
        <w:t xml:space="preserve"> osobou oprávněnou jednat za uchazeče, bude obsahovat </w:t>
      </w:r>
      <w:r w:rsidR="00FB0B5F">
        <w:t>minimálně</w:t>
      </w:r>
      <w:r>
        <w:t>:</w:t>
      </w:r>
    </w:p>
    <w:p w:rsidR="002504B7" w:rsidRDefault="002504B7" w:rsidP="004A0B72">
      <w:pPr>
        <w:numPr>
          <w:ilvl w:val="0"/>
          <w:numId w:val="16"/>
        </w:numPr>
        <w:spacing w:after="0" w:line="240" w:lineRule="auto"/>
        <w:jc w:val="both"/>
      </w:pPr>
      <w:r>
        <w:t>technický popis funkčnosti návrhu webových stránek,</w:t>
      </w:r>
    </w:p>
    <w:p w:rsidR="00291DBC" w:rsidRDefault="00291DBC" w:rsidP="004A0B72">
      <w:pPr>
        <w:numPr>
          <w:ilvl w:val="0"/>
          <w:numId w:val="16"/>
        </w:numPr>
        <w:spacing w:after="0" w:line="240" w:lineRule="auto"/>
        <w:jc w:val="both"/>
      </w:pPr>
      <w:r>
        <w:t>požadované cenové údaje ve formě  doplněné tabulky, uvedené v části „</w:t>
      </w:r>
      <w:r w:rsidR="00F12A13">
        <w:t xml:space="preserve">1) </w:t>
      </w:r>
      <w:r>
        <w:t xml:space="preserve">Zadání - Etapy“; tabulku k doplnění není možné jakkoliv měnit, </w:t>
      </w:r>
    </w:p>
    <w:p w:rsidR="00291DBC" w:rsidRDefault="00D86072" w:rsidP="004A0B72">
      <w:pPr>
        <w:numPr>
          <w:ilvl w:val="0"/>
          <w:numId w:val="16"/>
        </w:numPr>
        <w:spacing w:after="0" w:line="240" w:lineRule="auto"/>
        <w:jc w:val="both"/>
      </w:pPr>
      <w:r>
        <w:t>požadované reference ve formě doplněné tabulky, uvedené v části „</w:t>
      </w:r>
      <w:r w:rsidR="00F12A13">
        <w:t xml:space="preserve">4) </w:t>
      </w:r>
      <w:r>
        <w:t>Další podmínky“</w:t>
      </w:r>
      <w:r w:rsidR="004A0B72">
        <w:t>,</w:t>
      </w:r>
    </w:p>
    <w:p w:rsidR="00291DBC" w:rsidRDefault="00291DBC" w:rsidP="004A0B72">
      <w:pPr>
        <w:numPr>
          <w:ilvl w:val="0"/>
          <w:numId w:val="16"/>
        </w:numPr>
        <w:spacing w:after="0" w:line="240" w:lineRule="auto"/>
        <w:jc w:val="both"/>
      </w:pPr>
      <w:r>
        <w:t xml:space="preserve">1 x uchazečem </w:t>
      </w:r>
      <w:r w:rsidR="00FB0B5F">
        <w:t xml:space="preserve">doplněný </w:t>
      </w:r>
      <w:r>
        <w:t>návrh Smlouvy o dílo</w:t>
      </w:r>
      <w:r w:rsidR="00FB0B5F">
        <w:t>,</w:t>
      </w:r>
      <w:r>
        <w:t xml:space="preserve"> záva</w:t>
      </w:r>
      <w:r w:rsidR="00FB0B5F">
        <w:t>zný vzor je přílohou této Výzvy a</w:t>
      </w:r>
      <w:r>
        <w:t xml:space="preserve"> není přípustné jej měnit</w:t>
      </w:r>
      <w:r w:rsidR="00FB0B5F">
        <w:t>.</w:t>
      </w:r>
    </w:p>
    <w:p w:rsidR="004A0B72" w:rsidRDefault="004A0B72" w:rsidP="004A0B72">
      <w:pPr>
        <w:spacing w:after="0"/>
        <w:jc w:val="both"/>
      </w:pPr>
      <w:bookmarkStart w:id="0" w:name="_GoBack"/>
      <w:bookmarkEnd w:id="0"/>
    </w:p>
    <w:p w:rsidR="004A0B72" w:rsidRDefault="002504B7" w:rsidP="004A0B72">
      <w:pPr>
        <w:spacing w:after="0"/>
        <w:jc w:val="both"/>
      </w:pPr>
      <w:r>
        <w:rPr>
          <w:b/>
        </w:rPr>
        <w:t>7</w:t>
      </w:r>
      <w:r w:rsidR="00F12A13">
        <w:rPr>
          <w:b/>
        </w:rPr>
        <w:t xml:space="preserve">) </w:t>
      </w:r>
      <w:r w:rsidR="004A0B72" w:rsidRPr="004A0B72">
        <w:rPr>
          <w:b/>
        </w:rPr>
        <w:t>Kontaktní osoba</w:t>
      </w:r>
      <w:r w:rsidR="004A0B72">
        <w:t xml:space="preserve">: Ing. Jan Řezáč, tel. </w:t>
      </w:r>
      <w:r w:rsidR="005C4BF1">
        <w:t>724 576 008</w:t>
      </w:r>
      <w:r w:rsidR="004A0B72">
        <w:t>, e-mail: rezac@vulhm.cz</w:t>
      </w:r>
    </w:p>
    <w:p w:rsidR="00D86072" w:rsidRDefault="00D86072" w:rsidP="004A0B72">
      <w:pPr>
        <w:spacing w:after="0"/>
        <w:jc w:val="both"/>
      </w:pPr>
    </w:p>
    <w:p w:rsidR="004A0B72" w:rsidRDefault="002504B7" w:rsidP="004A0B72">
      <w:pPr>
        <w:jc w:val="both"/>
      </w:pPr>
      <w:r>
        <w:rPr>
          <w:b/>
        </w:rPr>
        <w:t>8</w:t>
      </w:r>
      <w:r w:rsidR="00F12A13" w:rsidRPr="00F12A13">
        <w:rPr>
          <w:b/>
        </w:rPr>
        <w:t xml:space="preserve">) </w:t>
      </w:r>
      <w:r w:rsidR="004A0B72" w:rsidRPr="00FB0B5F">
        <w:rPr>
          <w:b/>
        </w:rPr>
        <w:t>Termín pro doručení nabídky</w:t>
      </w:r>
      <w:r w:rsidR="004A0B72">
        <w:t>:</w:t>
      </w:r>
      <w:r w:rsidR="004A0B72">
        <w:tab/>
      </w:r>
      <w:r w:rsidR="004A0B72" w:rsidRPr="0035160F">
        <w:rPr>
          <w:b/>
        </w:rPr>
        <w:t xml:space="preserve">do </w:t>
      </w:r>
      <w:r w:rsidR="004A0B72">
        <w:rPr>
          <w:b/>
        </w:rPr>
        <w:t>16. prosince</w:t>
      </w:r>
      <w:r w:rsidR="004A0B72" w:rsidRPr="0035160F">
        <w:rPr>
          <w:b/>
        </w:rPr>
        <w:t xml:space="preserve"> 20</w:t>
      </w:r>
      <w:r w:rsidR="006F496B">
        <w:rPr>
          <w:b/>
        </w:rPr>
        <w:t>18, do 23.59.59 hod</w:t>
      </w:r>
    </w:p>
    <w:p w:rsidR="004A0B72" w:rsidRPr="00F12A13" w:rsidRDefault="002504B7" w:rsidP="004A0B72">
      <w:pPr>
        <w:jc w:val="both"/>
        <w:rPr>
          <w:color w:val="0070C0"/>
        </w:rPr>
      </w:pPr>
      <w:r>
        <w:rPr>
          <w:b/>
        </w:rPr>
        <w:t>9</w:t>
      </w:r>
      <w:r w:rsidR="00F12A13" w:rsidRPr="00F12A13">
        <w:rPr>
          <w:b/>
        </w:rPr>
        <w:t xml:space="preserve">) </w:t>
      </w:r>
      <w:r w:rsidR="004A0B72" w:rsidRPr="00FB0B5F">
        <w:rPr>
          <w:b/>
        </w:rPr>
        <w:t>Způsob doručení nabídky</w:t>
      </w:r>
      <w:r w:rsidR="004A0B72" w:rsidRPr="00FB0B5F">
        <w:t>:</w:t>
      </w:r>
      <w:r w:rsidR="004A0B72">
        <w:tab/>
      </w:r>
      <w:r w:rsidR="004A0B72" w:rsidRPr="00737CE0">
        <w:rPr>
          <w:b/>
          <w:color w:val="0070C0"/>
        </w:rPr>
        <w:t xml:space="preserve">ELEKTRONICKY </w:t>
      </w:r>
      <w:r w:rsidR="004A0B72">
        <w:rPr>
          <w:b/>
          <w:color w:val="0070C0"/>
        </w:rPr>
        <w:t xml:space="preserve">- </w:t>
      </w:r>
      <w:r w:rsidR="004A0B72">
        <w:rPr>
          <w:color w:val="0070C0"/>
        </w:rPr>
        <w:t xml:space="preserve">výhradně prostřednictvím elektronického </w:t>
      </w:r>
      <w:r w:rsidR="004A0B72">
        <w:rPr>
          <w:color w:val="0070C0"/>
        </w:rPr>
        <w:tab/>
      </w:r>
      <w:r w:rsidR="004A0B72">
        <w:rPr>
          <w:color w:val="0070C0"/>
        </w:rPr>
        <w:tab/>
      </w:r>
      <w:r w:rsidR="004A0B72">
        <w:rPr>
          <w:color w:val="0070C0"/>
        </w:rPr>
        <w:tab/>
      </w:r>
      <w:r w:rsidR="004A0B72">
        <w:rPr>
          <w:color w:val="0070C0"/>
        </w:rPr>
        <w:tab/>
      </w:r>
      <w:r w:rsidR="004A0B72">
        <w:rPr>
          <w:color w:val="0070C0"/>
        </w:rPr>
        <w:tab/>
      </w:r>
      <w:r w:rsidR="00F12A13">
        <w:rPr>
          <w:color w:val="0070C0"/>
        </w:rPr>
        <w:tab/>
      </w:r>
      <w:r w:rsidR="004A0B72">
        <w:rPr>
          <w:color w:val="0070C0"/>
        </w:rPr>
        <w:t xml:space="preserve">tržiště GEMIN, na adrese: </w:t>
      </w:r>
      <w:hyperlink r:id="rId9" w:history="1">
        <w:r w:rsidR="004A0B72" w:rsidRPr="00A2025D">
          <w:rPr>
            <w:rStyle w:val="Hypertextovodkaz"/>
          </w:rPr>
          <w:t>https://www.gemin.cz/informacni-deska</w:t>
        </w:r>
      </w:hyperlink>
      <w:r w:rsidR="004A0B72">
        <w:rPr>
          <w:color w:val="0070C0"/>
        </w:rPr>
        <w:t xml:space="preserve"> </w:t>
      </w:r>
      <w:r w:rsidR="004A0B72">
        <w:tab/>
      </w:r>
    </w:p>
    <w:p w:rsidR="00FB0B5F" w:rsidRDefault="002504B7" w:rsidP="004A0B72">
      <w:pPr>
        <w:jc w:val="both"/>
      </w:pPr>
      <w:r>
        <w:rPr>
          <w:b/>
        </w:rPr>
        <w:t>10</w:t>
      </w:r>
      <w:r w:rsidR="00F12A13">
        <w:rPr>
          <w:b/>
        </w:rPr>
        <w:t xml:space="preserve">) </w:t>
      </w:r>
      <w:r w:rsidR="004A0B72" w:rsidRPr="00FB0B5F">
        <w:rPr>
          <w:b/>
        </w:rPr>
        <w:t>Předpokládaná lhůta</w:t>
      </w:r>
      <w:r w:rsidR="004A0B72" w:rsidRPr="00FB0B5F">
        <w:t>,</w:t>
      </w:r>
      <w:r w:rsidR="004A0B72">
        <w:t xml:space="preserve"> ve které zadavatel provede vyhodnocení a výběr nejvhodnější nabídky</w:t>
      </w:r>
      <w:r w:rsidR="00F12A13">
        <w:t>:</w:t>
      </w:r>
      <w:r w:rsidR="004A0B72">
        <w:t xml:space="preserve"> </w:t>
      </w:r>
    </w:p>
    <w:p w:rsidR="004A0B72" w:rsidRDefault="004A0B72" w:rsidP="00FB0B5F">
      <w:pPr>
        <w:jc w:val="center"/>
      </w:pPr>
      <w:r w:rsidRPr="00737CE0">
        <w:rPr>
          <w:b/>
        </w:rPr>
        <w:t>1</w:t>
      </w:r>
      <w:r>
        <w:rPr>
          <w:b/>
        </w:rPr>
        <w:t>8</w:t>
      </w:r>
      <w:r w:rsidRPr="00737CE0">
        <w:rPr>
          <w:b/>
        </w:rPr>
        <w:t>.</w:t>
      </w:r>
      <w:r w:rsidRPr="0057215B">
        <w:rPr>
          <w:b/>
        </w:rPr>
        <w:t xml:space="preserve"> </w:t>
      </w:r>
      <w:r>
        <w:rPr>
          <w:b/>
        </w:rPr>
        <w:t>12</w:t>
      </w:r>
      <w:r w:rsidRPr="0057215B">
        <w:rPr>
          <w:b/>
        </w:rPr>
        <w:t>. 201</w:t>
      </w:r>
      <w:r>
        <w:rPr>
          <w:b/>
        </w:rPr>
        <w:t>8</w:t>
      </w:r>
      <w:r>
        <w:t>.</w:t>
      </w:r>
    </w:p>
    <w:p w:rsidR="004A0B72" w:rsidRDefault="004A0B72" w:rsidP="004A0B72">
      <w:pPr>
        <w:spacing w:after="0"/>
        <w:jc w:val="both"/>
      </w:pPr>
      <w:r>
        <w:t>Zadavatel nepřipouští variantní nabídky.</w:t>
      </w:r>
    </w:p>
    <w:p w:rsidR="004A0B72" w:rsidRDefault="004A0B72" w:rsidP="004A0B72">
      <w:pPr>
        <w:spacing w:after="0"/>
        <w:jc w:val="both"/>
      </w:pPr>
      <w:r w:rsidRPr="00C34BCC">
        <w:t xml:space="preserve">Zadavatel si vyhrazuje právo tuto soutěž zrušit. </w:t>
      </w:r>
    </w:p>
    <w:p w:rsidR="004A0B72" w:rsidRDefault="004A0B72" w:rsidP="004A0B72">
      <w:pPr>
        <w:spacing w:after="0"/>
        <w:jc w:val="both"/>
      </w:pPr>
      <w:r>
        <w:tab/>
      </w:r>
      <w:r>
        <w:tab/>
      </w:r>
      <w:r>
        <w:tab/>
      </w:r>
      <w:r>
        <w:tab/>
      </w:r>
      <w:r>
        <w:tab/>
      </w:r>
      <w:r>
        <w:tab/>
      </w:r>
      <w:r>
        <w:tab/>
      </w:r>
      <w:r>
        <w:tab/>
      </w:r>
      <w:r>
        <w:tab/>
        <w:t>Ing. Jitka Vrátná, MBA</w:t>
      </w:r>
    </w:p>
    <w:p w:rsidR="004A0B72" w:rsidRDefault="004A0B72" w:rsidP="004A0B72">
      <w:pPr>
        <w:spacing w:after="0"/>
        <w:jc w:val="both"/>
      </w:pPr>
      <w:r>
        <w:tab/>
      </w:r>
      <w:r>
        <w:tab/>
      </w:r>
      <w:r>
        <w:tab/>
      </w:r>
      <w:r>
        <w:tab/>
      </w:r>
      <w:r>
        <w:tab/>
      </w:r>
      <w:r>
        <w:tab/>
      </w:r>
      <w:r>
        <w:tab/>
      </w:r>
      <w:r>
        <w:tab/>
      </w:r>
      <w:r>
        <w:tab/>
        <w:t>ekonomický náměstek</w:t>
      </w:r>
    </w:p>
    <w:p w:rsidR="00B3293E" w:rsidRDefault="00D86072" w:rsidP="002504B7">
      <w:pPr>
        <w:spacing w:after="0"/>
      </w:pPr>
      <w:r>
        <w:t>Strnady, 22. 11. 2018</w:t>
      </w:r>
    </w:p>
    <w:p w:rsidR="00D857CF" w:rsidRDefault="00F12A13" w:rsidP="003F10B2">
      <w:pPr>
        <w:spacing w:after="0"/>
      </w:pPr>
      <w:r>
        <w:t>Příloha: Závazný vzor – Smlouva o dílo</w:t>
      </w:r>
    </w:p>
    <w:sectPr w:rsidR="00D857CF" w:rsidSect="006F496B">
      <w:pgSz w:w="11906" w:h="16838"/>
      <w:pgMar w:top="851"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4B" w:rsidRDefault="00D5254B" w:rsidP="000A0703">
      <w:pPr>
        <w:spacing w:after="0" w:line="240" w:lineRule="auto"/>
      </w:pPr>
      <w:r>
        <w:separator/>
      </w:r>
    </w:p>
  </w:endnote>
  <w:endnote w:type="continuationSeparator" w:id="0">
    <w:p w:rsidR="00D5254B" w:rsidRDefault="00D5254B" w:rsidP="000A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4B" w:rsidRDefault="00D5254B" w:rsidP="000A0703">
      <w:pPr>
        <w:spacing w:after="0" w:line="240" w:lineRule="auto"/>
      </w:pPr>
      <w:r>
        <w:separator/>
      </w:r>
    </w:p>
  </w:footnote>
  <w:footnote w:type="continuationSeparator" w:id="0">
    <w:p w:rsidR="00D5254B" w:rsidRDefault="00D5254B" w:rsidP="000A0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3FCF"/>
    <w:multiLevelType w:val="hybridMultilevel"/>
    <w:tmpl w:val="3B48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6A3D3A"/>
    <w:multiLevelType w:val="hybridMultilevel"/>
    <w:tmpl w:val="ED28D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A85DE7"/>
    <w:multiLevelType w:val="hybridMultilevel"/>
    <w:tmpl w:val="3F168FE6"/>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46073047"/>
    <w:multiLevelType w:val="hybridMultilevel"/>
    <w:tmpl w:val="8110DC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88609AE"/>
    <w:multiLevelType w:val="hybridMultilevel"/>
    <w:tmpl w:val="06069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7A64A5"/>
    <w:multiLevelType w:val="hybridMultilevel"/>
    <w:tmpl w:val="8D848948"/>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B604010"/>
    <w:multiLevelType w:val="hybridMultilevel"/>
    <w:tmpl w:val="CAC8E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EB6F96"/>
    <w:multiLevelType w:val="hybridMultilevel"/>
    <w:tmpl w:val="1A36EC74"/>
    <w:lvl w:ilvl="0" w:tplc="22EABE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C6107F"/>
    <w:multiLevelType w:val="hybridMultilevel"/>
    <w:tmpl w:val="1C843C3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829379F"/>
    <w:multiLevelType w:val="multilevel"/>
    <w:tmpl w:val="7B04E796"/>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rPr>
        <w:color w:val="auto"/>
      </w:r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0" w15:restartNumberingAfterBreak="0">
    <w:nsid w:val="735D1083"/>
    <w:multiLevelType w:val="hybridMultilevel"/>
    <w:tmpl w:val="DB8E5E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CA3D00"/>
    <w:multiLevelType w:val="hybridMultilevel"/>
    <w:tmpl w:val="D1FAF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E02F10"/>
    <w:multiLevelType w:val="hybridMultilevel"/>
    <w:tmpl w:val="84D421A6"/>
    <w:lvl w:ilvl="0" w:tplc="04050011">
      <w:start w:val="1"/>
      <w:numFmt w:val="decimal"/>
      <w:lvlText w:val="%1)"/>
      <w:lvlJc w:val="left"/>
      <w:pPr>
        <w:ind w:left="257" w:hanging="360"/>
      </w:pPr>
    </w:lvl>
    <w:lvl w:ilvl="1" w:tplc="04050019" w:tentative="1">
      <w:start w:val="1"/>
      <w:numFmt w:val="lowerLetter"/>
      <w:lvlText w:val="%2."/>
      <w:lvlJc w:val="left"/>
      <w:pPr>
        <w:ind w:left="977" w:hanging="360"/>
      </w:pPr>
    </w:lvl>
    <w:lvl w:ilvl="2" w:tplc="0405001B" w:tentative="1">
      <w:start w:val="1"/>
      <w:numFmt w:val="lowerRoman"/>
      <w:lvlText w:val="%3."/>
      <w:lvlJc w:val="right"/>
      <w:pPr>
        <w:ind w:left="1697" w:hanging="180"/>
      </w:pPr>
    </w:lvl>
    <w:lvl w:ilvl="3" w:tplc="0405000F" w:tentative="1">
      <w:start w:val="1"/>
      <w:numFmt w:val="decimal"/>
      <w:lvlText w:val="%4."/>
      <w:lvlJc w:val="left"/>
      <w:pPr>
        <w:ind w:left="2417" w:hanging="360"/>
      </w:pPr>
    </w:lvl>
    <w:lvl w:ilvl="4" w:tplc="04050019" w:tentative="1">
      <w:start w:val="1"/>
      <w:numFmt w:val="lowerLetter"/>
      <w:lvlText w:val="%5."/>
      <w:lvlJc w:val="left"/>
      <w:pPr>
        <w:ind w:left="3137" w:hanging="360"/>
      </w:pPr>
    </w:lvl>
    <w:lvl w:ilvl="5" w:tplc="0405001B" w:tentative="1">
      <w:start w:val="1"/>
      <w:numFmt w:val="lowerRoman"/>
      <w:lvlText w:val="%6."/>
      <w:lvlJc w:val="right"/>
      <w:pPr>
        <w:ind w:left="3857" w:hanging="180"/>
      </w:pPr>
    </w:lvl>
    <w:lvl w:ilvl="6" w:tplc="0405000F" w:tentative="1">
      <w:start w:val="1"/>
      <w:numFmt w:val="decimal"/>
      <w:lvlText w:val="%7."/>
      <w:lvlJc w:val="left"/>
      <w:pPr>
        <w:ind w:left="4577" w:hanging="360"/>
      </w:pPr>
    </w:lvl>
    <w:lvl w:ilvl="7" w:tplc="04050019" w:tentative="1">
      <w:start w:val="1"/>
      <w:numFmt w:val="lowerLetter"/>
      <w:lvlText w:val="%8."/>
      <w:lvlJc w:val="left"/>
      <w:pPr>
        <w:ind w:left="5297" w:hanging="360"/>
      </w:pPr>
    </w:lvl>
    <w:lvl w:ilvl="8" w:tplc="0405001B" w:tentative="1">
      <w:start w:val="1"/>
      <w:numFmt w:val="lowerRoman"/>
      <w:lvlText w:val="%9."/>
      <w:lvlJc w:val="right"/>
      <w:pPr>
        <w:ind w:left="6017" w:hanging="180"/>
      </w:pPr>
    </w:lvl>
  </w:abstractNum>
  <w:abstractNum w:abstractNumId="13" w15:restartNumberingAfterBreak="0">
    <w:nsid w:val="7DD351AB"/>
    <w:multiLevelType w:val="hybridMultilevel"/>
    <w:tmpl w:val="A33EEFC4"/>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7EFD0A7D"/>
    <w:multiLevelType w:val="hybridMultilevel"/>
    <w:tmpl w:val="3D02CB9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0"/>
  </w:num>
  <w:num w:numId="5">
    <w:abstractNumId w:val="12"/>
  </w:num>
  <w:num w:numId="6">
    <w:abstractNumId w:val="14"/>
  </w:num>
  <w:num w:numId="7">
    <w:abstractNumId w:val="2"/>
  </w:num>
  <w:num w:numId="8">
    <w:abstractNumId w:val="9"/>
  </w:num>
  <w:num w:numId="9">
    <w:abstractNumId w:val="13"/>
  </w:num>
  <w:num w:numId="10">
    <w:abstractNumId w:val="11"/>
  </w:num>
  <w:num w:numId="11">
    <w:abstractNumId w:val="5"/>
  </w:num>
  <w:num w:numId="12">
    <w:abstractNumId w:val="6"/>
  </w:num>
  <w:num w:numId="13">
    <w:abstractNumId w:val="0"/>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3C"/>
    <w:rsid w:val="00015DB8"/>
    <w:rsid w:val="000206DC"/>
    <w:rsid w:val="00034621"/>
    <w:rsid w:val="000648F9"/>
    <w:rsid w:val="00074920"/>
    <w:rsid w:val="000921D0"/>
    <w:rsid w:val="000A0703"/>
    <w:rsid w:val="000A7456"/>
    <w:rsid w:val="000B3B17"/>
    <w:rsid w:val="000E71F0"/>
    <w:rsid w:val="001117A3"/>
    <w:rsid w:val="0012349B"/>
    <w:rsid w:val="00145AF6"/>
    <w:rsid w:val="00174B6C"/>
    <w:rsid w:val="001E5BA0"/>
    <w:rsid w:val="001E784B"/>
    <w:rsid w:val="001F451B"/>
    <w:rsid w:val="0020112E"/>
    <w:rsid w:val="002116F6"/>
    <w:rsid w:val="002261A0"/>
    <w:rsid w:val="0023313C"/>
    <w:rsid w:val="0023414C"/>
    <w:rsid w:val="002504B7"/>
    <w:rsid w:val="00291DBC"/>
    <w:rsid w:val="002A052C"/>
    <w:rsid w:val="002B15E7"/>
    <w:rsid w:val="003431A3"/>
    <w:rsid w:val="00392DD4"/>
    <w:rsid w:val="00393387"/>
    <w:rsid w:val="003F10B2"/>
    <w:rsid w:val="003F71D2"/>
    <w:rsid w:val="00403452"/>
    <w:rsid w:val="00404458"/>
    <w:rsid w:val="004261E2"/>
    <w:rsid w:val="00470662"/>
    <w:rsid w:val="00476501"/>
    <w:rsid w:val="004A0B72"/>
    <w:rsid w:val="004D7F96"/>
    <w:rsid w:val="005175F0"/>
    <w:rsid w:val="00541F85"/>
    <w:rsid w:val="00564213"/>
    <w:rsid w:val="005B3672"/>
    <w:rsid w:val="005B70CA"/>
    <w:rsid w:val="005C4BF1"/>
    <w:rsid w:val="005F33F5"/>
    <w:rsid w:val="006124B6"/>
    <w:rsid w:val="00655E4D"/>
    <w:rsid w:val="00675686"/>
    <w:rsid w:val="0068670E"/>
    <w:rsid w:val="006A63F4"/>
    <w:rsid w:val="006C405A"/>
    <w:rsid w:val="006E43C2"/>
    <w:rsid w:val="006E62EB"/>
    <w:rsid w:val="006F496B"/>
    <w:rsid w:val="00747985"/>
    <w:rsid w:val="00767331"/>
    <w:rsid w:val="00791715"/>
    <w:rsid w:val="007A0570"/>
    <w:rsid w:val="007B7C0E"/>
    <w:rsid w:val="007E1D11"/>
    <w:rsid w:val="008027F7"/>
    <w:rsid w:val="00841E28"/>
    <w:rsid w:val="00842698"/>
    <w:rsid w:val="00873ECF"/>
    <w:rsid w:val="00874C2A"/>
    <w:rsid w:val="008B24A5"/>
    <w:rsid w:val="009562BE"/>
    <w:rsid w:val="0096463D"/>
    <w:rsid w:val="00980983"/>
    <w:rsid w:val="009B604E"/>
    <w:rsid w:val="009C7E21"/>
    <w:rsid w:val="009F08C3"/>
    <w:rsid w:val="00A01FC9"/>
    <w:rsid w:val="00A604BC"/>
    <w:rsid w:val="00A62B95"/>
    <w:rsid w:val="00A64C4E"/>
    <w:rsid w:val="00A77FBF"/>
    <w:rsid w:val="00AE70E6"/>
    <w:rsid w:val="00B3293E"/>
    <w:rsid w:val="00B736A2"/>
    <w:rsid w:val="00B76C51"/>
    <w:rsid w:val="00B90278"/>
    <w:rsid w:val="00BA31AD"/>
    <w:rsid w:val="00BE58E7"/>
    <w:rsid w:val="00BF3394"/>
    <w:rsid w:val="00C20A26"/>
    <w:rsid w:val="00C6468D"/>
    <w:rsid w:val="00CF0AD2"/>
    <w:rsid w:val="00D04F8B"/>
    <w:rsid w:val="00D17DF1"/>
    <w:rsid w:val="00D47E72"/>
    <w:rsid w:val="00D5254B"/>
    <w:rsid w:val="00D7432B"/>
    <w:rsid w:val="00D857CF"/>
    <w:rsid w:val="00D86072"/>
    <w:rsid w:val="00DE03DD"/>
    <w:rsid w:val="00E31FFE"/>
    <w:rsid w:val="00F12A13"/>
    <w:rsid w:val="00F3138D"/>
    <w:rsid w:val="00F73DF8"/>
    <w:rsid w:val="00F76FE3"/>
    <w:rsid w:val="00FA256A"/>
    <w:rsid w:val="00FA467C"/>
    <w:rsid w:val="00FB0743"/>
    <w:rsid w:val="00FB0B5F"/>
    <w:rsid w:val="00FF04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233E5-46EC-456F-BAB6-0866C171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09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07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0703"/>
  </w:style>
  <w:style w:type="paragraph" w:styleId="Zpat">
    <w:name w:val="footer"/>
    <w:basedOn w:val="Normln"/>
    <w:link w:val="ZpatChar"/>
    <w:uiPriority w:val="99"/>
    <w:unhideWhenUsed/>
    <w:rsid w:val="000A070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0703"/>
  </w:style>
  <w:style w:type="paragraph" w:styleId="Textbubliny">
    <w:name w:val="Balloon Text"/>
    <w:basedOn w:val="Normln"/>
    <w:link w:val="TextbublinyChar"/>
    <w:uiPriority w:val="99"/>
    <w:semiHidden/>
    <w:unhideWhenUsed/>
    <w:rsid w:val="00D47E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7E72"/>
    <w:rPr>
      <w:rFonts w:ascii="Segoe UI" w:hAnsi="Segoe UI" w:cs="Segoe UI"/>
      <w:sz w:val="18"/>
      <w:szCs w:val="18"/>
    </w:rPr>
  </w:style>
  <w:style w:type="paragraph" w:customStyle="1" w:styleId="RLslovanodstavec">
    <w:name w:val="RL Číslovaný odstavec"/>
    <w:basedOn w:val="Normln"/>
    <w:qFormat/>
    <w:rsid w:val="00034621"/>
    <w:pPr>
      <w:numPr>
        <w:numId w:val="1"/>
      </w:numPr>
      <w:spacing w:after="120" w:line="340" w:lineRule="exact"/>
      <w:jc w:val="both"/>
    </w:pPr>
    <w:rPr>
      <w:rFonts w:ascii="Calibri" w:eastAsia="Times New Roman" w:hAnsi="Calibri" w:cs="Times New Roman"/>
      <w:spacing w:val="-4"/>
      <w:szCs w:val="24"/>
      <w:lang w:eastAsia="cs-CZ"/>
    </w:rPr>
  </w:style>
  <w:style w:type="character" w:customStyle="1" w:styleId="Kurzva">
    <w:name w:val="Kurzíva"/>
    <w:rsid w:val="00034621"/>
    <w:rPr>
      <w:i/>
    </w:rPr>
  </w:style>
  <w:style w:type="paragraph" w:customStyle="1" w:styleId="doplnuchaze">
    <w:name w:val="doplní uchazeč"/>
    <w:basedOn w:val="Normln"/>
    <w:link w:val="doplnuchazeChar"/>
    <w:qFormat/>
    <w:rsid w:val="00034621"/>
    <w:pPr>
      <w:spacing w:after="120" w:line="280" w:lineRule="exact"/>
      <w:jc w:val="center"/>
    </w:pPr>
    <w:rPr>
      <w:rFonts w:ascii="Calibri" w:eastAsia="Times New Roman" w:hAnsi="Calibri" w:cs="Times New Roman"/>
      <w:b/>
      <w:snapToGrid w:val="0"/>
      <w:lang w:eastAsia="cs-CZ"/>
    </w:rPr>
  </w:style>
  <w:style w:type="character" w:customStyle="1" w:styleId="doplnuchazeChar">
    <w:name w:val="doplní uchazeč Char"/>
    <w:link w:val="doplnuchaze"/>
    <w:rsid w:val="00034621"/>
    <w:rPr>
      <w:rFonts w:ascii="Calibri" w:eastAsia="Times New Roman" w:hAnsi="Calibri" w:cs="Times New Roman"/>
      <w:b/>
      <w:snapToGrid w:val="0"/>
      <w:lang w:eastAsia="cs-CZ"/>
    </w:rPr>
  </w:style>
  <w:style w:type="paragraph" w:styleId="Odstavecseseznamem">
    <w:name w:val="List Paragraph"/>
    <w:basedOn w:val="Normln"/>
    <w:uiPriority w:val="34"/>
    <w:qFormat/>
    <w:rsid w:val="00392DD4"/>
    <w:pPr>
      <w:spacing w:after="200" w:line="276" w:lineRule="auto"/>
      <w:ind w:left="720"/>
      <w:contextualSpacing/>
    </w:pPr>
    <w:rPr>
      <w:rFonts w:ascii="Calibri" w:eastAsia="Calibri" w:hAnsi="Calibri" w:cs="Times New Roman"/>
    </w:rPr>
  </w:style>
  <w:style w:type="paragraph" w:styleId="Zkladntext2">
    <w:name w:val="Body Text 2"/>
    <w:basedOn w:val="Normln"/>
    <w:link w:val="Zkladntext2Char"/>
    <w:unhideWhenUsed/>
    <w:rsid w:val="00392DD4"/>
    <w:pPr>
      <w:spacing w:after="120" w:line="48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392DD4"/>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873ECF"/>
    <w:rPr>
      <w:color w:val="0563C1" w:themeColor="hyperlink"/>
      <w:u w:val="single"/>
    </w:rPr>
  </w:style>
  <w:style w:type="table" w:styleId="Mkatabulky">
    <w:name w:val="Table Grid"/>
    <w:basedOn w:val="Normlntabulka"/>
    <w:uiPriority w:val="39"/>
    <w:rsid w:val="0087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lhm.cz" TargetMode="External"/><Relationship Id="rId3" Type="http://schemas.openxmlformats.org/officeDocument/2006/relationships/settings" Target="settings.xml"/><Relationship Id="rId7" Type="http://schemas.openxmlformats.org/officeDocument/2006/relationships/hyperlink" Target="http://www.vulh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min.cz/informacni-desk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679</Words>
  <Characters>4008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Rezac</dc:creator>
  <cp:keywords/>
  <dc:description/>
  <cp:lastModifiedBy>Hewlett-Packard Company</cp:lastModifiedBy>
  <cp:revision>22</cp:revision>
  <cp:lastPrinted>2018-11-22T09:35:00Z</cp:lastPrinted>
  <dcterms:created xsi:type="dcterms:W3CDTF">2018-11-20T07:37:00Z</dcterms:created>
  <dcterms:modified xsi:type="dcterms:W3CDTF">2018-11-22T09:37:00Z</dcterms:modified>
</cp:coreProperties>
</file>