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Ing. Pavel </w:t>
      </w:r>
      <w:proofErr w:type="spellStart"/>
      <w:r w:rsidRPr="00217236">
        <w:rPr>
          <w:rFonts w:cs="Arial"/>
        </w:rPr>
        <w:t>Ripka</w:t>
      </w:r>
      <w:proofErr w:type="spellEnd"/>
      <w:r w:rsidRPr="00217236">
        <w:rPr>
          <w:rFonts w:cs="Arial"/>
        </w:rPr>
        <w:t xml:space="preserve">, CSc., </w:t>
      </w:r>
      <w:r w:rsidR="006461D0">
        <w:rPr>
          <w:rFonts w:cs="Arial"/>
        </w:rPr>
        <w:t>děkan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Komerční banka, Praha 6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  <w:t xml:space="preserve">19-5504540257/0100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AC6BD4" w:rsidRPr="00217236" w:rsidRDefault="00AC6BD4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BA6DA2">
        <w:rPr>
          <w:rFonts w:cs="Arial"/>
          <w:b/>
          <w:highlight w:val="yellow"/>
        </w:rPr>
        <w:t xml:space="preserve">[Vyplní </w:t>
      </w:r>
      <w:r w:rsidR="00031A81">
        <w:rPr>
          <w:rFonts w:cs="Arial"/>
          <w:b/>
          <w:highlight w:val="yellow"/>
        </w:rPr>
        <w:t>účastník</w:t>
      </w:r>
      <w:r w:rsidRPr="00BA6DA2">
        <w:rPr>
          <w:rFonts w:cs="Arial"/>
          <w:b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Pr="00BA6DA2">
        <w:rPr>
          <w:rFonts w:cs="Arial"/>
          <w:highlight w:val="yellow"/>
        </w:rPr>
        <w:t xml:space="preserve">[Vyplní </w:t>
      </w:r>
      <w:r w:rsidR="00E34256" w:rsidRPr="00E34256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Nabídka </w:t>
      </w:r>
      <w:proofErr w:type="spellStart"/>
      <w:r>
        <w:rPr>
          <w:rFonts w:ascii="Arial" w:hAnsi="Arial" w:cs="Arial"/>
          <w:lang w:val="cs-CZ"/>
        </w:rPr>
        <w:t>Prodávajího</w:t>
      </w:r>
      <w:proofErr w:type="spellEnd"/>
      <w:r>
        <w:rPr>
          <w:rFonts w:ascii="Arial" w:hAnsi="Arial" w:cs="Arial"/>
          <w:lang w:val="cs-CZ"/>
        </w:rPr>
        <w:t xml:space="preserve"> podaná v rámci veřejné zakázky s názvem </w:t>
      </w:r>
      <w:r w:rsidRPr="00B55550">
        <w:rPr>
          <w:rFonts w:ascii="Arial" w:hAnsi="Arial" w:cs="Arial"/>
          <w:b/>
          <w:lang w:val="cs-CZ"/>
        </w:rPr>
        <w:t>„</w:t>
      </w:r>
      <w:r w:rsidR="00B825BD">
        <w:rPr>
          <w:rFonts w:ascii="Arial" w:hAnsi="Arial" w:cs="Arial"/>
          <w:b/>
          <w:lang w:val="cs-CZ"/>
        </w:rPr>
        <w:t xml:space="preserve">FEL, </w:t>
      </w:r>
      <w:bookmarkStart w:id="0" w:name="_GoBack"/>
      <w:bookmarkEnd w:id="0"/>
      <w:r w:rsidR="00B55550" w:rsidRPr="00B55550">
        <w:rPr>
          <w:rFonts w:ascii="Arial" w:hAnsi="Arial" w:cs="Arial"/>
          <w:b/>
          <w:i/>
          <w:lang w:val="cs-CZ"/>
        </w:rPr>
        <w:t>Dodávka 12 sad laboratorních přístrojů</w:t>
      </w:r>
      <w:r w:rsidRPr="00B55550">
        <w:rPr>
          <w:rFonts w:ascii="Arial" w:hAnsi="Arial" w:cs="Arial"/>
          <w:b/>
          <w:lang w:val="cs-CZ"/>
        </w:rPr>
        <w:t>“</w:t>
      </w:r>
      <w:r>
        <w:rPr>
          <w:rFonts w:ascii="Arial" w:hAnsi="Arial" w:cs="Arial"/>
          <w:lang w:val="cs-CZ"/>
        </w:rPr>
        <w:t>, jejímž cílem bylo vybrat</w:t>
      </w:r>
      <w:r w:rsidR="00B80591">
        <w:rPr>
          <w:rFonts w:ascii="Arial" w:hAnsi="Arial" w:cs="Arial"/>
          <w:lang w:val="cs-CZ"/>
        </w:rPr>
        <w:t xml:space="preserve"> dodavatele</w:t>
      </w:r>
      <w:r>
        <w:rPr>
          <w:rFonts w:ascii="Arial" w:hAnsi="Arial" w:cs="Arial"/>
          <w:lang w:val="cs-CZ"/>
        </w:rPr>
        <w:t xml:space="preserve"> předmět</w:t>
      </w:r>
      <w:r w:rsidR="00B80591">
        <w:rPr>
          <w:rFonts w:ascii="Arial" w:hAnsi="Arial" w:cs="Arial"/>
          <w:lang w:val="cs-CZ"/>
        </w:rPr>
        <w:t>u</w:t>
      </w:r>
      <w:r>
        <w:rPr>
          <w:rFonts w:ascii="Arial" w:hAnsi="Arial" w:cs="Arial"/>
          <w:lang w:val="cs-CZ"/>
        </w:rPr>
        <w:t xml:space="preserve"> smlouvy (</w:t>
      </w:r>
      <w:r w:rsidRPr="00E452BC">
        <w:rPr>
          <w:rFonts w:ascii="Arial" w:hAnsi="Arial" w:cs="Arial"/>
          <w:b/>
          <w:lang w:val="cs-CZ"/>
        </w:rPr>
        <w:t>„Veřejná zakázka“</w:t>
      </w:r>
      <w:r>
        <w:rPr>
          <w:rFonts w:ascii="Arial" w:hAnsi="Arial" w:cs="Arial"/>
          <w:lang w:val="cs-CZ"/>
        </w:rPr>
        <w:t>), byla Kupujícím vyhodnocena jako 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BD4E13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BD4E13"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:rsidR="00BD4E13" w:rsidRPr="00B55550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B55550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 anglickém jazyce, a to v rozsahu Zboží specifikovaného v </w:t>
      </w:r>
      <w:r w:rsidRPr="00B55550">
        <w:rPr>
          <w:rFonts w:ascii="Arial" w:hAnsi="Arial" w:cs="Arial"/>
          <w:i w:val="0"/>
          <w:color w:val="auto"/>
          <w:u w:val="single"/>
        </w:rPr>
        <w:t>Příloze č. 2</w:t>
      </w:r>
      <w:r w:rsidRPr="00B55550">
        <w:rPr>
          <w:rFonts w:ascii="Arial" w:hAnsi="Arial" w:cs="Arial"/>
          <w:i w:val="0"/>
          <w:color w:val="auto"/>
        </w:rPr>
        <w:t xml:space="preserve"> (</w:t>
      </w:r>
      <w:r w:rsidRPr="00B55550">
        <w:rPr>
          <w:rFonts w:ascii="Arial" w:hAnsi="Arial" w:cs="Arial"/>
          <w:color w:val="auto"/>
        </w:rPr>
        <w:t>Technická specifikace</w:t>
      </w:r>
      <w:r w:rsidRPr="00B55550">
        <w:rPr>
          <w:rFonts w:ascii="Arial" w:hAnsi="Arial" w:cs="Arial"/>
          <w:i w:val="0"/>
          <w:color w:val="auto"/>
        </w:rPr>
        <w:t>);</w:t>
      </w:r>
    </w:p>
    <w:p w:rsidR="00F979AA" w:rsidRPr="00B55550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B55550"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5A7B30" w:rsidRPr="00B55550" w:rsidRDefault="00BD4E13" w:rsidP="00B55550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B55550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B55550">
        <w:rPr>
          <w:rFonts w:ascii="Arial" w:hAnsi="Arial" w:cs="Arial"/>
          <w:i w:val="0"/>
          <w:color w:val="auto"/>
        </w:rPr>
        <w:t>.</w:t>
      </w:r>
    </w:p>
    <w:p w:rsidR="00F979AA" w:rsidRPr="00F02E8B" w:rsidRDefault="00F02E8B" w:rsidP="00B55550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 xml:space="preserve">Prodávající se zavazuje, že dodá Kupujícímu Zboží a splní veškeré povinnosti dle čl. I. této smlouvy nejpozději do </w:t>
      </w:r>
      <w:r w:rsidR="00B55550">
        <w:rPr>
          <w:rFonts w:cs="Arial"/>
          <w:b/>
        </w:rPr>
        <w:t>6 týdnů</w:t>
      </w:r>
      <w:r w:rsidRPr="00F02E8B">
        <w:rPr>
          <w:rFonts w:cs="Arial"/>
          <w:b/>
        </w:rPr>
        <w:t xml:space="preserve"> </w:t>
      </w:r>
      <w:r w:rsidR="001762A9">
        <w:rPr>
          <w:rFonts w:cs="Arial"/>
        </w:rPr>
        <w:t>od účinnosti smlouvy</w:t>
      </w:r>
      <w:r>
        <w:rPr>
          <w:rFonts w:cs="Arial"/>
        </w:rPr>
        <w:t>.</w:t>
      </w:r>
    </w:p>
    <w:p w:rsidR="00F979AA" w:rsidRPr="00B55550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Prodávající je odpovědný za dodání Zboží do místa plnění. Místem plnění je následující </w:t>
      </w:r>
      <w:r w:rsidRPr="00B55550">
        <w:rPr>
          <w:rFonts w:cs="Arial"/>
        </w:rPr>
        <w:t xml:space="preserve">adresa: </w:t>
      </w:r>
      <w:r w:rsidR="003B7F61" w:rsidRPr="00B55550">
        <w:rPr>
          <w:rFonts w:cs="Arial"/>
        </w:rPr>
        <w:t>ČVUT v Praze, FEL-Katedra</w:t>
      </w:r>
      <w:r w:rsidR="002562A0" w:rsidRPr="00B55550">
        <w:rPr>
          <w:rFonts w:cs="Arial"/>
        </w:rPr>
        <w:t xml:space="preserve"> </w:t>
      </w:r>
      <w:r w:rsidR="00B55550" w:rsidRPr="00B55550">
        <w:rPr>
          <w:rFonts w:cs="Arial"/>
        </w:rPr>
        <w:t>teorie obvodů</w:t>
      </w:r>
      <w:r w:rsidR="003B7F61" w:rsidRPr="00B55550">
        <w:rPr>
          <w:rFonts w:cs="Arial"/>
        </w:rPr>
        <w:t>, Technická 2, 166 27 Praha 6 – Dejvice.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 (</w:t>
      </w:r>
      <w:r>
        <w:rPr>
          <w:rFonts w:cs="Arial"/>
        </w:rPr>
        <w:t>definován</w:t>
      </w:r>
      <w:r w:rsidRPr="00F02E8B">
        <w:rPr>
          <w:rFonts w:cs="Arial"/>
        </w:rPr>
        <w:t xml:space="preserve"> níže) oběma stranami.</w:t>
      </w:r>
    </w:p>
    <w:p w:rsidR="00F62F4E" w:rsidRDefault="00F62F4E">
      <w:pPr>
        <w:suppressAutoHyphens w:val="0"/>
        <w:rPr>
          <w:rFonts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]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]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</w:t>
      </w:r>
      <w:proofErr w:type="spellStart"/>
      <w:r>
        <w:rPr>
          <w:rFonts w:ascii="Arial" w:hAnsi="Arial" w:cs="Arial"/>
          <w:b w:val="0"/>
          <w:color w:val="auto"/>
          <w:sz w:val="22"/>
        </w:rPr>
        <w:t>mimojiné</w:t>
      </w:r>
      <w:proofErr w:type="spellEnd"/>
      <w:r>
        <w:rPr>
          <w:rFonts w:ascii="Arial" w:hAnsi="Arial" w:cs="Arial"/>
          <w:b w:val="0"/>
          <w:color w:val="auto"/>
          <w:sz w:val="22"/>
        </w:rPr>
        <w:t xml:space="preserve">, všechny náklady spojené s převzetím Zboží a provedením Souvisejících činností,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proofErr w:type="gramStart"/>
      <w:r>
        <w:rPr>
          <w:rFonts w:ascii="Arial" w:hAnsi="Arial" w:cs="Arial"/>
          <w:b w:val="0"/>
          <w:color w:val="auto"/>
          <w:sz w:val="22"/>
        </w:rPr>
        <w:t>se</w:t>
      </w:r>
      <w:proofErr w:type="gramEnd"/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Kupní cena </w:t>
      </w:r>
      <w:r>
        <w:rPr>
          <w:rFonts w:ascii="Arial" w:hAnsi="Arial" w:cs="Arial"/>
          <w:b w:val="0"/>
          <w:color w:val="auto"/>
          <w:sz w:val="22"/>
        </w:rPr>
        <w:t>za Zboží</w:t>
      </w:r>
      <w:r w:rsidRPr="007A2D2F">
        <w:rPr>
          <w:rFonts w:ascii="Arial" w:hAnsi="Arial" w:cs="Arial"/>
          <w:b w:val="0"/>
          <w:color w:val="auto"/>
          <w:sz w:val="22"/>
        </w:rPr>
        <w:t xml:space="preserve"> bude </w:t>
      </w:r>
      <w:r w:rsidRPr="00B55550">
        <w:rPr>
          <w:rFonts w:ascii="Arial" w:hAnsi="Arial" w:cs="Arial"/>
          <w:b w:val="0"/>
          <w:color w:val="auto"/>
          <w:sz w:val="22"/>
        </w:rPr>
        <w:t xml:space="preserve">uhrazena v </w:t>
      </w:r>
      <w:r w:rsidR="0096550C" w:rsidRPr="00B55550">
        <w:rPr>
          <w:rFonts w:ascii="Arial" w:hAnsi="Arial" w:cs="Arial"/>
          <w:b w:val="0"/>
          <w:color w:val="auto"/>
          <w:sz w:val="22"/>
        </w:rPr>
        <w:t>Kč</w:t>
      </w:r>
      <w:r w:rsidRPr="00B55550">
        <w:rPr>
          <w:rFonts w:ascii="Arial" w:hAnsi="Arial" w:cs="Arial"/>
          <w:b w:val="0"/>
          <w:color w:val="auto"/>
          <w:sz w:val="22"/>
        </w:rPr>
        <w:t xml:space="preserve"> na základě daňových dokladů - faktur, na účet Prodávajícího určeného na faktuře.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Pr="0096550C">
        <w:rPr>
          <w:rFonts w:ascii="Arial" w:hAnsi="Arial" w:cs="Arial"/>
          <w:b w:val="0"/>
          <w:color w:val="auto"/>
          <w:sz w:val="22"/>
        </w:rPr>
        <w:t>15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2370E0" w:rsidRDefault="002370E0" w:rsidP="002370E0">
      <w:pPr>
        <w:spacing w:before="240"/>
        <w:rPr>
          <w:b/>
        </w:rPr>
      </w:pPr>
      <w:r w:rsidRPr="002370E0">
        <w:t>a musí splňovat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Pr="00C13E2C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3B7F61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B7F61">
        <w:rPr>
          <w:rFonts w:ascii="Arial" w:hAnsi="Arial" w:cs="Arial"/>
          <w:b w:val="0"/>
          <w:color w:val="auto"/>
          <w:sz w:val="22"/>
        </w:rPr>
        <w:t>Prodávající poskytuje na Zboží</w:t>
      </w:r>
      <w:r w:rsidR="00FE146C">
        <w:rPr>
          <w:rFonts w:ascii="Arial" w:hAnsi="Arial" w:cs="Arial"/>
          <w:b w:val="0"/>
          <w:color w:val="auto"/>
          <w:sz w:val="22"/>
        </w:rPr>
        <w:t xml:space="preserve"> </w:t>
      </w:r>
      <w:r w:rsidRPr="003B7F61">
        <w:rPr>
          <w:rFonts w:ascii="Arial" w:hAnsi="Arial" w:cs="Arial"/>
          <w:b w:val="0"/>
          <w:color w:val="auto"/>
          <w:sz w:val="22"/>
        </w:rPr>
        <w:t>záruku za jakost v </w:t>
      </w:r>
      <w:r w:rsidRPr="00B55550">
        <w:rPr>
          <w:rFonts w:ascii="Arial" w:hAnsi="Arial" w:cs="Arial"/>
          <w:b w:val="0"/>
          <w:color w:val="auto"/>
          <w:sz w:val="22"/>
        </w:rPr>
        <w:t xml:space="preserve">délce 24 měsíců. </w:t>
      </w:r>
      <w:r w:rsidR="000B79E2" w:rsidRPr="00B55550">
        <w:rPr>
          <w:rFonts w:ascii="Arial" w:hAnsi="Arial" w:cs="Arial"/>
          <w:b w:val="0"/>
          <w:color w:val="auto"/>
          <w:sz w:val="22"/>
        </w:rPr>
        <w:t>Pokud je na záručním listu nebo jiném dokumentu uvedena delší záruční lhůta</w:t>
      </w:r>
      <w:r w:rsidR="000B79E2" w:rsidRPr="000B79E2">
        <w:rPr>
          <w:rFonts w:ascii="Arial" w:hAnsi="Arial" w:cs="Arial"/>
          <w:b w:val="0"/>
          <w:color w:val="auto"/>
          <w:sz w:val="22"/>
        </w:rPr>
        <w:t>, má tato delší záruční lhůta přednos</w:t>
      </w:r>
      <w:r w:rsidR="000B79E2">
        <w:rPr>
          <w:rFonts w:ascii="Arial" w:hAnsi="Arial" w:cs="Arial"/>
          <w:b w:val="0"/>
          <w:color w:val="auto"/>
          <w:sz w:val="22"/>
        </w:rPr>
        <w:t xml:space="preserve">t před </w:t>
      </w:r>
      <w:r w:rsidR="0021517A">
        <w:rPr>
          <w:rFonts w:ascii="Arial" w:hAnsi="Arial" w:cs="Arial"/>
          <w:b w:val="0"/>
          <w:color w:val="auto"/>
          <w:sz w:val="22"/>
        </w:rPr>
        <w:t>d</w:t>
      </w:r>
      <w:r w:rsidR="00807F4D">
        <w:rPr>
          <w:rFonts w:ascii="Arial" w:hAnsi="Arial" w:cs="Arial"/>
          <w:b w:val="0"/>
          <w:color w:val="auto"/>
          <w:sz w:val="22"/>
        </w:rPr>
        <w:t>é</w:t>
      </w:r>
      <w:r w:rsidR="0021517A">
        <w:rPr>
          <w:rFonts w:ascii="Arial" w:hAnsi="Arial" w:cs="Arial"/>
          <w:b w:val="0"/>
          <w:color w:val="auto"/>
          <w:sz w:val="22"/>
        </w:rPr>
        <w:t xml:space="preserve">lkou záruční lhůty </w:t>
      </w:r>
      <w:r w:rsidR="00A66CA2">
        <w:rPr>
          <w:rFonts w:ascii="Arial" w:hAnsi="Arial" w:cs="Arial"/>
          <w:b w:val="0"/>
          <w:color w:val="auto"/>
          <w:sz w:val="22"/>
        </w:rPr>
        <w:t xml:space="preserve">uvedené </w:t>
      </w:r>
      <w:r w:rsidR="000B79E2">
        <w:rPr>
          <w:rFonts w:ascii="Arial" w:hAnsi="Arial" w:cs="Arial"/>
          <w:b w:val="0"/>
          <w:color w:val="auto"/>
          <w:sz w:val="22"/>
        </w:rPr>
        <w:t>v této S</w:t>
      </w:r>
      <w:r w:rsidR="000B79E2" w:rsidRPr="000B79E2">
        <w:rPr>
          <w:rFonts w:ascii="Arial" w:hAnsi="Arial" w:cs="Arial"/>
          <w:b w:val="0"/>
          <w:color w:val="auto"/>
          <w:sz w:val="22"/>
        </w:rPr>
        <w:t>mlouvě.</w:t>
      </w:r>
    </w:p>
    <w:p w:rsidR="000B79E2" w:rsidRDefault="00C13E2C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</w:t>
      </w:r>
      <w:r w:rsidR="0017255F">
        <w:rPr>
          <w:rFonts w:ascii="Arial" w:hAnsi="Arial" w:cs="Arial"/>
          <w:b w:val="0"/>
          <w:color w:val="auto"/>
          <w:sz w:val="22"/>
        </w:rPr>
        <w:t>uvedení Zboží do provozu.</w:t>
      </w:r>
    </w:p>
    <w:p w:rsidR="000B79E2" w:rsidRP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</w:t>
      </w:r>
      <w:r w:rsidR="0017255F">
        <w:rPr>
          <w:rFonts w:ascii="Arial" w:hAnsi="Arial" w:cs="Arial"/>
          <w:b w:val="0"/>
          <w:color w:val="auto"/>
          <w:sz w:val="22"/>
        </w:rPr>
        <w:t xml:space="preserve">telefonicky, </w:t>
      </w:r>
      <w:r>
        <w:rPr>
          <w:rFonts w:ascii="Arial" w:hAnsi="Arial" w:cs="Arial"/>
          <w:b w:val="0"/>
          <w:color w:val="auto"/>
          <w:sz w:val="22"/>
        </w:rPr>
        <w:t>písemně</w:t>
      </w:r>
      <w:r w:rsidR="0017255F">
        <w:rPr>
          <w:rFonts w:ascii="Arial" w:hAnsi="Arial" w:cs="Arial"/>
          <w:b w:val="0"/>
          <w:color w:val="auto"/>
          <w:sz w:val="22"/>
        </w:rPr>
        <w:t xml:space="preserve"> nebo</w:t>
      </w:r>
      <w:r>
        <w:rPr>
          <w:rFonts w:ascii="Arial" w:hAnsi="Arial" w:cs="Arial"/>
          <w:b w:val="0"/>
          <w:color w:val="auto"/>
          <w:sz w:val="22"/>
        </w:rPr>
        <w:t xml:space="preserve"> prostřednictvím e-mailu. Prodávající akceptuje upozornění na záruční vady prostřednictvím e-mailové adresy: </w:t>
      </w:r>
      <w:r w:rsidRPr="000B79E2">
        <w:rPr>
          <w:rFonts w:ascii="Arial" w:hAnsi="Arial" w:cs="Arial"/>
          <w:b w:val="0"/>
          <w:color w:val="auto"/>
          <w:sz w:val="22"/>
          <w:highlight w:val="yellow"/>
        </w:rPr>
        <w:t xml:space="preserve">[vyplní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Pr="000B79E2">
        <w:rPr>
          <w:rFonts w:ascii="Arial" w:hAnsi="Arial" w:cs="Arial"/>
          <w:b w:val="0"/>
          <w:color w:val="auto"/>
          <w:sz w:val="22"/>
          <w:highlight w:val="yellow"/>
        </w:rPr>
        <w:t>]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>Prodávající zahájí reklamační řízení nejpozději 3 dny po nahlášení závady Kupujícím</w:t>
      </w:r>
      <w:r w:rsidR="00DD3A7E">
        <w:rPr>
          <w:rFonts w:ascii="Arial" w:hAnsi="Arial" w:cs="Arial"/>
          <w:b w:val="0"/>
          <w:color w:val="auto"/>
          <w:sz w:val="22"/>
        </w:rPr>
        <w:t xml:space="preserve"> tak, že </w:t>
      </w:r>
      <w:proofErr w:type="spellStart"/>
      <w:r w:rsidR="00DD3A7E">
        <w:rPr>
          <w:rFonts w:ascii="Arial" w:hAnsi="Arial" w:cs="Arial"/>
          <w:b w:val="0"/>
          <w:color w:val="auto"/>
          <w:sz w:val="22"/>
        </w:rPr>
        <w:t>informomuje</w:t>
      </w:r>
      <w:proofErr w:type="spellEnd"/>
      <w:r w:rsidR="00DD3A7E">
        <w:rPr>
          <w:rFonts w:ascii="Arial" w:hAnsi="Arial" w:cs="Arial"/>
          <w:b w:val="0"/>
          <w:color w:val="auto"/>
          <w:sz w:val="22"/>
        </w:rPr>
        <w:t xml:space="preserve"> kupujícího o převzetí požadavku a návrhu jeho řešení včetně termínu odstranění vady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lastRenderedPageBreak/>
        <w:t>požádat o odstranění vady opravou nebo</w:t>
      </w:r>
    </w:p>
    <w:p w:rsidR="000B79E2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693E16" w:rsidRDefault="00693E16" w:rsidP="00693E16">
      <w:pPr>
        <w:ind w:left="567"/>
      </w:pPr>
    </w:p>
    <w:p w:rsidR="00A00819" w:rsidRPr="000B79E2" w:rsidRDefault="00A00819" w:rsidP="00693E16">
      <w:pPr>
        <w:spacing w:after="240"/>
        <w:ind w:left="567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14 dnů od jejího oznámení.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</w:t>
      </w:r>
      <w:r w:rsidR="0017255F" w:rsidRPr="0017255F">
        <w:rPr>
          <w:rFonts w:ascii="Arial" w:hAnsi="Arial" w:cs="Arial"/>
          <w:b w:val="0"/>
          <w:iCs/>
          <w:color w:val="auto"/>
          <w:sz w:val="22"/>
        </w:rPr>
        <w:t>V případě opravy v záruční době se tato prodlužuje o dobu od oznámení závady Kupujícím po její odstranění Prodávajícím.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</w:t>
      </w:r>
      <w:r w:rsidR="004E7841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41B5F" w:rsidRDefault="00741B5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54516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F62F4E" w:rsidRDefault="00F62F4E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lastRenderedPageBreak/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 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F62F4E" w:rsidRDefault="00F62F4E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[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B55550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B55550">
        <w:rPr>
          <w:rFonts w:ascii="Arial" w:hAnsi="Arial" w:cs="Arial"/>
          <w:b w:val="0"/>
          <w:color w:val="auto"/>
          <w:sz w:val="22"/>
        </w:rPr>
        <w:t>Kupující uvádí následující zástupce pro komunikaci s Prodávajícím:</w:t>
      </w:r>
    </w:p>
    <w:p w:rsidR="00492CD6" w:rsidRPr="00B55550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B55550">
        <w:rPr>
          <w:rFonts w:cs="Arial"/>
        </w:rPr>
        <w:t xml:space="preserve">Jméno a příjmení: </w:t>
      </w:r>
      <w:r w:rsidRPr="00B55550">
        <w:rPr>
          <w:rFonts w:cs="Arial"/>
        </w:rPr>
        <w:tab/>
      </w:r>
      <w:r w:rsidR="00B55550" w:rsidRPr="00B55550">
        <w:rPr>
          <w:rFonts w:cs="Arial"/>
        </w:rPr>
        <w:t>Jiří Hospodka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B55550">
        <w:rPr>
          <w:rFonts w:cs="Arial"/>
          <w:bCs/>
        </w:rPr>
        <w:t>E-mail:</w:t>
      </w:r>
      <w:r w:rsidRPr="00217236">
        <w:rPr>
          <w:rFonts w:cs="Arial"/>
          <w:bCs/>
        </w:rPr>
        <w:tab/>
      </w:r>
      <w:r w:rsidR="00B55550">
        <w:rPr>
          <w:rFonts w:cs="Arial"/>
          <w:bCs/>
        </w:rPr>
        <w:t>hospodka@fel.cvut.cz</w:t>
      </w:r>
    </w:p>
    <w:p w:rsidR="00174F32" w:rsidRPr="00217236" w:rsidRDefault="00174F32">
      <w:pPr>
        <w:suppressAutoHyphens w:val="0"/>
        <w:rPr>
          <w:rFonts w:eastAsia="Batang" w:cs="Arial"/>
          <w:b/>
          <w:szCs w:val="22"/>
          <w:lang w:eastAsia="en-GB"/>
        </w:rPr>
      </w:pP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lastRenderedPageBreak/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Smlouva se vyhotovuje ve 4 (čtyřech) stejnopisech, z nichž každý má platnost originálu. Každá ze smluvních stran obdrží po 2 (dvou) stejnopisech.</w:t>
      </w:r>
    </w:p>
    <w:p w:rsidR="008A4737" w:rsidRPr="008A4737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>) 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a účinná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E5711B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F979AA" w:rsidRPr="00217236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  <w:r w:rsidR="00F979AA" w:rsidRPr="00E5711B">
        <w:rPr>
          <w:rFonts w:cs="Arial"/>
          <w:szCs w:val="20"/>
          <w:lang w:eastAsia="cs-CZ"/>
        </w:rPr>
        <w:t>,</w:t>
      </w:r>
      <w:r w:rsidR="00F979AA" w:rsidRPr="00E5711B">
        <w:rPr>
          <w:rFonts w:cs="Arial"/>
        </w:rPr>
        <w:t xml:space="preserve"> 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Pr="00E5711B">
        <w:rPr>
          <w:rFonts w:cs="Arial"/>
          <w:sz w:val="20"/>
        </w:rPr>
        <w:tab/>
        <w:t>……………………………………..</w:t>
      </w:r>
    </w:p>
    <w:p w:rsidR="00F979AA" w:rsidRPr="00E5711B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za kupujícího</w:t>
      </w:r>
      <w:r w:rsidRPr="00E5711B">
        <w:rPr>
          <w:rFonts w:cs="Arial"/>
        </w:rPr>
        <w:tab/>
      </w:r>
      <w:r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:rsidR="00F979AA" w:rsidRPr="00E5711B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  <w:t xml:space="preserve">prof. Ing. Pavel </w:t>
      </w:r>
      <w:proofErr w:type="spellStart"/>
      <w:r w:rsidRPr="00E5711B">
        <w:rPr>
          <w:rFonts w:cs="Arial"/>
        </w:rPr>
        <w:t>Ripka</w:t>
      </w:r>
      <w:proofErr w:type="spellEnd"/>
      <w:r w:rsidRPr="00E5711B">
        <w:rPr>
          <w:rFonts w:cs="Arial"/>
        </w:rPr>
        <w:t>, CSc.,</w:t>
      </w:r>
      <w:r w:rsidRPr="00E5711B">
        <w:rPr>
          <w:rFonts w:cs="Arial"/>
        </w:rPr>
        <w:tab/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děkan</w:t>
      </w:r>
      <w:r w:rsidRPr="00E5711B">
        <w:rPr>
          <w:rFonts w:cs="Arial"/>
        </w:rPr>
        <w:tab/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F62F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410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lastRenderedPageBreak/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</w:p>
    <w:p w:rsidR="0096550C" w:rsidRDefault="00AE0FEC" w:rsidP="0096550C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  <w:r>
        <w:rPr>
          <w:rFonts w:cs="Arial"/>
          <w:b/>
          <w:bCs/>
          <w:caps/>
          <w:szCs w:val="20"/>
          <w:lang w:eastAsia="en-US"/>
        </w:rPr>
        <w:t xml:space="preserve">Předmětem plnění je 12 stejných souborů přístrojů, přičemž jeden soubor se skládá zE stolního multimetru, digitálního osciloskopu a generátoru. </w:t>
      </w:r>
    </w:p>
    <w:p w:rsidR="0096550C" w:rsidRDefault="0094179C" w:rsidP="0096550C">
      <w:pPr>
        <w:rPr>
          <w:sz w:val="28"/>
        </w:rPr>
      </w:pPr>
      <w:r w:rsidRPr="00310715">
        <w:rPr>
          <w:b/>
          <w:sz w:val="28"/>
        </w:rPr>
        <w:t xml:space="preserve">Specifikace – </w:t>
      </w:r>
      <w:r w:rsidR="00B437BB" w:rsidRPr="00B437BB">
        <w:rPr>
          <w:b/>
          <w:sz w:val="28"/>
        </w:rPr>
        <w:t xml:space="preserve">stolní </w:t>
      </w:r>
      <w:proofErr w:type="spellStart"/>
      <w:r w:rsidR="00B437BB" w:rsidRPr="00B437BB">
        <w:rPr>
          <w:b/>
          <w:sz w:val="28"/>
        </w:rPr>
        <w:t>multimetr</w:t>
      </w:r>
      <w:proofErr w:type="spellEnd"/>
      <w:r w:rsidR="001124F0">
        <w:rPr>
          <w:b/>
          <w:sz w:val="28"/>
        </w:rPr>
        <w:t>, minimální požadavky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731"/>
        <w:gridCol w:w="5992"/>
        <w:gridCol w:w="3109"/>
        <w:gridCol w:w="1542"/>
      </w:tblGrid>
      <w:tr w:rsidR="0096550C" w:rsidRPr="00364DC0" w:rsidTr="0094179C">
        <w:trPr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6550C" w:rsidRPr="00364DC0" w:rsidRDefault="0096550C" w:rsidP="00361F67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Pořadí</w:t>
            </w:r>
          </w:p>
        </w:tc>
        <w:tc>
          <w:tcPr>
            <w:tcW w:w="3058" w:type="pct"/>
            <w:gridSpan w:val="2"/>
            <w:shd w:val="clear" w:color="auto" w:fill="C6D9F1" w:themeFill="text2" w:themeFillTint="33"/>
            <w:vAlign w:val="center"/>
          </w:tcPr>
          <w:p w:rsidR="0096550C" w:rsidRPr="00364DC0" w:rsidRDefault="0096550C" w:rsidP="00361F67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Požadovaný parametr</w:t>
            </w:r>
          </w:p>
        </w:tc>
        <w:tc>
          <w:tcPr>
            <w:tcW w:w="1090" w:type="pct"/>
            <w:shd w:val="clear" w:color="auto" w:fill="C6D9F1" w:themeFill="text2" w:themeFillTint="33"/>
            <w:vAlign w:val="center"/>
          </w:tcPr>
          <w:p w:rsidR="0096550C" w:rsidRPr="00217236" w:rsidRDefault="0096550C" w:rsidP="00361F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41" w:type="pct"/>
            <w:shd w:val="clear" w:color="auto" w:fill="C6D9F1" w:themeFill="text2" w:themeFillTint="33"/>
            <w:vAlign w:val="center"/>
          </w:tcPr>
          <w:p w:rsidR="0096550C" w:rsidRPr="00217236" w:rsidRDefault="0096550C" w:rsidP="00361F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</w:t>
            </w:r>
          </w:p>
          <w:p w:rsidR="0096550C" w:rsidRPr="00217236" w:rsidRDefault="0096550C" w:rsidP="00361F6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ANO</w:t>
            </w:r>
            <w:r w:rsidRPr="00217236">
              <w:rPr>
                <w:rFonts w:cs="Arial"/>
                <w:b/>
                <w:szCs w:val="22"/>
              </w:rPr>
              <w:t>/N</w:t>
            </w:r>
            <w:r>
              <w:rPr>
                <w:rFonts w:cs="Arial"/>
                <w:b/>
                <w:szCs w:val="22"/>
              </w:rPr>
              <w:t>e</w:t>
            </w:r>
          </w:p>
        </w:tc>
      </w:tr>
      <w:tr w:rsidR="0094179C" w:rsidRPr="00AD70CA" w:rsidTr="0094179C">
        <w:tc>
          <w:tcPr>
            <w:tcW w:w="311" w:type="pct"/>
            <w:shd w:val="clear" w:color="auto" w:fill="auto"/>
            <w:vAlign w:val="center"/>
          </w:tcPr>
          <w:p w:rsidR="0094179C" w:rsidRPr="00361806" w:rsidRDefault="0094179C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1.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4179C" w:rsidRPr="00361806" w:rsidRDefault="00D96BD9" w:rsidP="005779B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5C64F7" w:rsidRPr="005C64F7">
              <w:rPr>
                <w:rFonts w:cs="Arial"/>
                <w:szCs w:val="20"/>
              </w:rPr>
              <w:t>ozlišení</w:t>
            </w:r>
          </w:p>
        </w:tc>
        <w:tc>
          <w:tcPr>
            <w:tcW w:w="2100" w:type="pct"/>
            <w:vAlign w:val="center"/>
          </w:tcPr>
          <w:p w:rsidR="0094179C" w:rsidRPr="00361806" w:rsidRDefault="005C64F7" w:rsidP="005C64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 1/2 </w:t>
            </w:r>
            <w:proofErr w:type="spellStart"/>
            <w:r>
              <w:rPr>
                <w:rFonts w:cs="Arial"/>
                <w:szCs w:val="20"/>
              </w:rPr>
              <w:t>digitů</w:t>
            </w:r>
            <w:proofErr w:type="spellEnd"/>
          </w:p>
        </w:tc>
        <w:tc>
          <w:tcPr>
            <w:tcW w:w="1090" w:type="pct"/>
          </w:tcPr>
          <w:p w:rsidR="0094179C" w:rsidRDefault="0094179C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94179C" w:rsidRDefault="0094179C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5779B5" w:rsidRPr="00AD70CA" w:rsidTr="0094179C">
        <w:tc>
          <w:tcPr>
            <w:tcW w:w="311" w:type="pct"/>
            <w:shd w:val="clear" w:color="auto" w:fill="auto"/>
            <w:vAlign w:val="center"/>
          </w:tcPr>
          <w:p w:rsidR="005779B5" w:rsidRPr="00361806" w:rsidRDefault="005779B5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2.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779B5" w:rsidRPr="00361806" w:rsidRDefault="005C64F7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Měření </w:t>
            </w:r>
            <w:r w:rsidRPr="005C64F7">
              <w:rPr>
                <w:rFonts w:cs="Arial"/>
                <w:szCs w:val="20"/>
              </w:rPr>
              <w:t>stejnosměrných a střídavých napětí</w:t>
            </w:r>
            <w:r>
              <w:rPr>
                <w:rFonts w:cs="Arial"/>
                <w:szCs w:val="20"/>
              </w:rPr>
              <w:t xml:space="preserve"> v rozsazích</w:t>
            </w:r>
          </w:p>
        </w:tc>
        <w:tc>
          <w:tcPr>
            <w:tcW w:w="2100" w:type="pct"/>
            <w:vAlign w:val="center"/>
          </w:tcPr>
          <w:p w:rsidR="005779B5" w:rsidRPr="00361806" w:rsidRDefault="00B437BB" w:rsidP="005C64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5C64F7">
              <w:rPr>
                <w:rFonts w:cs="Arial"/>
                <w:szCs w:val="20"/>
              </w:rPr>
              <w:t>200</w:t>
            </w:r>
            <w:r w:rsidR="00D96BD9">
              <w:rPr>
                <w:rFonts w:cs="Arial"/>
                <w:szCs w:val="20"/>
              </w:rPr>
              <w:t xml:space="preserve"> </w:t>
            </w:r>
            <w:proofErr w:type="spellStart"/>
            <w:r w:rsidR="005C64F7">
              <w:rPr>
                <w:rFonts w:cs="Arial"/>
                <w:szCs w:val="20"/>
              </w:rPr>
              <w:t>mV</w:t>
            </w:r>
            <w:proofErr w:type="spellEnd"/>
            <w:r w:rsidR="005C64F7">
              <w:rPr>
                <w:rFonts w:cs="Arial"/>
                <w:szCs w:val="20"/>
              </w:rPr>
              <w:t xml:space="preserve"> až 750</w:t>
            </w:r>
            <w:r w:rsidR="00D96BD9">
              <w:rPr>
                <w:rFonts w:cs="Arial"/>
                <w:szCs w:val="20"/>
              </w:rPr>
              <w:t xml:space="preserve"> </w:t>
            </w:r>
            <w:r w:rsidR="005C64F7">
              <w:rPr>
                <w:rFonts w:cs="Arial"/>
                <w:szCs w:val="20"/>
              </w:rPr>
              <w:t>V</w:t>
            </w:r>
          </w:p>
        </w:tc>
        <w:tc>
          <w:tcPr>
            <w:tcW w:w="1090" w:type="pct"/>
          </w:tcPr>
          <w:p w:rsidR="005779B5" w:rsidRDefault="005779B5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5779B5" w:rsidRDefault="005779B5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5C64F7" w:rsidRPr="00AD70CA" w:rsidTr="0094179C">
        <w:tc>
          <w:tcPr>
            <w:tcW w:w="311" w:type="pct"/>
            <w:shd w:val="clear" w:color="auto" w:fill="auto"/>
            <w:vAlign w:val="center"/>
          </w:tcPr>
          <w:p w:rsidR="005C64F7" w:rsidRPr="00361806" w:rsidRDefault="005C64F7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3.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C64F7" w:rsidRPr="00361806" w:rsidRDefault="005C64F7" w:rsidP="005C64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Měření </w:t>
            </w:r>
            <w:r w:rsidRPr="005C64F7">
              <w:rPr>
                <w:rFonts w:cs="Arial"/>
                <w:szCs w:val="20"/>
              </w:rPr>
              <w:t xml:space="preserve">stejnosměrných a střídavých </w:t>
            </w:r>
            <w:r>
              <w:rPr>
                <w:rFonts w:cs="Arial"/>
                <w:szCs w:val="20"/>
              </w:rPr>
              <w:t>proudů v rozsazích</w:t>
            </w:r>
          </w:p>
        </w:tc>
        <w:tc>
          <w:tcPr>
            <w:tcW w:w="2100" w:type="pct"/>
            <w:vAlign w:val="center"/>
          </w:tcPr>
          <w:p w:rsidR="005C64F7" w:rsidRPr="00361806" w:rsidRDefault="005C64F7" w:rsidP="005C64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 200</w:t>
            </w:r>
            <w:r w:rsidR="00D96BD9">
              <w:rPr>
                <w:rFonts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µ</w:t>
            </w:r>
            <w:r>
              <w:rPr>
                <w:rFonts w:cs="Arial"/>
                <w:szCs w:val="20"/>
              </w:rPr>
              <w:t xml:space="preserve">A až </w:t>
            </w:r>
            <w:proofErr w:type="gramStart"/>
            <w:r>
              <w:rPr>
                <w:rFonts w:cs="Arial"/>
                <w:szCs w:val="20"/>
              </w:rPr>
              <w:t>max.10</w:t>
            </w:r>
            <w:proofErr w:type="gramEnd"/>
            <w:r w:rsidR="00D96BD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090" w:type="pct"/>
          </w:tcPr>
          <w:p w:rsidR="005C64F7" w:rsidRDefault="005C64F7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5C64F7" w:rsidRDefault="005C64F7" w:rsidP="0096550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5C64F7" w:rsidRPr="00AD70CA" w:rsidTr="0094179C">
        <w:tc>
          <w:tcPr>
            <w:tcW w:w="311" w:type="pct"/>
            <w:shd w:val="clear" w:color="auto" w:fill="auto"/>
            <w:vAlign w:val="center"/>
          </w:tcPr>
          <w:p w:rsidR="005C64F7" w:rsidRPr="00361806" w:rsidRDefault="005C64F7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4.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C64F7" w:rsidRPr="00361806" w:rsidRDefault="005C64F7" w:rsidP="005C64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Měření DC odporu v rozsazích</w:t>
            </w:r>
          </w:p>
        </w:tc>
        <w:tc>
          <w:tcPr>
            <w:tcW w:w="2100" w:type="pct"/>
            <w:vAlign w:val="center"/>
          </w:tcPr>
          <w:p w:rsidR="005C64F7" w:rsidRPr="00361806" w:rsidRDefault="005C64F7" w:rsidP="001124F0">
            <w:pPr>
              <w:rPr>
                <w:rFonts w:cs="Arial"/>
                <w:szCs w:val="20"/>
              </w:rPr>
            </w:pPr>
            <w:r w:rsidRPr="005C64F7">
              <w:rPr>
                <w:rFonts w:cs="Arial"/>
                <w:szCs w:val="20"/>
              </w:rPr>
              <w:t xml:space="preserve">min. 200 </w:t>
            </w:r>
            <w:r>
              <w:rPr>
                <w:rFonts w:cs="Arial"/>
                <w:szCs w:val="20"/>
              </w:rPr>
              <w:t>Ω</w:t>
            </w:r>
            <w:r w:rsidRPr="005C64F7">
              <w:rPr>
                <w:rFonts w:cs="Arial"/>
                <w:szCs w:val="20"/>
              </w:rPr>
              <w:t xml:space="preserve"> až 100 M</w:t>
            </w:r>
            <w:r>
              <w:rPr>
                <w:rFonts w:cs="Arial"/>
                <w:szCs w:val="20"/>
              </w:rPr>
              <w:t xml:space="preserve"> </w:t>
            </w:r>
            <w:r w:rsidR="001124F0">
              <w:rPr>
                <w:rFonts w:cs="Arial"/>
                <w:szCs w:val="20"/>
              </w:rPr>
              <w:t>Ω</w:t>
            </w:r>
          </w:p>
        </w:tc>
        <w:tc>
          <w:tcPr>
            <w:tcW w:w="1090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5C64F7" w:rsidRPr="00AD70CA" w:rsidTr="0094179C">
        <w:tc>
          <w:tcPr>
            <w:tcW w:w="311" w:type="pct"/>
            <w:shd w:val="clear" w:color="auto" w:fill="auto"/>
            <w:vAlign w:val="center"/>
          </w:tcPr>
          <w:p w:rsidR="005C64F7" w:rsidRPr="00361806" w:rsidRDefault="005C64F7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5.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C64F7" w:rsidRPr="00361806" w:rsidRDefault="005C64F7" w:rsidP="001124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Měření </w:t>
            </w:r>
            <w:r w:rsidR="001124F0">
              <w:rPr>
                <w:rFonts w:cs="Arial"/>
                <w:szCs w:val="20"/>
              </w:rPr>
              <w:t>kapacity</w:t>
            </w:r>
            <w:r w:rsidRPr="005C64F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 rozsazích</w:t>
            </w:r>
          </w:p>
        </w:tc>
        <w:tc>
          <w:tcPr>
            <w:tcW w:w="2100" w:type="pct"/>
            <w:vAlign w:val="center"/>
          </w:tcPr>
          <w:p w:rsidR="005C64F7" w:rsidRPr="00361806" w:rsidRDefault="00071A17" w:rsidP="00071A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1124F0">
              <w:rPr>
                <w:rFonts w:cs="Arial"/>
                <w:szCs w:val="20"/>
              </w:rPr>
              <w:t>in. 2</w:t>
            </w:r>
            <w:r w:rsidR="00D96BD9">
              <w:rPr>
                <w:rFonts w:cs="Arial"/>
                <w:szCs w:val="20"/>
              </w:rPr>
              <w:t xml:space="preserve"> </w:t>
            </w:r>
            <w:proofErr w:type="spellStart"/>
            <w:r w:rsidR="001124F0">
              <w:rPr>
                <w:rFonts w:cs="Arial"/>
                <w:szCs w:val="20"/>
              </w:rPr>
              <w:t>nF</w:t>
            </w:r>
            <w:proofErr w:type="spellEnd"/>
            <w:r w:rsidR="001124F0">
              <w:rPr>
                <w:rFonts w:cs="Arial"/>
                <w:szCs w:val="20"/>
              </w:rPr>
              <w:t xml:space="preserve"> až 20</w:t>
            </w:r>
            <w:r w:rsidR="00D96BD9">
              <w:rPr>
                <w:rFonts w:cs="Arial"/>
                <w:szCs w:val="20"/>
              </w:rPr>
              <w:t xml:space="preserve"> </w:t>
            </w:r>
            <w:proofErr w:type="spellStart"/>
            <w:r w:rsidR="001124F0">
              <w:rPr>
                <w:rFonts w:cs="Arial"/>
                <w:szCs w:val="20"/>
              </w:rPr>
              <w:t>mF</w:t>
            </w:r>
            <w:proofErr w:type="spellEnd"/>
          </w:p>
        </w:tc>
        <w:tc>
          <w:tcPr>
            <w:tcW w:w="1090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5C64F7" w:rsidRPr="00AD70CA" w:rsidTr="0094179C">
        <w:tc>
          <w:tcPr>
            <w:tcW w:w="311" w:type="pct"/>
            <w:shd w:val="clear" w:color="auto" w:fill="auto"/>
            <w:vAlign w:val="center"/>
          </w:tcPr>
          <w:p w:rsidR="005C64F7" w:rsidRPr="00361806" w:rsidRDefault="005C64F7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6.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C64F7" w:rsidRPr="00361806" w:rsidRDefault="001124F0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veličiny</w:t>
            </w:r>
          </w:p>
        </w:tc>
        <w:tc>
          <w:tcPr>
            <w:tcW w:w="2100" w:type="pct"/>
            <w:vAlign w:val="center"/>
          </w:tcPr>
          <w:p w:rsidR="005C64F7" w:rsidRPr="00361806" w:rsidRDefault="001124F0" w:rsidP="00D96B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měření kmitočtu, teploty</w:t>
            </w:r>
          </w:p>
        </w:tc>
        <w:tc>
          <w:tcPr>
            <w:tcW w:w="1090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5C64F7" w:rsidRDefault="005C64F7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94179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7.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071A17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</w:t>
            </w:r>
            <w:proofErr w:type="spellStart"/>
            <w:r w:rsidR="001124F0" w:rsidRPr="005C64F7">
              <w:rPr>
                <w:rFonts w:cs="Arial"/>
                <w:szCs w:val="20"/>
              </w:rPr>
              <w:t>True</w:t>
            </w:r>
            <w:proofErr w:type="spellEnd"/>
            <w:r w:rsidR="001124F0" w:rsidRPr="005C64F7">
              <w:rPr>
                <w:rFonts w:cs="Arial"/>
                <w:szCs w:val="20"/>
              </w:rPr>
              <w:t xml:space="preserve"> RMS</w:t>
            </w:r>
            <w:r>
              <w:rPr>
                <w:rFonts w:cs="Arial"/>
                <w:szCs w:val="20"/>
              </w:rPr>
              <w:t>"</w:t>
            </w:r>
            <w:r w:rsidR="001124F0" w:rsidRPr="005C64F7">
              <w:rPr>
                <w:rFonts w:cs="Arial"/>
                <w:szCs w:val="20"/>
              </w:rPr>
              <w:t xml:space="preserve"> měření střídavých</w:t>
            </w:r>
            <w:r w:rsidR="001124F0">
              <w:rPr>
                <w:rFonts w:cs="Arial"/>
                <w:szCs w:val="20"/>
              </w:rPr>
              <w:t xml:space="preserve"> napětí</w:t>
            </w:r>
          </w:p>
        </w:tc>
        <w:tc>
          <w:tcPr>
            <w:tcW w:w="2100" w:type="pct"/>
            <w:vAlign w:val="center"/>
          </w:tcPr>
          <w:p w:rsidR="001124F0" w:rsidRPr="00361806" w:rsidRDefault="001124F0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 do 300</w:t>
            </w:r>
            <w:r w:rsidR="00D96BD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kHz s chybou max. 0,5</w:t>
            </w:r>
            <w:r w:rsidR="00D96BD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%</w:t>
            </w:r>
            <w:r w:rsidR="00071A17">
              <w:rPr>
                <w:rFonts w:cs="Arial"/>
                <w:szCs w:val="20"/>
              </w:rPr>
              <w:t xml:space="preserve"> z rozsahu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D96BD9" w:rsidRDefault="00D96BD9" w:rsidP="00B437BB">
      <w:pPr>
        <w:rPr>
          <w:b/>
          <w:sz w:val="28"/>
        </w:rPr>
      </w:pPr>
    </w:p>
    <w:p w:rsidR="00D96BD9" w:rsidRDefault="00D96BD9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B437BB" w:rsidRDefault="00B437BB" w:rsidP="00B437BB">
      <w:pPr>
        <w:rPr>
          <w:sz w:val="28"/>
        </w:rPr>
      </w:pPr>
      <w:r w:rsidRPr="00310715">
        <w:rPr>
          <w:b/>
          <w:sz w:val="28"/>
        </w:rPr>
        <w:lastRenderedPageBreak/>
        <w:t xml:space="preserve">Specifikace – </w:t>
      </w:r>
      <w:r>
        <w:rPr>
          <w:b/>
          <w:sz w:val="28"/>
        </w:rPr>
        <w:t>digitální osciloskop</w:t>
      </w:r>
      <w:r w:rsidR="001124F0">
        <w:rPr>
          <w:b/>
          <w:sz w:val="28"/>
        </w:rPr>
        <w:t>, minimální požadavky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731"/>
        <w:gridCol w:w="5992"/>
        <w:gridCol w:w="3109"/>
        <w:gridCol w:w="1542"/>
      </w:tblGrid>
      <w:tr w:rsidR="00B437BB" w:rsidRPr="00364DC0" w:rsidTr="00AE0FEC">
        <w:trPr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B437BB" w:rsidRPr="00364DC0" w:rsidRDefault="00B437BB" w:rsidP="00AE0FEC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Pořadí</w:t>
            </w:r>
          </w:p>
        </w:tc>
        <w:tc>
          <w:tcPr>
            <w:tcW w:w="3058" w:type="pct"/>
            <w:gridSpan w:val="2"/>
            <w:shd w:val="clear" w:color="auto" w:fill="C6D9F1" w:themeFill="text2" w:themeFillTint="33"/>
            <w:vAlign w:val="center"/>
          </w:tcPr>
          <w:p w:rsidR="00B437BB" w:rsidRPr="00364DC0" w:rsidRDefault="00B437BB" w:rsidP="00AE0FEC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Požadovaný parametr</w:t>
            </w:r>
          </w:p>
        </w:tc>
        <w:tc>
          <w:tcPr>
            <w:tcW w:w="1090" w:type="pct"/>
            <w:shd w:val="clear" w:color="auto" w:fill="C6D9F1" w:themeFill="text2" w:themeFillTint="33"/>
            <w:vAlign w:val="center"/>
          </w:tcPr>
          <w:p w:rsidR="00B437BB" w:rsidRPr="00217236" w:rsidRDefault="00B437BB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41" w:type="pct"/>
            <w:shd w:val="clear" w:color="auto" w:fill="C6D9F1" w:themeFill="text2" w:themeFillTint="33"/>
            <w:vAlign w:val="center"/>
          </w:tcPr>
          <w:p w:rsidR="00B437BB" w:rsidRPr="00217236" w:rsidRDefault="00B437BB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</w:t>
            </w:r>
          </w:p>
          <w:p w:rsidR="00B437BB" w:rsidRPr="00217236" w:rsidRDefault="00B437BB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ANO</w:t>
            </w:r>
            <w:r w:rsidRPr="00217236">
              <w:rPr>
                <w:rFonts w:cs="Arial"/>
                <w:b/>
                <w:szCs w:val="22"/>
              </w:rPr>
              <w:t>/N</w:t>
            </w:r>
            <w:r>
              <w:rPr>
                <w:rFonts w:cs="Arial"/>
                <w:b/>
                <w:szCs w:val="22"/>
              </w:rPr>
              <w:t>e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1.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kanálů </w:t>
            </w:r>
          </w:p>
        </w:tc>
        <w:tc>
          <w:tcPr>
            <w:tcW w:w="2100" w:type="pct"/>
            <w:vAlign w:val="center"/>
          </w:tcPr>
          <w:p w:rsidR="00B437BB" w:rsidRPr="00361806" w:rsidRDefault="00D96BD9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B437BB">
              <w:rPr>
                <w:rFonts w:cs="Arial"/>
                <w:szCs w:val="20"/>
              </w:rPr>
              <w:t>4 kanály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2.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rychlost vzorkování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 1GSa/s na kanál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3.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šířka pásma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DC - min. 70 MHz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4.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 w:rsidRPr="005779B5">
              <w:rPr>
                <w:rFonts w:cs="Arial"/>
                <w:szCs w:val="20"/>
              </w:rPr>
              <w:t>rozlišení A/D převodníku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 w:rsidRPr="005779B5">
              <w:rPr>
                <w:rFonts w:cs="Arial"/>
                <w:szCs w:val="20"/>
              </w:rPr>
              <w:t>min. 8 bitů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5.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9055A3" w:rsidP="00AE0FEC">
            <w:pPr>
              <w:rPr>
                <w:rFonts w:cs="Arial"/>
                <w:szCs w:val="20"/>
              </w:rPr>
            </w:pPr>
            <w:r w:rsidRPr="00AE0FEC">
              <w:rPr>
                <w:rFonts w:cs="Arial"/>
                <w:szCs w:val="20"/>
              </w:rPr>
              <w:t>vertikální</w:t>
            </w:r>
            <w:r w:rsidR="001E1AC5" w:rsidRPr="00AE0FEC">
              <w:rPr>
                <w:rFonts w:cs="Arial"/>
                <w:szCs w:val="20"/>
              </w:rPr>
              <w:t xml:space="preserve"> </w:t>
            </w:r>
            <w:r w:rsidR="00B437BB" w:rsidRPr="00AE0FEC">
              <w:rPr>
                <w:rFonts w:cs="Arial"/>
                <w:szCs w:val="20"/>
              </w:rPr>
              <w:t>citlivost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 1mV/dílek</w:t>
            </w:r>
            <w:r w:rsidR="00071A17">
              <w:rPr>
                <w:rFonts w:cs="Arial"/>
                <w:szCs w:val="20"/>
              </w:rPr>
              <w:t xml:space="preserve"> až 10V/dílek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6.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AE0FEC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horizontální </w:t>
            </w:r>
            <w:r w:rsidR="00B437BB" w:rsidRPr="005779B5">
              <w:rPr>
                <w:rFonts w:cs="Arial"/>
                <w:szCs w:val="20"/>
              </w:rPr>
              <w:t xml:space="preserve">rozlišení 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jc w:val="both"/>
              <w:rPr>
                <w:rFonts w:ascii="Symbol" w:hAnsi="Symbol" w:cs="Arial"/>
                <w:szCs w:val="20"/>
              </w:rPr>
            </w:pPr>
            <w:r w:rsidRPr="005779B5">
              <w:rPr>
                <w:rFonts w:cs="Arial"/>
                <w:szCs w:val="20"/>
              </w:rPr>
              <w:t>min. 5ns/dílek</w:t>
            </w:r>
            <w:r w:rsidR="00071A17">
              <w:rPr>
                <w:rFonts w:cs="Arial"/>
                <w:szCs w:val="20"/>
              </w:rPr>
              <w:t xml:space="preserve"> až 50s/dílek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7.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AE0FEC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B437BB">
              <w:rPr>
                <w:rFonts w:cs="Arial"/>
                <w:szCs w:val="20"/>
              </w:rPr>
              <w:t>loubka paměti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 24</w:t>
            </w:r>
            <w:r w:rsidR="00D96BD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Mp.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  <w:vAlign w:val="center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8.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funkce</w:t>
            </w:r>
          </w:p>
        </w:tc>
        <w:tc>
          <w:tcPr>
            <w:tcW w:w="2100" w:type="pct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  <w:r w:rsidRPr="00B437BB">
              <w:rPr>
                <w:rFonts w:cs="Arial"/>
                <w:szCs w:val="20"/>
              </w:rPr>
              <w:t>zabudovaný nastavitelný digit</w:t>
            </w:r>
            <w:r>
              <w:rPr>
                <w:rFonts w:cs="Arial"/>
                <w:szCs w:val="20"/>
              </w:rPr>
              <w:t>ální filtr typu DP, HP, PP,</w:t>
            </w:r>
            <w:r w:rsidRPr="00B437BB">
              <w:rPr>
                <w:rFonts w:cs="Arial"/>
                <w:szCs w:val="20"/>
              </w:rPr>
              <w:t xml:space="preserve"> PZ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9.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</w:p>
        </w:tc>
        <w:tc>
          <w:tcPr>
            <w:tcW w:w="2100" w:type="pct"/>
            <w:vAlign w:val="center"/>
          </w:tcPr>
          <w:p w:rsidR="00B437BB" w:rsidRPr="00361806" w:rsidRDefault="00B437BB" w:rsidP="00071A17">
            <w:pPr>
              <w:rPr>
                <w:rFonts w:cs="Arial"/>
                <w:szCs w:val="20"/>
              </w:rPr>
            </w:pPr>
            <w:r w:rsidRPr="00B437BB">
              <w:rPr>
                <w:rFonts w:cs="Arial"/>
                <w:szCs w:val="20"/>
              </w:rPr>
              <w:t>dekódování sériových linek RS232/UART, I2C</w:t>
            </w:r>
            <w:r>
              <w:rPr>
                <w:rFonts w:cs="Arial"/>
                <w:szCs w:val="20"/>
              </w:rPr>
              <w:t xml:space="preserve"> a SPI</w:t>
            </w:r>
            <w:r w:rsidR="00071A17">
              <w:rPr>
                <w:rFonts w:cs="Arial"/>
                <w:szCs w:val="20"/>
              </w:rPr>
              <w:t>, logická analýza min. 16 bitů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10.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B437BB" w:rsidP="00AE0FEC">
            <w:pPr>
              <w:rPr>
                <w:rFonts w:cs="Arial"/>
                <w:szCs w:val="20"/>
              </w:rPr>
            </w:pPr>
          </w:p>
        </w:tc>
        <w:tc>
          <w:tcPr>
            <w:tcW w:w="2100" w:type="pct"/>
            <w:vAlign w:val="center"/>
          </w:tcPr>
          <w:p w:rsidR="00B437BB" w:rsidRPr="00361806" w:rsidRDefault="00B437BB" w:rsidP="00071A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B437BB">
              <w:rPr>
                <w:rFonts w:cs="Arial"/>
                <w:szCs w:val="20"/>
              </w:rPr>
              <w:t>ěření</w:t>
            </w:r>
            <w:r>
              <w:rPr>
                <w:rFonts w:cs="Arial"/>
                <w:szCs w:val="20"/>
              </w:rPr>
              <w:t xml:space="preserve"> hor</w:t>
            </w:r>
            <w:r w:rsidR="00071A17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zontálních i vertikálních veličin </w:t>
            </w:r>
            <w:r w:rsidRPr="00B437BB">
              <w:rPr>
                <w:rFonts w:cs="Arial"/>
                <w:szCs w:val="20"/>
              </w:rPr>
              <w:t>včetně měření fáze</w:t>
            </w:r>
            <w:r>
              <w:rPr>
                <w:rFonts w:cs="Arial"/>
                <w:szCs w:val="20"/>
              </w:rPr>
              <w:t xml:space="preserve">: </w:t>
            </w:r>
            <w:r w:rsidRPr="00B437BB">
              <w:rPr>
                <w:rFonts w:cs="Arial"/>
                <w:szCs w:val="20"/>
              </w:rPr>
              <w:t>automatické</w:t>
            </w:r>
            <w:r>
              <w:rPr>
                <w:rFonts w:cs="Arial"/>
                <w:szCs w:val="20"/>
              </w:rPr>
              <w:t xml:space="preserve"> i </w:t>
            </w:r>
            <w:r w:rsidRPr="00B437BB">
              <w:rPr>
                <w:rFonts w:cs="Arial"/>
                <w:szCs w:val="20"/>
              </w:rPr>
              <w:t>pomocí kurzorů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437BB" w:rsidRPr="00AD70CA" w:rsidTr="00AE0FEC">
        <w:tc>
          <w:tcPr>
            <w:tcW w:w="311" w:type="pct"/>
            <w:shd w:val="clear" w:color="auto" w:fill="auto"/>
          </w:tcPr>
          <w:p w:rsidR="00B437BB" w:rsidRPr="00361806" w:rsidRDefault="00B437BB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11.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437BB" w:rsidRPr="00361806" w:rsidRDefault="001124F0" w:rsidP="00AE0FEC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rozhranní</w:t>
            </w:r>
            <w:proofErr w:type="spellEnd"/>
          </w:p>
        </w:tc>
        <w:tc>
          <w:tcPr>
            <w:tcW w:w="2100" w:type="pct"/>
            <w:vAlign w:val="center"/>
          </w:tcPr>
          <w:p w:rsidR="00B437BB" w:rsidRPr="00361806" w:rsidRDefault="001124F0" w:rsidP="00071A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USB, LAN, min. 7" barevný display s min. rozlišením 800x400 </w:t>
            </w:r>
            <w:r w:rsidR="00071A17">
              <w:rPr>
                <w:rFonts w:cs="Arial"/>
                <w:szCs w:val="20"/>
              </w:rPr>
              <w:t>bodů</w:t>
            </w:r>
          </w:p>
        </w:tc>
        <w:tc>
          <w:tcPr>
            <w:tcW w:w="1090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B437BB" w:rsidRDefault="00B437BB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B437BB" w:rsidRDefault="00B437BB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</w:pPr>
    </w:p>
    <w:p w:rsidR="00D96BD9" w:rsidRDefault="00D96BD9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1124F0" w:rsidRDefault="001124F0" w:rsidP="001124F0">
      <w:pPr>
        <w:rPr>
          <w:sz w:val="28"/>
        </w:rPr>
      </w:pPr>
      <w:r w:rsidRPr="00310715">
        <w:rPr>
          <w:b/>
          <w:sz w:val="28"/>
        </w:rPr>
        <w:lastRenderedPageBreak/>
        <w:t xml:space="preserve">Specifikace – </w:t>
      </w:r>
      <w:r w:rsidRPr="001124F0">
        <w:rPr>
          <w:b/>
          <w:sz w:val="28"/>
        </w:rPr>
        <w:t>programovatelný generátor funkcí</w:t>
      </w:r>
      <w:r>
        <w:rPr>
          <w:b/>
          <w:sz w:val="28"/>
        </w:rPr>
        <w:t>, minimální požadavky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731"/>
        <w:gridCol w:w="5992"/>
        <w:gridCol w:w="3109"/>
        <w:gridCol w:w="1542"/>
      </w:tblGrid>
      <w:tr w:rsidR="001124F0" w:rsidRPr="00364DC0" w:rsidTr="00AE0FEC">
        <w:trPr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1124F0" w:rsidRPr="00364DC0" w:rsidRDefault="001124F0" w:rsidP="00AE0FEC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Pořadí</w:t>
            </w:r>
          </w:p>
        </w:tc>
        <w:tc>
          <w:tcPr>
            <w:tcW w:w="3058" w:type="pct"/>
            <w:gridSpan w:val="2"/>
            <w:shd w:val="clear" w:color="auto" w:fill="C6D9F1" w:themeFill="text2" w:themeFillTint="33"/>
            <w:vAlign w:val="center"/>
          </w:tcPr>
          <w:p w:rsidR="001124F0" w:rsidRPr="00364DC0" w:rsidRDefault="001124F0" w:rsidP="00AE0FEC">
            <w:pPr>
              <w:jc w:val="center"/>
              <w:rPr>
                <w:rFonts w:cs="Arial"/>
                <w:b/>
              </w:rPr>
            </w:pPr>
            <w:r w:rsidRPr="00364DC0">
              <w:rPr>
                <w:rFonts w:cs="Arial"/>
                <w:b/>
              </w:rPr>
              <w:t>Požadovaný parametr</w:t>
            </w:r>
          </w:p>
        </w:tc>
        <w:tc>
          <w:tcPr>
            <w:tcW w:w="1090" w:type="pct"/>
            <w:shd w:val="clear" w:color="auto" w:fill="C6D9F1" w:themeFill="text2" w:themeFillTint="33"/>
            <w:vAlign w:val="center"/>
          </w:tcPr>
          <w:p w:rsidR="001124F0" w:rsidRPr="00217236" w:rsidRDefault="001124F0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41" w:type="pct"/>
            <w:shd w:val="clear" w:color="auto" w:fill="C6D9F1" w:themeFill="text2" w:themeFillTint="33"/>
            <w:vAlign w:val="center"/>
          </w:tcPr>
          <w:p w:rsidR="001124F0" w:rsidRPr="00217236" w:rsidRDefault="001124F0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</w:t>
            </w:r>
          </w:p>
          <w:p w:rsidR="001124F0" w:rsidRPr="00217236" w:rsidRDefault="001124F0" w:rsidP="00AE0F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ANO</w:t>
            </w:r>
            <w:r w:rsidRPr="00217236">
              <w:rPr>
                <w:rFonts w:cs="Arial"/>
                <w:b/>
                <w:szCs w:val="22"/>
              </w:rPr>
              <w:t>/N</w:t>
            </w:r>
            <w:r>
              <w:rPr>
                <w:rFonts w:cs="Arial"/>
                <w:b/>
                <w:szCs w:val="22"/>
              </w:rPr>
              <w:t>e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1.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kanálů </w:t>
            </w:r>
          </w:p>
        </w:tc>
        <w:tc>
          <w:tcPr>
            <w:tcW w:w="2100" w:type="pct"/>
            <w:vAlign w:val="center"/>
          </w:tcPr>
          <w:p w:rsidR="001124F0" w:rsidRPr="00361806" w:rsidRDefault="00D96BD9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1124F0">
              <w:rPr>
                <w:rFonts w:cs="Arial"/>
                <w:szCs w:val="20"/>
              </w:rPr>
              <w:t>2 kanály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2.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1124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Kmitočtový rozsah</w:t>
            </w:r>
          </w:p>
        </w:tc>
        <w:tc>
          <w:tcPr>
            <w:tcW w:w="2100" w:type="pct"/>
            <w:vAlign w:val="center"/>
          </w:tcPr>
          <w:p w:rsidR="001124F0" w:rsidRPr="00361806" w:rsidRDefault="00071A17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1124F0" w:rsidRPr="001124F0">
              <w:rPr>
                <w:rFonts w:cs="Arial"/>
                <w:szCs w:val="20"/>
              </w:rPr>
              <w:t>1</w:t>
            </w:r>
            <w:r w:rsidR="00D96BD9">
              <w:rPr>
                <w:rFonts w:cs="Arial"/>
                <w:szCs w:val="20"/>
              </w:rPr>
              <w:t> </w:t>
            </w:r>
            <w:proofErr w:type="spellStart"/>
            <w:r w:rsidR="001124F0" w:rsidRPr="001124F0">
              <w:rPr>
                <w:rFonts w:cs="Arial"/>
                <w:szCs w:val="20"/>
              </w:rPr>
              <w:t>μHz</w:t>
            </w:r>
            <w:proofErr w:type="spellEnd"/>
            <w:r w:rsidR="001124F0" w:rsidRPr="001124F0">
              <w:rPr>
                <w:rFonts w:cs="Arial"/>
                <w:szCs w:val="20"/>
              </w:rPr>
              <w:t xml:space="preserve"> až 25 MHz (sin</w:t>
            </w:r>
            <w:r w:rsidR="001124F0">
              <w:rPr>
                <w:rFonts w:cs="Arial"/>
                <w:szCs w:val="20"/>
              </w:rPr>
              <w:t>usový průběh)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3.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AE0FEC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 xml:space="preserve">další </w:t>
            </w:r>
            <w:proofErr w:type="spellStart"/>
            <w:r w:rsidRPr="001124F0">
              <w:rPr>
                <w:rFonts w:cs="Arial"/>
                <w:szCs w:val="20"/>
              </w:rPr>
              <w:t>průbehy</w:t>
            </w:r>
            <w:proofErr w:type="spellEnd"/>
          </w:p>
        </w:tc>
        <w:tc>
          <w:tcPr>
            <w:tcW w:w="2100" w:type="pct"/>
            <w:vAlign w:val="center"/>
          </w:tcPr>
          <w:p w:rsidR="001124F0" w:rsidRPr="00361806" w:rsidRDefault="001124F0" w:rsidP="001124F0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>obdélník, rampa, šum (šířka pásma 25 MHz)</w:t>
            </w:r>
            <w:r>
              <w:rPr>
                <w:rFonts w:cs="Arial"/>
                <w:szCs w:val="20"/>
              </w:rPr>
              <w:t xml:space="preserve">, </w:t>
            </w:r>
            <w:r w:rsidRPr="001124F0">
              <w:rPr>
                <w:rFonts w:cs="Arial"/>
                <w:szCs w:val="20"/>
              </w:rPr>
              <w:t>programovatelný průběh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4.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1124F0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 xml:space="preserve">vzorkovací </w:t>
            </w:r>
            <w:r>
              <w:rPr>
                <w:rFonts w:cs="Arial"/>
                <w:szCs w:val="20"/>
              </w:rPr>
              <w:t xml:space="preserve"> </w:t>
            </w:r>
            <w:r w:rsidRPr="001124F0">
              <w:rPr>
                <w:rFonts w:cs="Arial"/>
                <w:szCs w:val="20"/>
              </w:rPr>
              <w:t xml:space="preserve">rychlost </w:t>
            </w:r>
          </w:p>
        </w:tc>
        <w:tc>
          <w:tcPr>
            <w:tcW w:w="2100" w:type="pct"/>
            <w:vAlign w:val="center"/>
          </w:tcPr>
          <w:p w:rsidR="001124F0" w:rsidRPr="00361806" w:rsidRDefault="001124F0" w:rsidP="00AE0FEC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 xml:space="preserve">min. 200 </w:t>
            </w:r>
            <w:proofErr w:type="spellStart"/>
            <w:r w:rsidRPr="001124F0">
              <w:rPr>
                <w:rFonts w:cs="Arial"/>
                <w:szCs w:val="20"/>
              </w:rPr>
              <w:t>MSa</w:t>
            </w:r>
            <w:proofErr w:type="spellEnd"/>
            <w:r w:rsidRPr="001124F0">
              <w:rPr>
                <w:rFonts w:cs="Arial"/>
                <w:szCs w:val="20"/>
              </w:rPr>
              <w:t>/s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5.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1124F0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>horizontální rozlišení</w:t>
            </w:r>
          </w:p>
        </w:tc>
        <w:tc>
          <w:tcPr>
            <w:tcW w:w="2100" w:type="pct"/>
            <w:vAlign w:val="center"/>
          </w:tcPr>
          <w:p w:rsidR="001124F0" w:rsidRPr="00361806" w:rsidRDefault="001124F0" w:rsidP="001124F0">
            <w:pPr>
              <w:rPr>
                <w:rFonts w:cs="Arial"/>
                <w:szCs w:val="20"/>
              </w:rPr>
            </w:pPr>
            <w:r w:rsidRPr="001124F0">
              <w:rPr>
                <w:rFonts w:cs="Arial"/>
                <w:szCs w:val="20"/>
              </w:rPr>
              <w:t>min. 14 bitů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6.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D96BD9" w:rsidP="009619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nastavení </w:t>
            </w:r>
            <w:r w:rsidR="001124F0" w:rsidRPr="001124F0">
              <w:rPr>
                <w:rFonts w:cs="Arial"/>
                <w:szCs w:val="20"/>
              </w:rPr>
              <w:t>úrovně výstupního napětí</w:t>
            </w:r>
          </w:p>
        </w:tc>
        <w:tc>
          <w:tcPr>
            <w:tcW w:w="2100" w:type="pct"/>
            <w:vAlign w:val="center"/>
          </w:tcPr>
          <w:p w:rsidR="001124F0" w:rsidRPr="00361806" w:rsidRDefault="00D96BD9" w:rsidP="00AE0FEC">
            <w:pPr>
              <w:jc w:val="both"/>
              <w:rPr>
                <w:rFonts w:ascii="Symbol" w:hAnsi="Symbol"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961957" w:rsidRPr="001124F0">
              <w:rPr>
                <w:rFonts w:cs="Arial"/>
                <w:szCs w:val="20"/>
              </w:rPr>
              <w:t xml:space="preserve">2,5 </w:t>
            </w:r>
            <w:proofErr w:type="spellStart"/>
            <w:r w:rsidR="00961957" w:rsidRPr="001124F0">
              <w:rPr>
                <w:rFonts w:cs="Arial"/>
                <w:szCs w:val="20"/>
              </w:rPr>
              <w:t>mVpp</w:t>
            </w:r>
            <w:proofErr w:type="spellEnd"/>
            <w:r w:rsidR="00961957" w:rsidRPr="001124F0">
              <w:rPr>
                <w:rFonts w:cs="Arial"/>
                <w:szCs w:val="20"/>
              </w:rPr>
              <w:t xml:space="preserve"> až 10</w:t>
            </w:r>
            <w:r>
              <w:rPr>
                <w:rFonts w:cs="Arial"/>
                <w:szCs w:val="20"/>
              </w:rPr>
              <w:t> </w:t>
            </w:r>
            <w:proofErr w:type="spellStart"/>
            <w:r w:rsidR="00961957" w:rsidRPr="001124F0">
              <w:rPr>
                <w:rFonts w:cs="Arial"/>
                <w:szCs w:val="20"/>
              </w:rPr>
              <w:t>Vpp</w:t>
            </w:r>
            <w:proofErr w:type="spellEnd"/>
            <w:r w:rsidR="00961957" w:rsidRPr="001124F0">
              <w:rPr>
                <w:rFonts w:cs="Arial"/>
                <w:szCs w:val="20"/>
              </w:rPr>
              <w:t xml:space="preserve"> pro f</w:t>
            </w:r>
            <w:r w:rsidR="00AE0FEC">
              <w:rPr>
                <w:rFonts w:cs="Arial"/>
                <w:szCs w:val="20"/>
              </w:rPr>
              <w:t xml:space="preserve"> ≤ </w:t>
            </w:r>
            <w:r w:rsidR="00961957" w:rsidRPr="001124F0">
              <w:rPr>
                <w:rFonts w:cs="Arial"/>
                <w:szCs w:val="20"/>
              </w:rPr>
              <w:t>10 MHz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7.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961957" w:rsidP="00AE0F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ostatní funkce</w:t>
            </w:r>
          </w:p>
        </w:tc>
        <w:tc>
          <w:tcPr>
            <w:tcW w:w="2100" w:type="pct"/>
            <w:vAlign w:val="center"/>
          </w:tcPr>
          <w:p w:rsidR="001124F0" w:rsidRPr="00361806" w:rsidRDefault="00961957" w:rsidP="00D96BD9">
            <w:pPr>
              <w:rPr>
                <w:rFonts w:cs="Arial"/>
                <w:szCs w:val="20"/>
              </w:rPr>
            </w:pPr>
            <w:r w:rsidRPr="00961957">
              <w:rPr>
                <w:rFonts w:cs="Arial"/>
                <w:szCs w:val="20"/>
              </w:rPr>
              <w:t>vestavěn</w:t>
            </w:r>
            <w:r>
              <w:rPr>
                <w:rFonts w:cs="Arial"/>
                <w:szCs w:val="20"/>
              </w:rPr>
              <w:t>ý</w:t>
            </w:r>
            <w:r w:rsidRPr="00961957">
              <w:rPr>
                <w:rFonts w:cs="Arial"/>
                <w:szCs w:val="20"/>
              </w:rPr>
              <w:t xml:space="preserve"> čítač</w:t>
            </w:r>
            <w:r>
              <w:rPr>
                <w:rFonts w:cs="Arial"/>
                <w:szCs w:val="20"/>
              </w:rPr>
              <w:t xml:space="preserve"> s </w:t>
            </w:r>
            <w:r w:rsidRPr="00961957">
              <w:rPr>
                <w:rFonts w:cs="Arial"/>
                <w:szCs w:val="20"/>
              </w:rPr>
              <w:t>kmitočtový</w:t>
            </w:r>
            <w:r>
              <w:rPr>
                <w:rFonts w:cs="Arial"/>
                <w:szCs w:val="20"/>
              </w:rPr>
              <w:t>m</w:t>
            </w:r>
            <w:r w:rsidRPr="00961957">
              <w:rPr>
                <w:rFonts w:cs="Arial"/>
                <w:szCs w:val="20"/>
              </w:rPr>
              <w:t xml:space="preserve"> rozsah</w:t>
            </w:r>
            <w:r>
              <w:rPr>
                <w:rFonts w:cs="Arial"/>
                <w:szCs w:val="20"/>
              </w:rPr>
              <w:t>em min.</w:t>
            </w:r>
            <w:r w:rsidRPr="00961957">
              <w:rPr>
                <w:rFonts w:cs="Arial"/>
                <w:szCs w:val="20"/>
              </w:rPr>
              <w:t xml:space="preserve"> 1</w:t>
            </w:r>
            <w:r w:rsidR="00D96BD9">
              <w:rPr>
                <w:rFonts w:cs="Arial"/>
                <w:szCs w:val="20"/>
              </w:rPr>
              <w:t> </w:t>
            </w:r>
            <w:proofErr w:type="spellStart"/>
            <w:r w:rsidRPr="00961957">
              <w:rPr>
                <w:rFonts w:cs="Arial"/>
                <w:szCs w:val="20"/>
              </w:rPr>
              <w:t>μHz</w:t>
            </w:r>
            <w:proofErr w:type="spellEnd"/>
            <w:r w:rsidRPr="00961957">
              <w:rPr>
                <w:rFonts w:cs="Arial"/>
                <w:szCs w:val="20"/>
              </w:rPr>
              <w:t xml:space="preserve"> až 200</w:t>
            </w:r>
            <w:r w:rsidR="00D96BD9">
              <w:rPr>
                <w:rFonts w:cs="Arial"/>
                <w:szCs w:val="20"/>
              </w:rPr>
              <w:t> </w:t>
            </w:r>
            <w:r w:rsidRPr="00961957">
              <w:rPr>
                <w:rFonts w:cs="Arial"/>
                <w:szCs w:val="20"/>
              </w:rPr>
              <w:t>MHz</w:t>
            </w:r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1124F0" w:rsidRPr="00AD70CA" w:rsidTr="00AE0FEC">
        <w:tc>
          <w:tcPr>
            <w:tcW w:w="311" w:type="pct"/>
            <w:shd w:val="clear" w:color="auto" w:fill="auto"/>
            <w:vAlign w:val="center"/>
          </w:tcPr>
          <w:p w:rsidR="001124F0" w:rsidRPr="00361806" w:rsidRDefault="001124F0" w:rsidP="00AE0FEC">
            <w:pPr>
              <w:jc w:val="center"/>
              <w:rPr>
                <w:rFonts w:cs="Arial"/>
                <w:szCs w:val="20"/>
              </w:rPr>
            </w:pPr>
            <w:r w:rsidRPr="00361806">
              <w:rPr>
                <w:rFonts w:cs="Arial"/>
                <w:szCs w:val="20"/>
              </w:rPr>
              <w:t>8.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124F0" w:rsidRPr="00361806" w:rsidRDefault="001124F0" w:rsidP="00AE0FEC">
            <w:pPr>
              <w:rPr>
                <w:rFonts w:cs="Arial"/>
                <w:szCs w:val="20"/>
              </w:rPr>
            </w:pPr>
          </w:p>
        </w:tc>
        <w:tc>
          <w:tcPr>
            <w:tcW w:w="2100" w:type="pct"/>
            <w:vAlign w:val="center"/>
          </w:tcPr>
          <w:p w:rsidR="001124F0" w:rsidRPr="00361806" w:rsidRDefault="00961957" w:rsidP="001E1AC5">
            <w:pPr>
              <w:rPr>
                <w:rFonts w:cs="Arial"/>
                <w:szCs w:val="20"/>
              </w:rPr>
            </w:pPr>
            <w:r w:rsidRPr="00961957">
              <w:rPr>
                <w:rFonts w:cs="Arial"/>
                <w:szCs w:val="20"/>
              </w:rPr>
              <w:t xml:space="preserve">modulace AM, FM, PM, PWM s lineárním </w:t>
            </w:r>
            <w:r w:rsidR="009055A3" w:rsidRPr="00AE0FEC">
              <w:rPr>
                <w:rFonts w:cs="Arial"/>
                <w:szCs w:val="20"/>
              </w:rPr>
              <w:t>a</w:t>
            </w:r>
            <w:r w:rsidR="001E1AC5">
              <w:rPr>
                <w:rFonts w:cs="Arial"/>
                <w:szCs w:val="20"/>
              </w:rPr>
              <w:t xml:space="preserve"> </w:t>
            </w:r>
            <w:r w:rsidRPr="00961957">
              <w:rPr>
                <w:rFonts w:cs="Arial"/>
                <w:szCs w:val="20"/>
              </w:rPr>
              <w:t xml:space="preserve">log. </w:t>
            </w:r>
            <w:proofErr w:type="gramStart"/>
            <w:r w:rsidRPr="00961957">
              <w:rPr>
                <w:rFonts w:cs="Arial"/>
                <w:szCs w:val="20"/>
              </w:rPr>
              <w:t>rozmítáním</w:t>
            </w:r>
            <w:proofErr w:type="gramEnd"/>
          </w:p>
        </w:tc>
        <w:tc>
          <w:tcPr>
            <w:tcW w:w="1090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541" w:type="pct"/>
          </w:tcPr>
          <w:p w:rsidR="001124F0" w:rsidRDefault="001124F0" w:rsidP="00AE0FEC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1124F0" w:rsidRPr="00217236" w:rsidRDefault="001124F0" w:rsidP="001124F0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ED4487" w:rsidRPr="00217236" w:rsidRDefault="00ED4487" w:rsidP="00ED4487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ED4487" w:rsidRPr="00217236" w:rsidSect="0096550C">
          <w:headerReference w:type="default" r:id="rId12"/>
          <w:pgSz w:w="16838" w:h="11906" w:orient="landscape" w:code="9"/>
          <w:pgMar w:top="1418" w:right="1418" w:bottom="1985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lastRenderedPageBreak/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C452CD" w:rsidRPr="00217236" w:rsidRDefault="00C452CD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C01F04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Pr="004A506A">
        <w:rPr>
          <w:rFonts w:cs="Arial"/>
          <w:szCs w:val="22"/>
          <w:highlight w:val="yellow"/>
        </w:rPr>
        <w:t>účastník</w:t>
      </w:r>
      <w:r w:rsidRPr="00C01F04">
        <w:rPr>
          <w:rFonts w:eastAsiaTheme="minorEastAsia" w:cs="Arial"/>
          <w:szCs w:val="20"/>
          <w:highlight w:val="yellow"/>
          <w:lang w:eastAsia="cs-CZ"/>
        </w:rPr>
        <w:t>]</w:t>
      </w:r>
    </w:p>
    <w:sectPr w:rsidR="00C452CD" w:rsidRPr="00217236" w:rsidSect="004E2345"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54" w:rsidRDefault="00FC1154" w:rsidP="00EC5C5F">
      <w:r>
        <w:separator/>
      </w:r>
    </w:p>
  </w:endnote>
  <w:endnote w:type="continuationSeparator" w:id="0">
    <w:p w:rsidR="00FC1154" w:rsidRDefault="00FC1154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7" w:rsidRDefault="00071A17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4876800" cy="819150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A17" w:rsidRPr="002915D3" w:rsidRDefault="00071A17" w:rsidP="00927C5E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proofErr w:type="spellStart"/>
    <w:r>
      <w:rPr>
        <w:rFonts w:ascii="Calibri" w:hAnsi="Calibri"/>
        <w:sz w:val="16"/>
        <w:lang w:val="en-GB"/>
      </w:rPr>
      <w:t>Strana</w:t>
    </w:r>
    <w:proofErr w:type="spellEnd"/>
    <w:r w:rsidRPr="002915D3">
      <w:rPr>
        <w:rFonts w:ascii="Calibri" w:hAnsi="Calibri"/>
        <w:sz w:val="16"/>
        <w:lang w:val="en-GB"/>
      </w:rPr>
      <w:t xml:space="preserve"> </w:t>
    </w:r>
    <w:r w:rsidR="00D35BE7"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="00D35BE7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B825BD">
      <w:rPr>
        <w:rStyle w:val="slostrnky"/>
        <w:rFonts w:ascii="Calibri" w:hAnsi="Calibri"/>
        <w:noProof/>
        <w:sz w:val="16"/>
        <w:lang w:val="en-GB"/>
      </w:rPr>
      <w:t>4</w:t>
    </w:r>
    <w:r w:rsidR="00D35BE7" w:rsidRPr="002915D3">
      <w:rPr>
        <w:rStyle w:val="slostrnky"/>
        <w:rFonts w:ascii="Calibri" w:hAnsi="Calibri"/>
        <w:sz w:val="16"/>
        <w:lang w:val="en-GB"/>
      </w:rPr>
      <w:fldChar w:fldCharType="end"/>
    </w:r>
    <w:r w:rsidRPr="002915D3">
      <w:rPr>
        <w:rFonts w:ascii="Calibri" w:hAnsi="Calibri"/>
        <w:sz w:val="16"/>
        <w:lang w:val="en-GB"/>
      </w:rPr>
      <w:t xml:space="preserve"> </w:t>
    </w:r>
    <w:r>
      <w:rPr>
        <w:rFonts w:ascii="Calibri" w:hAnsi="Calibri"/>
        <w:sz w:val="16"/>
        <w:lang w:val="en-GB"/>
      </w:rPr>
      <w:t>z</w:t>
    </w:r>
    <w:r w:rsidRPr="002915D3">
      <w:rPr>
        <w:rFonts w:ascii="Calibri" w:hAnsi="Calibri"/>
        <w:sz w:val="16"/>
        <w:lang w:val="en-GB"/>
      </w:rPr>
      <w:t> </w:t>
    </w:r>
    <w:r w:rsidR="00D35BE7"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="00D35BE7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B825BD">
      <w:rPr>
        <w:rStyle w:val="slostrnky"/>
        <w:rFonts w:ascii="Calibri" w:hAnsi="Calibri"/>
        <w:noProof/>
        <w:sz w:val="16"/>
        <w:lang w:val="en-GB"/>
      </w:rPr>
      <w:t>12</w:t>
    </w:r>
    <w:r w:rsidR="00D35BE7" w:rsidRPr="002915D3">
      <w:rPr>
        <w:rStyle w:val="slostrnky"/>
        <w:rFonts w:ascii="Calibri" w:hAnsi="Calibri"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7" w:rsidRPr="00EC5C5F" w:rsidRDefault="00071A17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proofErr w:type="spellStart"/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</w:t>
    </w:r>
    <w:proofErr w:type="spellEnd"/>
    <w:r w:rsidRPr="009B0477">
      <w:rPr>
        <w:rFonts w:ascii="Calibri" w:hAnsi="Calibri"/>
        <w:b/>
        <w:sz w:val="18"/>
        <w:szCs w:val="18"/>
      </w:rPr>
      <w:t xml:space="preserve"> </w:t>
    </w:r>
    <w:proofErr w:type="spellStart"/>
    <w:r w:rsidRPr="009B0477">
      <w:rPr>
        <w:rFonts w:ascii="Calibri" w:hAnsi="Calibri"/>
        <w:b/>
        <w:sz w:val="18"/>
        <w:szCs w:val="18"/>
      </w:rPr>
      <w:t>Atmospheric</w:t>
    </w:r>
    <w:proofErr w:type="spellEnd"/>
    <w:r w:rsidRPr="009B0477">
      <w:rPr>
        <w:rFonts w:ascii="Calibri" w:hAnsi="Calibri"/>
        <w:b/>
        <w:sz w:val="18"/>
        <w:szCs w:val="18"/>
      </w:rPr>
      <w:t xml:space="preserve"> </w:t>
    </w:r>
    <w:proofErr w:type="spellStart"/>
    <w:r w:rsidRPr="009B0477">
      <w:rPr>
        <w:rFonts w:ascii="Calibri" w:hAnsi="Calibri"/>
        <w:b/>
        <w:sz w:val="18"/>
        <w:szCs w:val="18"/>
      </w:rPr>
      <w:t>Physics</w:t>
    </w:r>
    <w:proofErr w:type="spellEnd"/>
    <w:r w:rsidRPr="009B0477">
      <w:rPr>
        <w:rFonts w:ascii="Calibri" w:hAnsi="Calibri"/>
        <w:b/>
        <w:sz w:val="18"/>
        <w:szCs w:val="18"/>
      </w:rPr>
      <w:t xml:space="preserve">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="00D35BE7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="00D35BE7"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="00D35BE7"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="00D35BE7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="00D35BE7" w:rsidRPr="00172627">
      <w:rPr>
        <w:rStyle w:val="slostrnky"/>
        <w:rFonts w:ascii="Calibri" w:hAnsi="Calibri"/>
        <w:sz w:val="16"/>
      </w:rPr>
      <w:fldChar w:fldCharType="separate"/>
    </w:r>
    <w:r>
      <w:rPr>
        <w:rStyle w:val="slostrnky"/>
        <w:rFonts w:ascii="Calibri" w:hAnsi="Calibri" w:cs="Arial"/>
        <w:noProof/>
        <w:sz w:val="16"/>
        <w:szCs w:val="16"/>
      </w:rPr>
      <w:t>12</w:t>
    </w:r>
    <w:r w:rsidR="00D35BE7" w:rsidRPr="00172627">
      <w:rPr>
        <w:rStyle w:val="slostrnky"/>
        <w:rFonts w:ascii="Calibri" w:hAnsi="Calibri"/>
        <w:sz w:val="16"/>
      </w:rPr>
      <w:fldChar w:fldCharType="end"/>
    </w:r>
  </w:p>
  <w:p w:rsidR="00071A17" w:rsidRPr="009B0477" w:rsidRDefault="00071A17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54" w:rsidRDefault="00FC1154" w:rsidP="00EC5C5F">
      <w:r>
        <w:separator/>
      </w:r>
    </w:p>
  </w:footnote>
  <w:footnote w:type="continuationSeparator" w:id="0">
    <w:p w:rsidR="00FC1154" w:rsidRDefault="00FC1154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528"/>
    </w:tblGrid>
    <w:tr w:rsidR="00071A17" w:rsidTr="00825878">
      <w:tc>
        <w:tcPr>
          <w:tcW w:w="1953" w:type="pct"/>
        </w:tcPr>
        <w:p w:rsidR="00071A17" w:rsidRPr="00474388" w:rsidRDefault="00071A1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3047" w:type="pct"/>
          <w:vAlign w:val="center"/>
        </w:tcPr>
        <w:p w:rsidR="00071A17" w:rsidRDefault="00071A17" w:rsidP="00825878">
          <w:pPr>
            <w:pStyle w:val="Zhlav"/>
            <w:tabs>
              <w:tab w:val="left" w:pos="459"/>
            </w:tabs>
            <w:ind w:left="1600" w:right="-76"/>
            <w:jc w:val="right"/>
          </w:pPr>
          <w:r w:rsidRPr="005C3271">
            <w:rPr>
              <w:noProof/>
              <w:lang w:eastAsia="cs-CZ"/>
            </w:rPr>
            <w:drawing>
              <wp:inline distT="0" distB="0" distL="0" distR="0">
                <wp:extent cx="2066925" cy="1007110"/>
                <wp:effectExtent l="19050" t="0" r="0" b="0"/>
                <wp:docPr id="17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VUT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10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A17" w:rsidRPr="00B009E5" w:rsidRDefault="00071A17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7" w:rsidRPr="00FB763A" w:rsidRDefault="00071A17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63A">
      <w:rPr>
        <w:szCs w:val="22"/>
        <w:lang w:eastAsia="en-US"/>
      </w:rPr>
      <w:tab/>
    </w:r>
    <w:r w:rsidR="00B825BD">
      <w:rPr>
        <w:szCs w:val="22"/>
        <w:lang w:eastAsia="en-US"/>
      </w:rPr>
      <w:pict>
        <v:rect id="_x0000_i1025" style="width:290.6pt;height:.5pt" o:hralign="right" o:hrstd="t" o:hrnoshade="t" o:hr="t" fillcolor="black" stroked="f"/>
      </w:pict>
    </w:r>
  </w:p>
  <w:p w:rsidR="00071A17" w:rsidRDefault="00071A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3"/>
      <w:gridCol w:w="9502"/>
    </w:tblGrid>
    <w:tr w:rsidR="00071A17" w:rsidTr="00A93E87">
      <w:tc>
        <w:tcPr>
          <w:tcW w:w="1674" w:type="pct"/>
        </w:tcPr>
        <w:p w:rsidR="00071A17" w:rsidRPr="00474388" w:rsidRDefault="00071A1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3326" w:type="pct"/>
          <w:vAlign w:val="center"/>
        </w:tcPr>
        <w:p w:rsidR="00071A17" w:rsidRDefault="00071A17" w:rsidP="00265DAA">
          <w:pPr>
            <w:pStyle w:val="Zhlav"/>
            <w:ind w:left="2342" w:right="-76"/>
            <w:jc w:val="right"/>
          </w:pPr>
          <w:r w:rsidRPr="005C3271">
            <w:rPr>
              <w:noProof/>
              <w:lang w:eastAsia="cs-CZ"/>
            </w:rPr>
            <w:drawing>
              <wp:inline distT="0" distB="0" distL="0" distR="0">
                <wp:extent cx="2066925" cy="1007110"/>
                <wp:effectExtent l="1905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VUT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10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A17" w:rsidRPr="00B009E5" w:rsidRDefault="00071A17" w:rsidP="00872F06">
    <w:pPr>
      <w:tabs>
        <w:tab w:val="center" w:pos="4536"/>
        <w:tab w:val="right" w:pos="9072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5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"/>
  </w:num>
  <w:num w:numId="5">
    <w:abstractNumId w:val="29"/>
  </w:num>
  <w:num w:numId="6">
    <w:abstractNumId w:val="29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5"/>
    <w:lvlOverride w:ilvl="0">
      <w:startOverride w:val="1"/>
    </w:lvlOverride>
  </w:num>
  <w:num w:numId="11">
    <w:abstractNumId w:val="33"/>
  </w:num>
  <w:num w:numId="12">
    <w:abstractNumId w:val="30"/>
  </w:num>
  <w:num w:numId="13">
    <w:abstractNumId w:val="34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5"/>
  </w:num>
  <w:num w:numId="24">
    <w:abstractNumId w:val="31"/>
  </w:num>
  <w:num w:numId="25">
    <w:abstractNumId w:val="32"/>
  </w:num>
  <w:num w:numId="26">
    <w:abstractNumId w:val="10"/>
  </w:num>
  <w:num w:numId="27">
    <w:abstractNumId w:val="9"/>
  </w:num>
  <w:num w:numId="28">
    <w:abstractNumId w:val="17"/>
  </w:num>
  <w:num w:numId="29">
    <w:abstractNumId w:val="4"/>
  </w:num>
  <w:num w:numId="30">
    <w:abstractNumId w:val="23"/>
  </w:num>
  <w:num w:numId="31">
    <w:abstractNumId w:val="14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18"/>
  </w:num>
  <w:num w:numId="37">
    <w:abstractNumId w:val="5"/>
  </w:num>
  <w:num w:numId="38">
    <w:abstractNumId w:val="2"/>
  </w:num>
  <w:num w:numId="39">
    <w:abstractNumId w:val="11"/>
  </w:num>
  <w:num w:numId="40">
    <w:abstractNumId w:val="25"/>
  </w:num>
  <w:num w:numId="41">
    <w:abstractNumId w:val="26"/>
  </w:num>
  <w:num w:numId="42">
    <w:abstractNumId w:val="13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1A17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3BA8"/>
    <w:rsid w:val="000B5647"/>
    <w:rsid w:val="000B79E2"/>
    <w:rsid w:val="000C7BB1"/>
    <w:rsid w:val="000D1594"/>
    <w:rsid w:val="000D318E"/>
    <w:rsid w:val="000D4E3F"/>
    <w:rsid w:val="000D69F5"/>
    <w:rsid w:val="000E1AF7"/>
    <w:rsid w:val="000E779F"/>
    <w:rsid w:val="000F10ED"/>
    <w:rsid w:val="000F3714"/>
    <w:rsid w:val="000F5456"/>
    <w:rsid w:val="000F6CA5"/>
    <w:rsid w:val="00103782"/>
    <w:rsid w:val="001113C5"/>
    <w:rsid w:val="001124F0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33CE"/>
    <w:rsid w:val="00155620"/>
    <w:rsid w:val="00156B6A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34B2"/>
    <w:rsid w:val="001B5898"/>
    <w:rsid w:val="001B6C7A"/>
    <w:rsid w:val="001E1AC5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21F3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302137"/>
    <w:rsid w:val="0030298F"/>
    <w:rsid w:val="00304E96"/>
    <w:rsid w:val="003065C0"/>
    <w:rsid w:val="00307126"/>
    <w:rsid w:val="00313732"/>
    <w:rsid w:val="00322215"/>
    <w:rsid w:val="00323612"/>
    <w:rsid w:val="0033126A"/>
    <w:rsid w:val="00335AA2"/>
    <w:rsid w:val="003367D0"/>
    <w:rsid w:val="003377A9"/>
    <w:rsid w:val="0034196F"/>
    <w:rsid w:val="00361F67"/>
    <w:rsid w:val="0036299E"/>
    <w:rsid w:val="00363B16"/>
    <w:rsid w:val="0037015A"/>
    <w:rsid w:val="003710ED"/>
    <w:rsid w:val="00371A63"/>
    <w:rsid w:val="003745D2"/>
    <w:rsid w:val="00384BDE"/>
    <w:rsid w:val="00392CA5"/>
    <w:rsid w:val="003A146B"/>
    <w:rsid w:val="003A7F4F"/>
    <w:rsid w:val="003B51C6"/>
    <w:rsid w:val="003B7F61"/>
    <w:rsid w:val="003C06F6"/>
    <w:rsid w:val="003C30F6"/>
    <w:rsid w:val="003C3CA7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08D7"/>
    <w:rsid w:val="00425A32"/>
    <w:rsid w:val="00425AE3"/>
    <w:rsid w:val="004269A2"/>
    <w:rsid w:val="0044338A"/>
    <w:rsid w:val="004505DB"/>
    <w:rsid w:val="004508F6"/>
    <w:rsid w:val="00456B80"/>
    <w:rsid w:val="00461DA6"/>
    <w:rsid w:val="004704E3"/>
    <w:rsid w:val="0047128F"/>
    <w:rsid w:val="00471F20"/>
    <w:rsid w:val="004767C8"/>
    <w:rsid w:val="0049180B"/>
    <w:rsid w:val="0049199B"/>
    <w:rsid w:val="00492CD6"/>
    <w:rsid w:val="00493976"/>
    <w:rsid w:val="00493A97"/>
    <w:rsid w:val="00493F03"/>
    <w:rsid w:val="004A2046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1A22"/>
    <w:rsid w:val="0054516F"/>
    <w:rsid w:val="00546D2F"/>
    <w:rsid w:val="00555196"/>
    <w:rsid w:val="005779B5"/>
    <w:rsid w:val="00587133"/>
    <w:rsid w:val="00587EF4"/>
    <w:rsid w:val="005A0203"/>
    <w:rsid w:val="005A0BCD"/>
    <w:rsid w:val="005A3886"/>
    <w:rsid w:val="005A7B30"/>
    <w:rsid w:val="005B1D1E"/>
    <w:rsid w:val="005B2A2F"/>
    <w:rsid w:val="005B697F"/>
    <w:rsid w:val="005C019D"/>
    <w:rsid w:val="005C1F61"/>
    <w:rsid w:val="005C3271"/>
    <w:rsid w:val="005C38F7"/>
    <w:rsid w:val="005C5B45"/>
    <w:rsid w:val="005C64F7"/>
    <w:rsid w:val="005E3F58"/>
    <w:rsid w:val="005F15AB"/>
    <w:rsid w:val="005F654D"/>
    <w:rsid w:val="006118A3"/>
    <w:rsid w:val="00612E93"/>
    <w:rsid w:val="00613494"/>
    <w:rsid w:val="006154A2"/>
    <w:rsid w:val="00617B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76A7"/>
    <w:rsid w:val="00690CF4"/>
    <w:rsid w:val="00693E16"/>
    <w:rsid w:val="00694541"/>
    <w:rsid w:val="00697748"/>
    <w:rsid w:val="006A487B"/>
    <w:rsid w:val="006A7A50"/>
    <w:rsid w:val="006B19E9"/>
    <w:rsid w:val="006C571E"/>
    <w:rsid w:val="006C715A"/>
    <w:rsid w:val="006D06EF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1C38"/>
    <w:rsid w:val="00776F57"/>
    <w:rsid w:val="00776F95"/>
    <w:rsid w:val="00787D20"/>
    <w:rsid w:val="007915DC"/>
    <w:rsid w:val="00792D51"/>
    <w:rsid w:val="00793164"/>
    <w:rsid w:val="00795FAF"/>
    <w:rsid w:val="007960CE"/>
    <w:rsid w:val="0079610A"/>
    <w:rsid w:val="007A2D2F"/>
    <w:rsid w:val="007A32A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44B4"/>
    <w:rsid w:val="007E6F13"/>
    <w:rsid w:val="007F11FF"/>
    <w:rsid w:val="007F26CC"/>
    <w:rsid w:val="007F72DC"/>
    <w:rsid w:val="007F73B1"/>
    <w:rsid w:val="00807F4D"/>
    <w:rsid w:val="008166C3"/>
    <w:rsid w:val="00825878"/>
    <w:rsid w:val="00825A70"/>
    <w:rsid w:val="00825C53"/>
    <w:rsid w:val="00830505"/>
    <w:rsid w:val="00835260"/>
    <w:rsid w:val="00851D22"/>
    <w:rsid w:val="00851D88"/>
    <w:rsid w:val="00857F16"/>
    <w:rsid w:val="008646A2"/>
    <w:rsid w:val="00872F06"/>
    <w:rsid w:val="00877DCC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32A"/>
    <w:rsid w:val="00904906"/>
    <w:rsid w:val="009055A3"/>
    <w:rsid w:val="009074C0"/>
    <w:rsid w:val="0092477C"/>
    <w:rsid w:val="00927C5E"/>
    <w:rsid w:val="0094179C"/>
    <w:rsid w:val="00961957"/>
    <w:rsid w:val="00961A81"/>
    <w:rsid w:val="009629D5"/>
    <w:rsid w:val="0096303D"/>
    <w:rsid w:val="0096550C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0103"/>
    <w:rsid w:val="00A40601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93E87"/>
    <w:rsid w:val="00A94858"/>
    <w:rsid w:val="00A95BE7"/>
    <w:rsid w:val="00A961A3"/>
    <w:rsid w:val="00AA401D"/>
    <w:rsid w:val="00AB7040"/>
    <w:rsid w:val="00AC2F2A"/>
    <w:rsid w:val="00AC64FC"/>
    <w:rsid w:val="00AC6BD4"/>
    <w:rsid w:val="00AD3370"/>
    <w:rsid w:val="00AE0FEC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31A9"/>
    <w:rsid w:val="00B22E15"/>
    <w:rsid w:val="00B30256"/>
    <w:rsid w:val="00B31B8B"/>
    <w:rsid w:val="00B34762"/>
    <w:rsid w:val="00B362B5"/>
    <w:rsid w:val="00B428B4"/>
    <w:rsid w:val="00B437BB"/>
    <w:rsid w:val="00B45E4F"/>
    <w:rsid w:val="00B47C37"/>
    <w:rsid w:val="00B55550"/>
    <w:rsid w:val="00B6188D"/>
    <w:rsid w:val="00B62B7A"/>
    <w:rsid w:val="00B6425D"/>
    <w:rsid w:val="00B653D0"/>
    <w:rsid w:val="00B70333"/>
    <w:rsid w:val="00B71252"/>
    <w:rsid w:val="00B757B1"/>
    <w:rsid w:val="00B77253"/>
    <w:rsid w:val="00B80591"/>
    <w:rsid w:val="00B80DA6"/>
    <w:rsid w:val="00B825BD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C1C3A"/>
    <w:rsid w:val="00CC2A4B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5BE7"/>
    <w:rsid w:val="00D440A3"/>
    <w:rsid w:val="00D4567E"/>
    <w:rsid w:val="00D46BF5"/>
    <w:rsid w:val="00D46EAA"/>
    <w:rsid w:val="00D54CE1"/>
    <w:rsid w:val="00D62248"/>
    <w:rsid w:val="00D6651A"/>
    <w:rsid w:val="00D76A87"/>
    <w:rsid w:val="00D84193"/>
    <w:rsid w:val="00D90797"/>
    <w:rsid w:val="00D91CC3"/>
    <w:rsid w:val="00D96BD9"/>
    <w:rsid w:val="00D97182"/>
    <w:rsid w:val="00DA01E5"/>
    <w:rsid w:val="00DA7491"/>
    <w:rsid w:val="00DB25E2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6BA"/>
    <w:rsid w:val="00E15907"/>
    <w:rsid w:val="00E15A8F"/>
    <w:rsid w:val="00E16BB9"/>
    <w:rsid w:val="00E23610"/>
    <w:rsid w:val="00E34256"/>
    <w:rsid w:val="00E34B83"/>
    <w:rsid w:val="00E452BC"/>
    <w:rsid w:val="00E56F23"/>
    <w:rsid w:val="00E5711B"/>
    <w:rsid w:val="00E63C9B"/>
    <w:rsid w:val="00E64B85"/>
    <w:rsid w:val="00E703C6"/>
    <w:rsid w:val="00E72A81"/>
    <w:rsid w:val="00E74B33"/>
    <w:rsid w:val="00E816CE"/>
    <w:rsid w:val="00E91CF5"/>
    <w:rsid w:val="00E92915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4487"/>
    <w:rsid w:val="00ED5E64"/>
    <w:rsid w:val="00ED6E11"/>
    <w:rsid w:val="00EE36F9"/>
    <w:rsid w:val="00EE58C4"/>
    <w:rsid w:val="00EE762C"/>
    <w:rsid w:val="00EF4152"/>
    <w:rsid w:val="00F023D0"/>
    <w:rsid w:val="00F02E8B"/>
    <w:rsid w:val="00F040F3"/>
    <w:rsid w:val="00F07DCC"/>
    <w:rsid w:val="00F1388B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2F4E"/>
    <w:rsid w:val="00F67FCB"/>
    <w:rsid w:val="00F769B5"/>
    <w:rsid w:val="00F81D91"/>
    <w:rsid w:val="00F82898"/>
    <w:rsid w:val="00F85FC8"/>
    <w:rsid w:val="00F90133"/>
    <w:rsid w:val="00F9098A"/>
    <w:rsid w:val="00F93158"/>
    <w:rsid w:val="00F979AA"/>
    <w:rsid w:val="00FA24C0"/>
    <w:rsid w:val="00FA44B2"/>
    <w:rsid w:val="00FA6D81"/>
    <w:rsid w:val="00FB2B46"/>
    <w:rsid w:val="00FB5595"/>
    <w:rsid w:val="00FB763A"/>
    <w:rsid w:val="00FB7649"/>
    <w:rsid w:val="00FC1154"/>
    <w:rsid w:val="00FC6B6A"/>
    <w:rsid w:val="00FC72C6"/>
    <w:rsid w:val="00FC7DBC"/>
    <w:rsid w:val="00FD0566"/>
    <w:rsid w:val="00FD5BE5"/>
    <w:rsid w:val="00FD5D14"/>
    <w:rsid w:val="00FE146C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6D44074"/>
  <w15:docId w15:val="{7E98F461-D654-4CFB-AA0C-EF49AE3C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5FD4-B009-49C5-BBBA-7580573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2577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Petr Haba</cp:lastModifiedBy>
  <cp:revision>3</cp:revision>
  <cp:lastPrinted>2018-01-02T17:29:00Z</cp:lastPrinted>
  <dcterms:created xsi:type="dcterms:W3CDTF">2018-11-02T13:15:00Z</dcterms:created>
  <dcterms:modified xsi:type="dcterms:W3CDTF">2018-11-05T13:38:00Z</dcterms:modified>
</cp:coreProperties>
</file>