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1C" w:rsidRPr="009C2649" w:rsidRDefault="00782D1C" w:rsidP="00E82CF6">
      <w:pPr>
        <w:keepNext/>
        <w:keepLines/>
        <w:spacing w:before="5600"/>
        <w:jc w:val="center"/>
        <w:rPr>
          <w:b/>
          <w:sz w:val="44"/>
          <w:szCs w:val="44"/>
        </w:rPr>
      </w:pPr>
      <w:r>
        <w:rPr>
          <w:rFonts w:cs="Arial"/>
          <w:b/>
          <w:caps/>
        </w:rPr>
        <w:t>formulářový systém / ÚPLNÉ ELEKTRONICKÉ PODÁNÍ</w:t>
      </w:r>
    </w:p>
    <w:p w:rsidR="00782D1C" w:rsidRDefault="00782D1C" w:rsidP="00782D1C">
      <w:pPr>
        <w:keepNext/>
        <w:keepLines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Marketingový průzkum</w:t>
      </w:r>
    </w:p>
    <w:p w:rsidR="0046711C" w:rsidRDefault="0046711C" w:rsidP="0046711C">
      <w:pPr>
        <w:rPr>
          <w:sz w:val="20"/>
        </w:rPr>
      </w:pPr>
    </w:p>
    <w:p w:rsidR="00782D1C" w:rsidRDefault="00782D1C" w:rsidP="00782D1C">
      <w:pPr>
        <w:pStyle w:val="Nadpis1"/>
        <w:spacing w:before="120"/>
        <w:ind w:left="431" w:hanging="431"/>
      </w:pPr>
      <w:bookmarkStart w:id="0" w:name="_Toc508715365"/>
      <w:r>
        <w:lastRenderedPageBreak/>
        <w:t>Úvod</w:t>
      </w:r>
      <w:bookmarkEnd w:id="0"/>
    </w:p>
    <w:p w:rsidR="0022353F" w:rsidRPr="00E27119" w:rsidRDefault="00782D1C" w:rsidP="00E27119">
      <w:pPr>
        <w:spacing w:line="276" w:lineRule="auto"/>
      </w:pPr>
      <w:r w:rsidRPr="00E27119">
        <w:t>Ministerstvo zemědělství v souladu s moderními trendy v oblasti informačních technologií plánuje zavedení a provoz formulářového řešení, které by umožnilo uživatelům z řad široké veřejnosti i veřejné správy, podávat hlášení a předávat informace skrze webové rozhraní</w:t>
      </w:r>
      <w:r w:rsidR="0022353F" w:rsidRPr="00E27119">
        <w:t xml:space="preserve"> formou úplného elektronického podání</w:t>
      </w:r>
      <w:r w:rsidR="00BB131D" w:rsidRPr="00E27119">
        <w:t xml:space="preserve"> do agend Ministerstva zemědělství</w:t>
      </w:r>
      <w:r w:rsidRPr="00E27119">
        <w:t>. Toto webové rozhraní předpokládá provozovat na vlastní infrastruktuře</w:t>
      </w:r>
      <w:r w:rsidR="0022353F" w:rsidRPr="00E27119">
        <w:t>. Pro integraci na aplikační úrovni</w:t>
      </w:r>
      <w:r w:rsidR="00167EDE" w:rsidRPr="00E27119">
        <w:t xml:space="preserve">, zejména </w:t>
      </w:r>
      <w:r w:rsidR="00542D8B" w:rsidRPr="00E27119">
        <w:t xml:space="preserve">s cílovými systémy pro uložení </w:t>
      </w:r>
      <w:r w:rsidR="00BB131D" w:rsidRPr="00E27119">
        <w:t xml:space="preserve">dat </w:t>
      </w:r>
      <w:r w:rsidR="00E27119">
        <w:t>a </w:t>
      </w:r>
      <w:r w:rsidR="00542D8B" w:rsidRPr="00E27119">
        <w:t xml:space="preserve">zdrojovými systémy pro </w:t>
      </w:r>
      <w:r w:rsidR="00BB131D" w:rsidRPr="00E27119">
        <w:t>předvyplňování</w:t>
      </w:r>
      <w:r w:rsidR="00542D8B" w:rsidRPr="00E27119">
        <w:t xml:space="preserve"> dat,</w:t>
      </w:r>
      <w:r w:rsidR="0022353F" w:rsidRPr="00E27119">
        <w:t xml:space="preserve"> předpokládá využití midleware platformy </w:t>
      </w:r>
      <w:r w:rsidRPr="00E27119">
        <w:t>AgriBus</w:t>
      </w:r>
      <w:r w:rsidR="00BB131D" w:rsidRPr="00E27119">
        <w:t xml:space="preserve"> vybudované dle standardu SOA a poskytující integrační webové služby</w:t>
      </w:r>
      <w:r w:rsidRPr="00E27119">
        <w:t xml:space="preserve">. </w:t>
      </w:r>
    </w:p>
    <w:p w:rsidR="00542D8B" w:rsidRPr="00E27119" w:rsidRDefault="00542D8B" w:rsidP="00E27119">
      <w:pPr>
        <w:spacing w:line="276" w:lineRule="auto"/>
      </w:pPr>
      <w:r w:rsidRPr="00E27119">
        <w:t>Ministerstvo zemědělství realizovalo průzkum trhu a ověřovací projekty s cílem identifikovat dostupná formulářová řešení vhodná k realizaci specifických požadavků a potřeb agend Ministerstva zemědělství. Jedním z ověřovaných řešení je i open source platforma s komerční podporou Orbeon Forms, jež je založena na standardech XForms.</w:t>
      </w:r>
    </w:p>
    <w:p w:rsidR="008E317C" w:rsidRPr="00E27119" w:rsidRDefault="00782D1C" w:rsidP="00E27119">
      <w:pPr>
        <w:spacing w:line="276" w:lineRule="auto"/>
      </w:pPr>
      <w:r w:rsidRPr="00E27119">
        <w:t xml:space="preserve">Předmětem tohoto marketingového průzkumu je </w:t>
      </w:r>
      <w:r w:rsidR="00542D8B" w:rsidRPr="00E27119">
        <w:t xml:space="preserve">ověření, </w:t>
      </w:r>
      <w:r w:rsidR="002A2F37" w:rsidRPr="00E27119">
        <w:t>zda</w:t>
      </w:r>
      <w:r w:rsidR="00542D8B" w:rsidRPr="00E27119">
        <w:t xml:space="preserve"> na tuzemském IT trhu existují subjekty způsobilé a schopné poskytnout Ministerstvu zeměděl</w:t>
      </w:r>
      <w:r w:rsidR="00AA5B6A" w:rsidRPr="00E27119">
        <w:t>ství efektivní služby provozu a </w:t>
      </w:r>
      <w:r w:rsidR="00542D8B" w:rsidRPr="00E27119">
        <w:t>rozvoje řešení Orbeon Forms, související konzultace a ověřit ceny těchto služeb</w:t>
      </w:r>
      <w:r w:rsidR="008E317C" w:rsidRPr="00E27119">
        <w:t>.</w:t>
      </w:r>
    </w:p>
    <w:p w:rsidR="00782D1C" w:rsidRPr="00E27119" w:rsidRDefault="00782D1C" w:rsidP="00E27119">
      <w:pPr>
        <w:spacing w:line="276" w:lineRule="auto"/>
      </w:pPr>
      <w:r w:rsidRPr="00E27119">
        <w:t>V další</w:t>
      </w:r>
      <w:r w:rsidR="008E317C" w:rsidRPr="00E27119">
        <w:t>ch</w:t>
      </w:r>
      <w:r w:rsidRPr="00E27119">
        <w:t xml:space="preserve"> část</w:t>
      </w:r>
      <w:r w:rsidR="008E317C" w:rsidRPr="00E27119">
        <w:t>ech marketingového průzkumu jsou</w:t>
      </w:r>
      <w:r w:rsidRPr="00E27119">
        <w:t xml:space="preserve"> podrobněji rozebrány klíčové atributy řešení a </w:t>
      </w:r>
      <w:r w:rsidR="00E27119">
        <w:t> </w:t>
      </w:r>
      <w:r w:rsidRPr="00E27119">
        <w:t>některé parametrické informace důležité pro stanovení nabídkové ceny.</w:t>
      </w:r>
      <w:r w:rsidR="008E317C" w:rsidRPr="00E27119">
        <w:t xml:space="preserve"> Součástí je také předpokládaná struktura odpovědi.</w:t>
      </w:r>
    </w:p>
    <w:p w:rsidR="00782D1C" w:rsidRPr="00F245F6" w:rsidRDefault="00782D1C" w:rsidP="00782D1C">
      <w:pPr>
        <w:pStyle w:val="Normal1"/>
        <w:ind w:left="0"/>
      </w:pPr>
    </w:p>
    <w:p w:rsidR="00782D1C" w:rsidRDefault="00782D1C" w:rsidP="00782D1C"/>
    <w:p w:rsidR="00782D1C" w:rsidRDefault="00F3071B" w:rsidP="00782D1C">
      <w:pPr>
        <w:pStyle w:val="Nadpis1"/>
        <w:spacing w:before="120"/>
        <w:ind w:left="431" w:hanging="431"/>
      </w:pPr>
      <w:r>
        <w:lastRenderedPageBreak/>
        <w:t>Popis prostředí Orbeon Forms</w:t>
      </w:r>
    </w:p>
    <w:p w:rsidR="009453E4" w:rsidRDefault="009453E4" w:rsidP="009453E4">
      <w:r>
        <w:t>Tato kapitola popisuje cílové prostředí Orbeon Forms v případě, že by byla tato platforma zvolena pro výstavbu formulářového řešení M</w:t>
      </w:r>
      <w:r w:rsidR="00AA5B6A">
        <w:t>Z</w:t>
      </w:r>
      <w:r>
        <w:t xml:space="preserve">e. </w:t>
      </w:r>
    </w:p>
    <w:p w:rsidR="007F52E5" w:rsidRDefault="007F52E5" w:rsidP="009453E4">
      <w:pPr>
        <w:pStyle w:val="Nadpis2"/>
      </w:pPr>
      <w:bookmarkStart w:id="1" w:name="_Ref511824263"/>
      <w:r>
        <w:t>Základní architektura</w:t>
      </w:r>
      <w:bookmarkEnd w:id="1"/>
    </w:p>
    <w:p w:rsidR="007F52E5" w:rsidRDefault="007F52E5" w:rsidP="007F52E5">
      <w:r>
        <w:t>Formulářový server je součástí širšího konceptu úplného elektronického podání M</w:t>
      </w:r>
      <w:r w:rsidR="00AA5B6A">
        <w:t>Z</w:t>
      </w:r>
      <w:r>
        <w:t>e. Z pohledu formulářového serveru jsou základními komponentami tvořícími řešení:</w:t>
      </w:r>
    </w:p>
    <w:p w:rsidR="007F52E5" w:rsidRDefault="007F52E5" w:rsidP="007F52E5">
      <w:pPr>
        <w:pStyle w:val="Odstavecseseznamem"/>
        <w:numPr>
          <w:ilvl w:val="0"/>
          <w:numId w:val="12"/>
        </w:numPr>
      </w:pPr>
      <w:r>
        <w:t>Formulářový server,</w:t>
      </w:r>
    </w:p>
    <w:p w:rsidR="007F52E5" w:rsidRDefault="007F52E5" w:rsidP="007F52E5">
      <w:pPr>
        <w:pStyle w:val="Odstavecseseznamem"/>
        <w:numPr>
          <w:ilvl w:val="0"/>
          <w:numId w:val="12"/>
        </w:numPr>
      </w:pPr>
      <w:r>
        <w:t>ESB komunikační sběrnice,</w:t>
      </w:r>
    </w:p>
    <w:p w:rsidR="007F52E5" w:rsidRDefault="007F52E5" w:rsidP="007F52E5">
      <w:pPr>
        <w:pStyle w:val="Odstavecseseznamem"/>
        <w:numPr>
          <w:ilvl w:val="0"/>
          <w:numId w:val="12"/>
        </w:numPr>
      </w:pPr>
      <w:r>
        <w:t>Značkovací služba,</w:t>
      </w:r>
    </w:p>
    <w:p w:rsidR="007F52E5" w:rsidRDefault="007F52E5" w:rsidP="007F52E5">
      <w:pPr>
        <w:pStyle w:val="Odstavecseseznamem"/>
        <w:numPr>
          <w:ilvl w:val="0"/>
          <w:numId w:val="12"/>
        </w:numPr>
      </w:pPr>
      <w:r>
        <w:t>Archiv formulářových podání,</w:t>
      </w:r>
    </w:p>
    <w:p w:rsidR="007F52E5" w:rsidRDefault="007F52E5" w:rsidP="007F52E5">
      <w:pPr>
        <w:pStyle w:val="Odstavecseseznamem"/>
        <w:numPr>
          <w:ilvl w:val="0"/>
          <w:numId w:val="12"/>
        </w:numPr>
      </w:pPr>
      <w:r>
        <w:t>Registry a jiné zdroje dat včetně Spisové služby.</w:t>
      </w:r>
    </w:p>
    <w:p w:rsidR="007F52E5" w:rsidRDefault="007F52E5" w:rsidP="007F52E5"/>
    <w:p w:rsidR="007F52E5" w:rsidRDefault="007F52E5" w:rsidP="007F52E5">
      <w:pPr>
        <w:pStyle w:val="Titulek"/>
        <w:keepNext/>
      </w:pPr>
      <w:bookmarkStart w:id="2" w:name="_Ref511811429"/>
      <w:r>
        <w:t xml:space="preserve">Obrázek </w:t>
      </w:r>
      <w:fldSimple w:instr=" SEQ Obrázek \* ARABIC ">
        <w:r w:rsidR="00B417FA">
          <w:rPr>
            <w:noProof/>
          </w:rPr>
          <w:t>1</w:t>
        </w:r>
      </w:fldSimple>
      <w:r>
        <w:t xml:space="preserve"> - Základní komponenty a datové toky</w:t>
      </w:r>
      <w:bookmarkEnd w:id="2"/>
    </w:p>
    <w:p w:rsidR="007F52E5" w:rsidRDefault="007F52E5" w:rsidP="007F52E5">
      <w:r w:rsidRPr="007F52E5">
        <w:rPr>
          <w:noProof/>
          <w:lang w:eastAsia="cs-CZ"/>
        </w:rPr>
        <w:drawing>
          <wp:inline distT="0" distB="0" distL="0" distR="0" wp14:anchorId="3A399262" wp14:editId="3D18522C">
            <wp:extent cx="5760720" cy="37312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3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2E5" w:rsidRDefault="007F52E5" w:rsidP="007F52E5"/>
    <w:p w:rsidR="007F52E5" w:rsidRDefault="007F52E5" w:rsidP="007F52E5">
      <w:r>
        <w:t xml:space="preserve">Předmětem tohoto marketingového průzkumu je </w:t>
      </w:r>
      <w:r w:rsidR="008B249A">
        <w:t>identifikace</w:t>
      </w:r>
      <w:r>
        <w:t xml:space="preserve"> potenciálních partnerů pro zajištění provozu a rozvoje komponenty Formulářový server a Archiv formulářových podání včetně souvisejících konzultací</w:t>
      </w:r>
      <w:r w:rsidR="00C82DB3">
        <w:t xml:space="preserve"> a průzkum cen těchto služeb</w:t>
      </w:r>
      <w:r>
        <w:t xml:space="preserve">. Komponenty jsou zvýrazněny žlutě na obrázku </w:t>
      </w:r>
      <w:r w:rsidR="00C82DB3">
        <w:fldChar w:fldCharType="begin"/>
      </w:r>
      <w:r w:rsidR="00C82DB3">
        <w:instrText xml:space="preserve"> REF _Ref511811429 \h </w:instrText>
      </w:r>
      <w:r w:rsidR="00C82DB3">
        <w:fldChar w:fldCharType="separate"/>
      </w:r>
      <w:r w:rsidR="00C82DB3">
        <w:t xml:space="preserve">Obrázek </w:t>
      </w:r>
      <w:r w:rsidR="00C82DB3">
        <w:rPr>
          <w:noProof/>
        </w:rPr>
        <w:t>1</w:t>
      </w:r>
      <w:r w:rsidR="00C82DB3">
        <w:t xml:space="preserve"> - Základní komponenty a datové toky</w:t>
      </w:r>
      <w:r w:rsidR="00C82DB3">
        <w:fldChar w:fldCharType="end"/>
      </w:r>
      <w:r w:rsidR="00C82DB3">
        <w:t xml:space="preserve">. </w:t>
      </w:r>
    </w:p>
    <w:p w:rsidR="00B417FA" w:rsidRDefault="00B417FA" w:rsidP="007F52E5">
      <w:r>
        <w:t>Jednotlivé architektonické komponenty jsou integrovány prostřednictvím komunikační sběrnice ESB AgriBus a jí poskytovaných kompozitních služeb.</w:t>
      </w:r>
    </w:p>
    <w:p w:rsidR="00B417FA" w:rsidRDefault="00B417FA" w:rsidP="00B417FA">
      <w:pPr>
        <w:pStyle w:val="Titulek"/>
        <w:keepNext/>
      </w:pPr>
      <w:r>
        <w:lastRenderedPageBreak/>
        <w:t xml:space="preserve">Obrázek </w:t>
      </w:r>
      <w:fldSimple w:instr=" SEQ Obrázek \* ARABIC ">
        <w:r>
          <w:rPr>
            <w:noProof/>
          </w:rPr>
          <w:t>2</w:t>
        </w:r>
      </w:fldSimple>
      <w:r>
        <w:t xml:space="preserve"> - Integrace komponent</w:t>
      </w:r>
    </w:p>
    <w:p w:rsidR="00B417FA" w:rsidRPr="007F52E5" w:rsidRDefault="00B417FA" w:rsidP="007F52E5">
      <w:r w:rsidRPr="00B417FA">
        <w:rPr>
          <w:noProof/>
          <w:lang w:eastAsia="cs-CZ"/>
        </w:rPr>
        <w:drawing>
          <wp:inline distT="0" distB="0" distL="0" distR="0" wp14:anchorId="469048C3" wp14:editId="2B99D1F7">
            <wp:extent cx="5760720" cy="35064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3E4" w:rsidRDefault="009453E4" w:rsidP="009453E4">
      <w:pPr>
        <w:pStyle w:val="Nadpis2"/>
      </w:pPr>
      <w:r>
        <w:t>Prostředí</w:t>
      </w:r>
    </w:p>
    <w:p w:rsidR="00DE6F0E" w:rsidRDefault="00DE6F0E" w:rsidP="00DE6F0E">
      <w:pPr>
        <w:pStyle w:val="Normal1"/>
        <w:ind w:left="0"/>
      </w:pPr>
      <w:r>
        <w:t xml:space="preserve">Aplikace Orbeon Forms je provozována na platformě Linux </w:t>
      </w:r>
      <w:r w:rsidRPr="009453E4">
        <w:t>Red Hat 7.2</w:t>
      </w:r>
      <w:r>
        <w:t xml:space="preserve"> v servlet kontejneru Apache Tomcat </w:t>
      </w:r>
      <w:r w:rsidRPr="009453E4">
        <w:t>z distribuce RedHatu 7.x</w:t>
      </w:r>
      <w:r>
        <w:t>. Pro běh Apache Tomcat je využita i</w:t>
      </w:r>
      <w:r w:rsidR="00AA5B6A">
        <w:t>nstalace OpenJava 1.8.0 JDK z </w:t>
      </w:r>
      <w:r w:rsidRPr="009453E4">
        <w:t>distribuce RedHatu</w:t>
      </w:r>
      <w:r>
        <w:t>.</w:t>
      </w:r>
    </w:p>
    <w:p w:rsidR="00B32957" w:rsidRDefault="00B32957" w:rsidP="00B32957">
      <w:pPr>
        <w:pStyle w:val="Nadpis2"/>
      </w:pPr>
      <w:r>
        <w:t>Základní konfigurace aplikace</w:t>
      </w:r>
    </w:p>
    <w:p w:rsidR="00DE6F0E" w:rsidRDefault="00DE6F0E" w:rsidP="00DE6F0E">
      <w:r>
        <w:t xml:space="preserve">Formulářové řešení Orbeon Forms je instalováno do servlet kontejneru Apache Tomcat ze </w:t>
      </w:r>
      <w:r w:rsidR="00396116">
        <w:t>distribučního</w:t>
      </w:r>
      <w:r>
        <w:t xml:space="preserve"> WAR archivu poskytovaného výrobcem Orbeon Inc. Spuštění aplikace spolu se servlet kontejnerem je zajištěno standardními nástroji RedHat Linux. Pro ukládání pracovních dat a dat formulářů je využita samostatná instance XML databáze </w:t>
      </w:r>
      <w:r w:rsidRPr="00DE6F0E">
        <w:t>eXist</w:t>
      </w:r>
      <w:r w:rsidR="00632A89">
        <w:t>. Komunikace s XML databází probíhá prostřednictvím standardní</w:t>
      </w:r>
      <w:r w:rsidR="00F443D7">
        <w:t>ch</w:t>
      </w:r>
      <w:r w:rsidR="00632A89">
        <w:t xml:space="preserve"> REST služeb eXist databáze.</w:t>
      </w:r>
      <w:r>
        <w:t xml:space="preserve"> </w:t>
      </w:r>
      <w:r w:rsidR="00F443D7">
        <w:t>Uživatelské rozhraní aplikace je přeloženo do českého jazyka postupy doporučovanými výrobcem.</w:t>
      </w:r>
    </w:p>
    <w:p w:rsidR="00DE6F0E" w:rsidRDefault="00DE6F0E" w:rsidP="00DE6F0E">
      <w:r>
        <w:t xml:space="preserve">Aplikace je nakonfigurována nastavením příslušných parametrů v konfiguračním souboru </w:t>
      </w:r>
      <w:r w:rsidRPr="00DE6F0E">
        <w:rPr>
          <w:rStyle w:val="CittChar"/>
        </w:rPr>
        <w:t>properties-local.xml</w:t>
      </w:r>
      <w:r>
        <w:t>. V aplikaci jsou provedeny zejména následující konfigurace:</w:t>
      </w:r>
    </w:p>
    <w:p w:rsidR="00DE6F0E" w:rsidRDefault="00632A89" w:rsidP="00DE6F0E">
      <w:pPr>
        <w:pStyle w:val="Odstavecseseznamem"/>
        <w:numPr>
          <w:ilvl w:val="0"/>
          <w:numId w:val="9"/>
        </w:numPr>
      </w:pPr>
      <w:r>
        <w:t>konfigurace připojení k externí eXist databázi,</w:t>
      </w:r>
    </w:p>
    <w:p w:rsidR="00632A89" w:rsidRDefault="00632A89" w:rsidP="00DE6F0E">
      <w:pPr>
        <w:pStyle w:val="Odstavecseseznamem"/>
        <w:numPr>
          <w:ilvl w:val="0"/>
          <w:numId w:val="9"/>
        </w:numPr>
      </w:pPr>
      <w:r>
        <w:t>nastavení českého lokální prostředí pro datové typy měna atd.,</w:t>
      </w:r>
    </w:p>
    <w:p w:rsidR="00632A89" w:rsidRDefault="00632A89" w:rsidP="00DE6F0E">
      <w:pPr>
        <w:pStyle w:val="Odstavecseseznamem"/>
        <w:numPr>
          <w:ilvl w:val="0"/>
          <w:numId w:val="9"/>
        </w:numPr>
      </w:pPr>
      <w:r>
        <w:t>konfigurace kaskádových stylů a obrázků použitých pro úpravu změny vzhledu aplikace do standardn</w:t>
      </w:r>
      <w:r w:rsidR="00AA5B6A">
        <w:t>í podoby MZ</w:t>
      </w:r>
      <w:r>
        <w:t>e,</w:t>
      </w:r>
    </w:p>
    <w:p w:rsidR="00632A89" w:rsidRDefault="00632A89" w:rsidP="00DE6F0E">
      <w:pPr>
        <w:pStyle w:val="Odstavecseseznamem"/>
        <w:numPr>
          <w:ilvl w:val="0"/>
          <w:numId w:val="9"/>
        </w:numPr>
      </w:pPr>
      <w:r>
        <w:t>nastavení formátování čísel,</w:t>
      </w:r>
    </w:p>
    <w:p w:rsidR="00632A89" w:rsidRDefault="00632A89" w:rsidP="00DE6F0E">
      <w:pPr>
        <w:pStyle w:val="Odstavecseseznamem"/>
        <w:numPr>
          <w:ilvl w:val="0"/>
          <w:numId w:val="9"/>
        </w:numPr>
      </w:pPr>
      <w:r>
        <w:t>omezení velikosti nahrávaných souborů,</w:t>
      </w:r>
    </w:p>
    <w:p w:rsidR="00632A89" w:rsidRDefault="00632A89" w:rsidP="00DE6F0E">
      <w:pPr>
        <w:pStyle w:val="Odstavecseseznamem"/>
        <w:numPr>
          <w:ilvl w:val="0"/>
          <w:numId w:val="9"/>
        </w:numPr>
      </w:pPr>
      <w:r>
        <w:t>konfigurace generování PDF souborů,</w:t>
      </w:r>
    </w:p>
    <w:p w:rsidR="00F443D7" w:rsidRPr="00DE6F0E" w:rsidRDefault="00F443D7" w:rsidP="00F443D7">
      <w:pPr>
        <w:pStyle w:val="Odstavecseseznamem"/>
        <w:numPr>
          <w:ilvl w:val="0"/>
          <w:numId w:val="9"/>
        </w:numPr>
      </w:pPr>
      <w:r>
        <w:t>konfigurace procesů a formulářových prvků (tlačítek) pro jednotlivé formuláře.</w:t>
      </w:r>
    </w:p>
    <w:p w:rsidR="00F443D7" w:rsidRDefault="00F443D7" w:rsidP="00DE6F0E">
      <w:r>
        <w:t xml:space="preserve">Mimo standardní konfigurace je aplikace rozšířena </w:t>
      </w:r>
      <w:r w:rsidR="00DE6F0E">
        <w:t xml:space="preserve">o funkcionalitu uložení a nahrání pracovní verze formuláře v XML na klientskou stanici ve formě samostatatného servletu nasazeného ve shodném </w:t>
      </w:r>
      <w:r w:rsidR="00DE6F0E">
        <w:lastRenderedPageBreak/>
        <w:t>servlet kontejneru.</w:t>
      </w:r>
      <w:r>
        <w:t xml:space="preserve"> Rozšíření mimo jiné umožňuje uložení pracovních dat formuláře opatřených kontrolním součtem na klientskou stanici ve formě XML souboru a opětovné načtení těchto dat do otevřeného formuláře. Před načtením dat funkcionalita ověřuje, že jsou načítána správná data pro odpovídající formulář, a že data nebyla na straně klienta modifikována jinými prostředky než využitím rozhraní formulářového serveru. Za tímto účelem je kontrolován dříve vygenerovaný kontrolní součet uloženého souboru.</w:t>
      </w:r>
    </w:p>
    <w:p w:rsidR="00F443D7" w:rsidRDefault="00F443D7" w:rsidP="00DE6F0E">
      <w:r>
        <w:t>Řešení počítá s přístupem anonymních i ověřených uživatelů. Pro anonymní odeslání formulářů je každý anonymní formulář opatřen prvkem captcha, zamezujícím robotickému vyplňování a odesílání formulářů. Pro ověření uživatelů je aktuálně možné využít dva zdroje identit:</w:t>
      </w:r>
    </w:p>
    <w:p w:rsidR="00DE6F0E" w:rsidRDefault="00F443D7" w:rsidP="00F443D7">
      <w:pPr>
        <w:pStyle w:val="Odstavecseseznamem"/>
        <w:numPr>
          <w:ilvl w:val="0"/>
          <w:numId w:val="10"/>
        </w:numPr>
      </w:pPr>
      <w:r>
        <w:t>Autentizační služba/brána Informačního systému datových schránek (ISDS),</w:t>
      </w:r>
    </w:p>
    <w:p w:rsidR="00F443D7" w:rsidRDefault="00F376CE" w:rsidP="00F443D7">
      <w:pPr>
        <w:pStyle w:val="Odstavecseseznamem"/>
        <w:numPr>
          <w:ilvl w:val="0"/>
          <w:numId w:val="10"/>
        </w:numPr>
      </w:pPr>
      <w:r>
        <w:t>LDAP identita M</w:t>
      </w:r>
      <w:r w:rsidR="00AA5B6A">
        <w:t>Z</w:t>
      </w:r>
      <w:r>
        <w:t>e.</w:t>
      </w:r>
    </w:p>
    <w:p w:rsidR="00F376CE" w:rsidRDefault="00F376CE" w:rsidP="00F376CE">
      <w:r>
        <w:t>Do budoucna je počítáno s podporou národní identity (NIA) a všech dalších identit (např. JIP/KAAS) poskytovaných identitními službami na úrovni České republiky.</w:t>
      </w:r>
      <w:r w:rsidR="00BE3D5A">
        <w:t xml:space="preserve"> Ověřování je implementováno jako samostatná funkcionalita nasazená na shodný servlet kontejner jako Orbeon Forms.</w:t>
      </w:r>
    </w:p>
    <w:p w:rsidR="00DE6F0E" w:rsidRPr="00DE6F0E" w:rsidRDefault="00DE6F0E" w:rsidP="00DE6F0E"/>
    <w:p w:rsidR="009453E4" w:rsidRDefault="009453E4" w:rsidP="009453E4">
      <w:pPr>
        <w:pStyle w:val="Nadpis2"/>
      </w:pPr>
      <w:r>
        <w:t>Integrace na zdroje dat a cílové systémy</w:t>
      </w:r>
    </w:p>
    <w:p w:rsidR="00912940" w:rsidRDefault="00912940" w:rsidP="00912940">
      <w:r>
        <w:t>Mimo výše uvedené integrace na poskytovatele identitních služeb je formulářové řešení integrováno s registry a jinými zdroji dat rezortu M</w:t>
      </w:r>
      <w:r w:rsidR="00AA5B6A">
        <w:t>Z</w:t>
      </w:r>
      <w:r>
        <w:t>e a výhledově i s dalšími mimorezortními systémy. Pro integraci je využita centrální kom</w:t>
      </w:r>
      <w:r w:rsidR="00AA5B6A">
        <w:t>unikační ESB sběrnice AgriBus MZ</w:t>
      </w:r>
      <w:r>
        <w:t>e. Komunikace s integrovanými systémy probíhá prostřednictvím volání webových služeb v souladu s principy SOA. Klienti ESB jsou ověřování systémovým certifikátem. Integrace bude zajišťovat zejména:</w:t>
      </w:r>
    </w:p>
    <w:p w:rsidR="00912940" w:rsidRDefault="00912940" w:rsidP="00912940">
      <w:pPr>
        <w:pStyle w:val="Odstavecseseznamem"/>
        <w:numPr>
          <w:ilvl w:val="0"/>
          <w:numId w:val="11"/>
        </w:numPr>
      </w:pPr>
      <w:r>
        <w:t>přenos dat od zdrojových systémů pro předvyplnění formulářů,</w:t>
      </w:r>
    </w:p>
    <w:p w:rsidR="00912940" w:rsidRDefault="00912940" w:rsidP="00912940">
      <w:pPr>
        <w:pStyle w:val="Odstavecseseznamem"/>
        <w:numPr>
          <w:ilvl w:val="0"/>
          <w:numId w:val="11"/>
        </w:numPr>
      </w:pPr>
      <w:r>
        <w:t>odeslání vyplněných dat do cílových systémů včetně komunikace se spisovou službou.</w:t>
      </w:r>
    </w:p>
    <w:p w:rsidR="00912940" w:rsidRPr="00912940" w:rsidRDefault="00912940" w:rsidP="00912940">
      <w:r>
        <w:t xml:space="preserve">Za tímto účelem budou na platformě ESB AgriBus implementovány kompozitní webové služby </w:t>
      </w:r>
      <w:r w:rsidR="00396116">
        <w:t>zprostředkující</w:t>
      </w:r>
      <w:r>
        <w:t xml:space="preserve"> výše uvedené integrace. Funkcionalita kompozitních služeb zajišťuje zároveň opatření odeslaných dat </w:t>
      </w:r>
      <w:r w:rsidR="007F52E5">
        <w:t>elektronickou značkou, odeslání dat do cílových systémů a dále archivu formulářových podání.</w:t>
      </w:r>
      <w:r>
        <w:t xml:space="preserve"> </w:t>
      </w:r>
    </w:p>
    <w:p w:rsidR="009453E4" w:rsidRDefault="00B32957" w:rsidP="009453E4">
      <w:pPr>
        <w:pStyle w:val="Nadpis2"/>
      </w:pPr>
      <w:r>
        <w:t>Zajištění vysoké dostupnosti a rozdělení zátěže</w:t>
      </w:r>
    </w:p>
    <w:p w:rsidR="00B417FA" w:rsidRPr="00B417FA" w:rsidRDefault="00B417FA" w:rsidP="00B417FA">
      <w:r>
        <w:t>Pro zajištění vysoké dostupnosti jsou vybudovány dvě instance formulářového serveru a archivu podání ve dvou geografických lokalitách HC Nag</w:t>
      </w:r>
      <w:r w:rsidR="00AA5B6A">
        <w:t>a</w:t>
      </w:r>
      <w:r>
        <w:t xml:space="preserve">no a HC Chodov. </w:t>
      </w:r>
      <w:r w:rsidR="00564E7E">
        <w:t xml:space="preserve">Provoz je na aplikační servery směrován load balancerem s využitím </w:t>
      </w:r>
      <w:r w:rsidR="00564E7E" w:rsidRPr="00564E7E">
        <w:t>sticky sessions</w:t>
      </w:r>
      <w:r w:rsidR="00564E7E">
        <w:t>. Do budoucna je uvažováno využití replikace stavu mezi aplikačními servery, jak je uvedeno v dokumentaci výrobce.</w:t>
      </w:r>
    </w:p>
    <w:p w:rsidR="0007437B" w:rsidRDefault="00B32957" w:rsidP="00564E7E">
      <w:pPr>
        <w:pStyle w:val="Nadpis2"/>
      </w:pPr>
      <w:r>
        <w:t>Očekávané zatížení systému</w:t>
      </w:r>
    </w:p>
    <w:p w:rsidR="0007437B" w:rsidRDefault="00564E7E" w:rsidP="0007437B">
      <w:r>
        <w:t xml:space="preserve">Formulářové řešení bude využíváno zejména externími uživateli, ale i uživateli z rezortních a mimo rezortních organizací. Aktuálně je kalkulováno přibližně </w:t>
      </w:r>
      <w:r w:rsidR="00291651">
        <w:t xml:space="preserve">s </w:t>
      </w:r>
      <w:r>
        <w:t>počtem 60.000 vyplněných a odeslaných formulářů za jeden kalendářní rok, přičemž počet elektronických podání se bude spolu s postupující digitalizací agend M</w:t>
      </w:r>
      <w:r w:rsidR="00AA5B6A">
        <w:t>Z</w:t>
      </w:r>
      <w:r>
        <w:t xml:space="preserve">e průběžně zvyšovat. </w:t>
      </w:r>
    </w:p>
    <w:p w:rsidR="0007437B" w:rsidRDefault="00DE6F0E" w:rsidP="00DE6F0E">
      <w:pPr>
        <w:pStyle w:val="Nadpis2"/>
      </w:pPr>
      <w:r>
        <w:t>Zálohování</w:t>
      </w:r>
    </w:p>
    <w:p w:rsidR="00291651" w:rsidRPr="00291651" w:rsidRDefault="00291651" w:rsidP="00291651">
      <w:r>
        <w:t>Pracovní data Orbeon Forms (zahrnující definice formulářů) a data odeslaných formulářů jsou uložena v eXist databázi</w:t>
      </w:r>
      <w:r w:rsidR="00BE0020">
        <w:t xml:space="preserve"> a souborovém</w:t>
      </w:r>
      <w:r w:rsidR="00CD5225">
        <w:t xml:space="preserve"> úložišti</w:t>
      </w:r>
      <w:r>
        <w:t xml:space="preserve">. Pro zálohování databáze jsou využity zahrnuté funkcionality eXist databáze. Vygenerované zálohy včetně souborových </w:t>
      </w:r>
      <w:r w:rsidR="00CD5225">
        <w:t xml:space="preserve">úložišť, </w:t>
      </w:r>
      <w:r>
        <w:t>konfigurací a záloh operačního systému jsou realizovány M</w:t>
      </w:r>
      <w:r w:rsidR="00AA5B6A">
        <w:t>Z</w:t>
      </w:r>
      <w:r>
        <w:t>e s využitím prostředků M</w:t>
      </w:r>
      <w:r w:rsidR="00AA5B6A">
        <w:t>Z</w:t>
      </w:r>
      <w:r>
        <w:t>e.</w:t>
      </w:r>
      <w:r w:rsidR="00CD5225">
        <w:t xml:space="preserve"> Plán zálohování a seznam zálohovaných zdrojů definuje externí provozovatel formulářového řešení. </w:t>
      </w:r>
    </w:p>
    <w:p w:rsidR="00933D9B" w:rsidRDefault="00BD2D0C" w:rsidP="00BD2D0C">
      <w:pPr>
        <w:pStyle w:val="Nadpis1"/>
        <w:pageBreakBefore w:val="0"/>
        <w:spacing w:before="120"/>
        <w:ind w:left="431" w:hanging="431"/>
      </w:pPr>
      <w:r>
        <w:lastRenderedPageBreak/>
        <w:t>Specifikace požadovaných služeb</w:t>
      </w:r>
    </w:p>
    <w:p w:rsidR="00BD2D0C" w:rsidRDefault="00BD2D0C" w:rsidP="00BD2D0C">
      <w:pPr>
        <w:pStyle w:val="Nadpis2"/>
      </w:pPr>
      <w:r>
        <w:t>Služby provozu</w:t>
      </w:r>
      <w:r w:rsidR="00632A89">
        <w:t xml:space="preserve"> a podpory</w:t>
      </w:r>
    </w:p>
    <w:p w:rsidR="00CD5225" w:rsidRPr="00CD5225" w:rsidRDefault="00CD5225" w:rsidP="00CD5225"/>
    <w:p w:rsidR="008F453C" w:rsidRDefault="008B249A" w:rsidP="002A5494">
      <w:r>
        <w:t xml:space="preserve">Služby provozu a podpory se vztahují ke </w:t>
      </w:r>
      <w:r w:rsidR="00AA5B6A">
        <w:t>dvěma</w:t>
      </w:r>
      <w:r>
        <w:t xml:space="preserve"> aplikačním komponentám, </w:t>
      </w:r>
      <w:r w:rsidRPr="008B249A">
        <w:t>komponent</w:t>
      </w:r>
      <w:r>
        <w:t>ě</w:t>
      </w:r>
      <w:r w:rsidRPr="008B249A">
        <w:t xml:space="preserve"> Formulářový server a </w:t>
      </w:r>
      <w:r>
        <w:t xml:space="preserve">komponentě </w:t>
      </w:r>
      <w:r w:rsidRPr="008B249A">
        <w:t>Archiv formulářových podání</w:t>
      </w:r>
      <w:r>
        <w:t xml:space="preserve">, viz kapitola </w:t>
      </w:r>
      <w:r>
        <w:fldChar w:fldCharType="begin"/>
      </w:r>
      <w:r>
        <w:instrText xml:space="preserve"> REF _Ref511824263 \h </w:instrText>
      </w:r>
      <w:r>
        <w:fldChar w:fldCharType="separate"/>
      </w:r>
      <w:r>
        <w:t>Základní architektura</w:t>
      </w:r>
      <w:r>
        <w:fldChar w:fldCharType="end"/>
      </w:r>
      <w:r>
        <w:t>.</w:t>
      </w:r>
      <w:r w:rsidRPr="008B249A">
        <w:t xml:space="preserve"> </w:t>
      </w:r>
      <w:r w:rsidR="008F453C">
        <w:t>Služby provozu a podpory by měly být poskytovány na dvou úrovních:</w:t>
      </w:r>
    </w:p>
    <w:p w:rsidR="008F453C" w:rsidRDefault="008F453C" w:rsidP="002A5494">
      <w:pPr>
        <w:pStyle w:val="Odstavecseseznamem"/>
        <w:numPr>
          <w:ilvl w:val="0"/>
          <w:numId w:val="16"/>
        </w:numPr>
      </w:pPr>
      <w:r>
        <w:t>standardní služby podpory mimo období běhu kampaní,</w:t>
      </w:r>
    </w:p>
    <w:p w:rsidR="008F453C" w:rsidRPr="008F453C" w:rsidRDefault="008F453C" w:rsidP="002A5494">
      <w:pPr>
        <w:pStyle w:val="Odstavecseseznamem"/>
        <w:numPr>
          <w:ilvl w:val="0"/>
          <w:numId w:val="16"/>
        </w:numPr>
      </w:pPr>
      <w:r>
        <w:t>služby zvýšené podpory a provozu pro období běhu kampaní.</w:t>
      </w:r>
    </w:p>
    <w:p w:rsidR="008F453C" w:rsidRPr="008F453C" w:rsidRDefault="008F453C" w:rsidP="002A5494">
      <w:pPr>
        <w:spacing w:after="240"/>
      </w:pPr>
      <w:r>
        <w:t>Služby zvýšené podpory bude možné aktivovat na období v minimální délce 5-ti dnů a bud</w:t>
      </w:r>
      <w:r w:rsidR="008B249A">
        <w:t>ou</w:t>
      </w:r>
      <w:r>
        <w:t xml:space="preserve"> </w:t>
      </w:r>
      <w:r w:rsidR="00862E03">
        <w:t>aktivován</w:t>
      </w:r>
      <w:r w:rsidR="008B249A">
        <w:t>y</w:t>
      </w:r>
      <w:r>
        <w:t xml:space="preserve"> prostřednictvím požadavku v HelpDesk </w:t>
      </w:r>
      <w:r w:rsidR="00AA5B6A">
        <w:t>MZ</w:t>
      </w:r>
      <w:r>
        <w:t>e. Požadavek musí být vznesen alespoň 10 pracovních dnů před zahájením poskytování služeb zvýšené podpory</w:t>
      </w:r>
      <w:r w:rsidR="00AA5B6A">
        <w:t>. Parametry služeb standardní a </w:t>
      </w:r>
      <w:r>
        <w:t xml:space="preserve">zvýšené podpory jsou uvedeny dále v dokumentu. </w:t>
      </w:r>
    </w:p>
    <w:p w:rsidR="00BD2D0C" w:rsidRPr="00CD5225" w:rsidRDefault="00CD5225" w:rsidP="002A5494">
      <w:r w:rsidRPr="00CD5225">
        <w:t xml:space="preserve">Služby provozu a podpory zahrnují </w:t>
      </w:r>
      <w:r w:rsidR="002A5494">
        <w:t xml:space="preserve">zejména </w:t>
      </w:r>
      <w:r w:rsidRPr="00CD5225">
        <w:t>následující činnosti:</w:t>
      </w:r>
    </w:p>
    <w:p w:rsidR="00BD2D0C" w:rsidRDefault="00CD5225" w:rsidP="002A5494">
      <w:pPr>
        <w:pStyle w:val="Odstavecseseznamem"/>
        <w:numPr>
          <w:ilvl w:val="0"/>
          <w:numId w:val="15"/>
        </w:numPr>
      </w:pPr>
      <w:r>
        <w:t>p</w:t>
      </w:r>
      <w:r w:rsidR="00BD2D0C" w:rsidRPr="00452FE8">
        <w:t>řevzetí nainstalovaného systému</w:t>
      </w:r>
      <w:r>
        <w:t>,</w:t>
      </w:r>
    </w:p>
    <w:p w:rsidR="00CD5225" w:rsidRDefault="00CD5225" w:rsidP="002A5494">
      <w:pPr>
        <w:pStyle w:val="Odstavecseseznamem"/>
        <w:numPr>
          <w:ilvl w:val="0"/>
          <w:numId w:val="15"/>
        </w:numPr>
      </w:pPr>
      <w:r>
        <w:t>běžná konfigurace a profylaxe systému nezbytná pro řádný chod systému,</w:t>
      </w:r>
    </w:p>
    <w:p w:rsidR="00CD5225" w:rsidRDefault="00CD5225" w:rsidP="002A5494">
      <w:pPr>
        <w:pStyle w:val="Odstavecseseznamem"/>
        <w:numPr>
          <w:ilvl w:val="0"/>
          <w:numId w:val="15"/>
        </w:numPr>
      </w:pPr>
      <w:r>
        <w:t>zajištění dostupnosti a odezvy systému v souladu s parametry definovanými v SLA,</w:t>
      </w:r>
    </w:p>
    <w:p w:rsidR="00CD5225" w:rsidRDefault="00CD5225" w:rsidP="002A5494">
      <w:pPr>
        <w:pStyle w:val="Odstavecseseznamem"/>
        <w:numPr>
          <w:ilvl w:val="0"/>
          <w:numId w:val="15"/>
        </w:numPr>
      </w:pPr>
      <w:r>
        <w:t>řešení požadavků a incidentů v souladu s parametry definovanými SLA</w:t>
      </w:r>
      <w:r w:rsidR="008F453C">
        <w:t xml:space="preserve"> v service desk nástroji MZe</w:t>
      </w:r>
      <w:r>
        <w:t>,</w:t>
      </w:r>
    </w:p>
    <w:p w:rsidR="00CD5225" w:rsidRDefault="00CD5225" w:rsidP="002A5494">
      <w:pPr>
        <w:pStyle w:val="Odstavecseseznamem"/>
        <w:numPr>
          <w:ilvl w:val="0"/>
          <w:numId w:val="15"/>
        </w:numPr>
      </w:pPr>
      <w:r>
        <w:t>p</w:t>
      </w:r>
      <w:r w:rsidRPr="00452FE8">
        <w:t>oskytování telefonické a emailov</w:t>
      </w:r>
      <w:r>
        <w:t>é</w:t>
      </w:r>
      <w:r w:rsidRPr="00452FE8">
        <w:t xml:space="preserve"> podpor</w:t>
      </w:r>
      <w:r>
        <w:t>y</w:t>
      </w:r>
      <w:r w:rsidRPr="00452FE8">
        <w:t xml:space="preserve"> </w:t>
      </w:r>
      <w:r>
        <w:t xml:space="preserve">pro </w:t>
      </w:r>
      <w:r w:rsidRPr="00452FE8">
        <w:t>HelpDesk MZe (tj. 2. a</w:t>
      </w:r>
      <w:r>
        <w:t xml:space="preserve"> </w:t>
      </w:r>
      <w:r w:rsidRPr="00452FE8">
        <w:t>3. úrovně podpory) v </w:t>
      </w:r>
      <w:r w:rsidRPr="00CD5225">
        <w:t xml:space="preserve">režimu </w:t>
      </w:r>
      <w:r w:rsidR="008F453C">
        <w:t>dle SLA uvedeného dále v dokumentu,</w:t>
      </w:r>
    </w:p>
    <w:p w:rsidR="00862E03" w:rsidRDefault="00862E03" w:rsidP="002A5494">
      <w:pPr>
        <w:pStyle w:val="Odstavecseseznamem"/>
        <w:numPr>
          <w:ilvl w:val="0"/>
          <w:numId w:val="15"/>
        </w:numPr>
      </w:pPr>
      <w:r>
        <w:t>správa definic formulářů a jejich verzí,</w:t>
      </w:r>
    </w:p>
    <w:p w:rsidR="00CD5225" w:rsidRDefault="00CD5225" w:rsidP="002A5494">
      <w:pPr>
        <w:pStyle w:val="Odstavecseseznamem"/>
        <w:numPr>
          <w:ilvl w:val="0"/>
          <w:numId w:val="15"/>
        </w:numPr>
      </w:pPr>
      <w:r>
        <w:t>součinnost při plánování odstávek informačních systémů M</w:t>
      </w:r>
      <w:r w:rsidR="00AA5B6A">
        <w:t>Z</w:t>
      </w:r>
      <w:r>
        <w:t>e,</w:t>
      </w:r>
    </w:p>
    <w:p w:rsidR="00CD5225" w:rsidRDefault="00CD5225" w:rsidP="002A5494">
      <w:pPr>
        <w:pStyle w:val="Odstavecseseznamem"/>
        <w:numPr>
          <w:ilvl w:val="0"/>
          <w:numId w:val="15"/>
        </w:numPr>
      </w:pPr>
      <w:r>
        <w:t>součinnost při řešení výpadků a problémů ostatních technologií M</w:t>
      </w:r>
      <w:r w:rsidR="00AA5B6A">
        <w:t>Z</w:t>
      </w:r>
      <w:r>
        <w:t>e využívaných formulářovým serverem,</w:t>
      </w:r>
    </w:p>
    <w:p w:rsidR="00CD5225" w:rsidRDefault="00CD5225" w:rsidP="002A5494">
      <w:pPr>
        <w:pStyle w:val="Odstavecseseznamem"/>
        <w:numPr>
          <w:ilvl w:val="0"/>
          <w:numId w:val="15"/>
        </w:numPr>
      </w:pPr>
      <w:r>
        <w:t>správa a aktualizace provozní a uživatelské dokumentace,</w:t>
      </w:r>
    </w:p>
    <w:p w:rsidR="00CD5225" w:rsidRDefault="00CD5225" w:rsidP="002A5494">
      <w:pPr>
        <w:pStyle w:val="Odstavecseseznamem"/>
        <w:numPr>
          <w:ilvl w:val="0"/>
          <w:numId w:val="15"/>
        </w:numPr>
      </w:pPr>
      <w:r>
        <w:t xml:space="preserve">vedení </w:t>
      </w:r>
      <w:r w:rsidR="005441FE">
        <w:t>P</w:t>
      </w:r>
      <w:r>
        <w:t>rovozního deníku,</w:t>
      </w:r>
    </w:p>
    <w:p w:rsidR="005441FE" w:rsidRDefault="005441FE" w:rsidP="002A5494">
      <w:pPr>
        <w:pStyle w:val="Odstavecseseznamem"/>
        <w:numPr>
          <w:ilvl w:val="0"/>
          <w:numId w:val="15"/>
        </w:numPr>
      </w:pPr>
      <w:r>
        <w:t xml:space="preserve">vedení </w:t>
      </w:r>
      <w:r w:rsidRPr="005441FE">
        <w:t>záznam</w:t>
      </w:r>
      <w:r>
        <w:t>ů</w:t>
      </w:r>
      <w:r w:rsidRPr="005441FE">
        <w:t xml:space="preserve"> o </w:t>
      </w:r>
      <w:r>
        <w:t>provedené práci</w:t>
      </w:r>
      <w:r w:rsidRPr="005441FE">
        <w:t>, včetně t</w:t>
      </w:r>
      <w:r>
        <w:t>é</w:t>
      </w:r>
      <w:r w:rsidRPr="005441FE">
        <w:t>, kter</w:t>
      </w:r>
      <w:r>
        <w:t>á</w:t>
      </w:r>
      <w:r w:rsidRPr="005441FE">
        <w:t xml:space="preserve"> byl</w:t>
      </w:r>
      <w:r>
        <w:t>a</w:t>
      </w:r>
      <w:r w:rsidRPr="005441FE">
        <w:t xml:space="preserve"> proveden</w:t>
      </w:r>
      <w:r>
        <w:t>a</w:t>
      </w:r>
      <w:r w:rsidRPr="005441FE">
        <w:t xml:space="preserve"> v souvislosti se smlouvou o provozu a ne</w:t>
      </w:r>
      <w:r>
        <w:t>ní</w:t>
      </w:r>
      <w:r w:rsidRPr="005441FE">
        <w:t xml:space="preserve"> předmětem záznamu v Provozním deníku</w:t>
      </w:r>
      <w:r>
        <w:t>,</w:t>
      </w:r>
    </w:p>
    <w:p w:rsidR="00CD5225" w:rsidRPr="00452FE8" w:rsidRDefault="005441FE" w:rsidP="002A5494">
      <w:pPr>
        <w:pStyle w:val="Odstavecseseznamem"/>
        <w:numPr>
          <w:ilvl w:val="0"/>
          <w:numId w:val="15"/>
        </w:numPr>
      </w:pPr>
      <w:r>
        <w:t>generování dávek pro zálohování, supervize zálohování a průběžná kontrola funkčnosti záloh,</w:t>
      </w:r>
    </w:p>
    <w:p w:rsidR="00BD2D0C" w:rsidRDefault="005441FE" w:rsidP="002A5494">
      <w:pPr>
        <w:pStyle w:val="Odstavecseseznamem"/>
        <w:numPr>
          <w:ilvl w:val="0"/>
          <w:numId w:val="15"/>
        </w:numPr>
      </w:pPr>
      <w:r>
        <w:t>návrh, správa a průběžná aktualizace plánů zálohování a DRP,</w:t>
      </w:r>
    </w:p>
    <w:p w:rsidR="005441FE" w:rsidRPr="00E82CF6" w:rsidRDefault="005441FE" w:rsidP="002A5494">
      <w:pPr>
        <w:pStyle w:val="Odstavecseseznamem"/>
        <w:numPr>
          <w:ilvl w:val="0"/>
          <w:numId w:val="15"/>
        </w:numPr>
      </w:pPr>
      <w:r>
        <w:t>z</w:t>
      </w:r>
      <w:r w:rsidRPr="005441FE">
        <w:t>ajištění podpory výrobce na dobu provozu a podpory na úrovni PE Gold včetně zprostředkování podpory a komunikace případných p</w:t>
      </w:r>
      <w:r w:rsidR="00AA5B6A">
        <w:t>roblémů resp. řešení problémů s  </w:t>
      </w:r>
      <w:r w:rsidRPr="005441FE">
        <w:t>podporou výrobce</w:t>
      </w:r>
      <w:r w:rsidR="002A5494">
        <w:t>.</w:t>
      </w:r>
    </w:p>
    <w:p w:rsidR="00BD2D0C" w:rsidRPr="008B249A" w:rsidRDefault="00CD5225" w:rsidP="008B249A">
      <w:pPr>
        <w:pStyle w:val="Nadpis2"/>
      </w:pPr>
      <w:r>
        <w:t>Požadované provozní parametry (SLA)</w:t>
      </w:r>
    </w:p>
    <w:p w:rsidR="008B249A" w:rsidRDefault="008B249A" w:rsidP="002A5494">
      <w:pPr>
        <w:rPr>
          <w:u w:val="single"/>
        </w:rPr>
      </w:pPr>
    </w:p>
    <w:p w:rsidR="008F453C" w:rsidRPr="004A38C5" w:rsidRDefault="008F453C" w:rsidP="002A5494">
      <w:pPr>
        <w:rPr>
          <w:b/>
          <w:u w:val="single"/>
        </w:rPr>
      </w:pPr>
      <w:r w:rsidRPr="004A38C5">
        <w:rPr>
          <w:b/>
          <w:u w:val="single"/>
        </w:rPr>
        <w:t>Standardní provozní podpora:</w:t>
      </w:r>
    </w:p>
    <w:p w:rsidR="002A5494" w:rsidRPr="004A38C5" w:rsidRDefault="008F453C" w:rsidP="002A5494">
      <w:pPr>
        <w:rPr>
          <w:b/>
        </w:rPr>
      </w:pPr>
      <w:r w:rsidRPr="004A38C5">
        <w:rPr>
          <w:b/>
        </w:rPr>
        <w:t>5 x 1</w:t>
      </w:r>
      <w:r w:rsidR="008B249A" w:rsidRPr="004A38C5">
        <w:rPr>
          <w:b/>
        </w:rPr>
        <w:t>0</w:t>
      </w:r>
      <w:r w:rsidRPr="004A38C5">
        <w:rPr>
          <w:b/>
        </w:rPr>
        <w:t xml:space="preserve"> (v pracovních dnech) od 8:00 do 18:00 hodin</w:t>
      </w:r>
    </w:p>
    <w:tbl>
      <w:tblPr>
        <w:tblW w:w="4767" w:type="pct"/>
        <w:tblInd w:w="423" w:type="dxa"/>
        <w:tblBorders>
          <w:top w:val="single" w:sz="2" w:space="0" w:color="B2BC00"/>
          <w:left w:val="single" w:sz="2" w:space="0" w:color="B2BC00"/>
          <w:bottom w:val="single" w:sz="2" w:space="0" w:color="B2BC00"/>
          <w:right w:val="single" w:sz="2" w:space="0" w:color="B2BC00"/>
          <w:insideH w:val="single" w:sz="2" w:space="0" w:color="B2BC00"/>
          <w:insideV w:val="single" w:sz="2" w:space="0" w:color="B2BC00"/>
        </w:tblBorders>
        <w:tblLook w:val="00A0" w:firstRow="1" w:lastRow="0" w:firstColumn="1" w:lastColumn="0" w:noHBand="0" w:noVBand="0"/>
      </w:tblPr>
      <w:tblGrid>
        <w:gridCol w:w="1276"/>
        <w:gridCol w:w="5389"/>
        <w:gridCol w:w="1979"/>
      </w:tblGrid>
      <w:tr w:rsidR="002A5494" w:rsidTr="00862E03">
        <w:trPr>
          <w:trHeight w:val="564"/>
        </w:trPr>
        <w:tc>
          <w:tcPr>
            <w:tcW w:w="738" w:type="pct"/>
            <w:shd w:val="clear" w:color="auto" w:fill="E2EFDA"/>
            <w:tcMar>
              <w:left w:w="108" w:type="dxa"/>
            </w:tcMar>
            <w:vAlign w:val="center"/>
          </w:tcPr>
          <w:p w:rsidR="002A5494" w:rsidRPr="008E7A8A" w:rsidRDefault="002A5494" w:rsidP="00862E03">
            <w:pPr>
              <w:keepNext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33D9B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Priorita</w:t>
            </w:r>
          </w:p>
        </w:tc>
        <w:tc>
          <w:tcPr>
            <w:tcW w:w="3117" w:type="pct"/>
            <w:shd w:val="clear" w:color="auto" w:fill="E2EFDA"/>
            <w:tcMar>
              <w:left w:w="108" w:type="dxa"/>
            </w:tcMar>
            <w:vAlign w:val="center"/>
          </w:tcPr>
          <w:p w:rsidR="002A5494" w:rsidRPr="008E7A8A" w:rsidRDefault="002A5494" w:rsidP="00862E03">
            <w:pPr>
              <w:keepNext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33D9B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Definice priority požadavku</w:t>
            </w:r>
          </w:p>
        </w:tc>
        <w:tc>
          <w:tcPr>
            <w:tcW w:w="1145" w:type="pct"/>
            <w:shd w:val="clear" w:color="auto" w:fill="E2EFDA"/>
            <w:vAlign w:val="center"/>
          </w:tcPr>
          <w:p w:rsidR="002A5494" w:rsidRPr="008E7A8A" w:rsidRDefault="002A5494" w:rsidP="00862E03">
            <w:pPr>
              <w:keepNext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33D9B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Parametry řešení požadavku</w:t>
            </w:r>
          </w:p>
        </w:tc>
      </w:tr>
      <w:tr w:rsidR="002A5494" w:rsidTr="00862E03">
        <w:trPr>
          <w:trHeight w:val="920"/>
        </w:trPr>
        <w:tc>
          <w:tcPr>
            <w:tcW w:w="738" w:type="pct"/>
            <w:tcMar>
              <w:left w:w="108" w:type="dxa"/>
            </w:tcMar>
            <w:vAlign w:val="center"/>
          </w:tcPr>
          <w:p w:rsidR="002A5494" w:rsidRDefault="002A5494" w:rsidP="00862E03">
            <w:pPr>
              <w:keepNext/>
              <w:jc w:val="center"/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</w:pPr>
            <w:r w:rsidRPr="00933D9B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>Priorita 1</w:t>
            </w:r>
          </w:p>
          <w:p w:rsidR="002A5494" w:rsidRPr="00933D9B" w:rsidRDefault="002A5494" w:rsidP="00862E03">
            <w:pPr>
              <w:keepNext/>
              <w:jc w:val="center"/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</w:pPr>
            <w:r w:rsidRPr="00933D9B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 xml:space="preserve">Kritická </w:t>
            </w:r>
          </w:p>
        </w:tc>
        <w:tc>
          <w:tcPr>
            <w:tcW w:w="3117" w:type="pct"/>
            <w:tcMar>
              <w:left w:w="108" w:type="dxa"/>
            </w:tcMar>
            <w:vAlign w:val="center"/>
          </w:tcPr>
          <w:p w:rsidR="002A5494" w:rsidRPr="00933D9B" w:rsidRDefault="002A5494" w:rsidP="00862E03">
            <w:pPr>
              <w:keepNext/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</w:pPr>
            <w:r w:rsidRPr="00933D9B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>Některé nebo všechny části plnění selhaly a jsou zcela nefunkční nebo je jejich funkčnost omezena, zároveň je kritickým způsobem ovlivněna činnost Systému.</w:t>
            </w:r>
          </w:p>
        </w:tc>
        <w:tc>
          <w:tcPr>
            <w:tcW w:w="1145" w:type="pct"/>
            <w:vAlign w:val="center"/>
          </w:tcPr>
          <w:p w:rsidR="002A5494" w:rsidRPr="00933D9B" w:rsidRDefault="002A5494" w:rsidP="00862E03">
            <w:pPr>
              <w:keepNext/>
              <w:jc w:val="center"/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</w:pPr>
            <w:r w:rsidRPr="00933D9B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 xml:space="preserve">Odezva: </w:t>
            </w:r>
            <w:r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Pr="00933D9B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 xml:space="preserve"> hodin</w:t>
            </w:r>
            <w:r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>y</w:t>
            </w:r>
          </w:p>
          <w:p w:rsidR="002A5494" w:rsidRPr="00933D9B" w:rsidRDefault="002A5494" w:rsidP="00862E03">
            <w:pPr>
              <w:keepNext/>
              <w:jc w:val="center"/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</w:pPr>
            <w:r w:rsidRPr="00933D9B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 xml:space="preserve">Obnovení služby: </w:t>
            </w:r>
            <w:r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>16</w:t>
            </w:r>
            <w:r w:rsidRPr="00933D9B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 xml:space="preserve"> hodin</w:t>
            </w:r>
          </w:p>
        </w:tc>
      </w:tr>
      <w:tr w:rsidR="002A5494" w:rsidTr="00862E03">
        <w:trPr>
          <w:trHeight w:val="920"/>
        </w:trPr>
        <w:tc>
          <w:tcPr>
            <w:tcW w:w="738" w:type="pct"/>
            <w:tcMar>
              <w:left w:w="108" w:type="dxa"/>
            </w:tcMar>
            <w:vAlign w:val="center"/>
          </w:tcPr>
          <w:p w:rsidR="002A5494" w:rsidRPr="00933D9B" w:rsidRDefault="002A5494" w:rsidP="00862E03">
            <w:pPr>
              <w:keepNext/>
              <w:jc w:val="center"/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</w:pPr>
            <w:r w:rsidRPr="00933D9B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>Priorita 2</w:t>
            </w:r>
          </w:p>
          <w:p w:rsidR="002A5494" w:rsidRPr="00933D9B" w:rsidRDefault="002A5494" w:rsidP="00862E03">
            <w:pPr>
              <w:keepNext/>
              <w:jc w:val="center"/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</w:pPr>
            <w:r w:rsidRPr="00933D9B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>Vysoká</w:t>
            </w:r>
          </w:p>
        </w:tc>
        <w:tc>
          <w:tcPr>
            <w:tcW w:w="3117" w:type="pct"/>
            <w:tcMar>
              <w:left w:w="108" w:type="dxa"/>
            </w:tcMar>
            <w:vAlign w:val="center"/>
          </w:tcPr>
          <w:p w:rsidR="002A5494" w:rsidRPr="00933D9B" w:rsidRDefault="002A5494" w:rsidP="00862E03">
            <w:pPr>
              <w:keepNext/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</w:pPr>
            <w:r w:rsidRPr="00933D9B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>Plnění je funkční pouze částečně, zároveň je Systém ovlivněn selháním nebo omezením některé z komponent nebo funkcí podporujících důležité činnosti Systému.</w:t>
            </w:r>
          </w:p>
        </w:tc>
        <w:tc>
          <w:tcPr>
            <w:tcW w:w="1145" w:type="pct"/>
            <w:vAlign w:val="center"/>
          </w:tcPr>
          <w:p w:rsidR="002A5494" w:rsidRPr="00933D9B" w:rsidRDefault="002A5494" w:rsidP="00862E03">
            <w:pPr>
              <w:keepNext/>
              <w:jc w:val="center"/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</w:pPr>
            <w:r w:rsidRPr="00933D9B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 xml:space="preserve">Odezva: </w:t>
            </w:r>
            <w:r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>8</w:t>
            </w:r>
            <w:r w:rsidRPr="00933D9B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 xml:space="preserve"> hodiny</w:t>
            </w:r>
          </w:p>
          <w:p w:rsidR="002A5494" w:rsidRPr="00933D9B" w:rsidRDefault="002A5494" w:rsidP="00862E03">
            <w:pPr>
              <w:keepNext/>
              <w:jc w:val="center"/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</w:pPr>
            <w:r w:rsidRPr="00933D9B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 xml:space="preserve">Obnovení služby: </w:t>
            </w:r>
            <w:r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>6</w:t>
            </w:r>
            <w:r w:rsidRPr="00933D9B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 xml:space="preserve"> pracovní dny</w:t>
            </w:r>
          </w:p>
        </w:tc>
      </w:tr>
      <w:tr w:rsidR="002A5494" w:rsidTr="00862E03">
        <w:trPr>
          <w:trHeight w:val="920"/>
        </w:trPr>
        <w:tc>
          <w:tcPr>
            <w:tcW w:w="738" w:type="pct"/>
            <w:tcMar>
              <w:left w:w="108" w:type="dxa"/>
            </w:tcMar>
            <w:vAlign w:val="center"/>
          </w:tcPr>
          <w:p w:rsidR="002A5494" w:rsidRPr="00933D9B" w:rsidRDefault="002A5494" w:rsidP="00862E03">
            <w:pPr>
              <w:jc w:val="center"/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</w:pPr>
            <w:r w:rsidRPr="00933D9B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>Priorita 3</w:t>
            </w:r>
          </w:p>
          <w:p w:rsidR="002A5494" w:rsidRPr="00933D9B" w:rsidRDefault="002A5494" w:rsidP="00862E03">
            <w:pPr>
              <w:jc w:val="center"/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</w:pPr>
            <w:r w:rsidRPr="00933D9B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>Střední</w:t>
            </w:r>
          </w:p>
        </w:tc>
        <w:tc>
          <w:tcPr>
            <w:tcW w:w="3117" w:type="pct"/>
            <w:tcMar>
              <w:left w:w="108" w:type="dxa"/>
            </w:tcMar>
            <w:vAlign w:val="center"/>
          </w:tcPr>
          <w:p w:rsidR="002A5494" w:rsidRPr="00933D9B" w:rsidRDefault="002A5494" w:rsidP="00862E03">
            <w:pPr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</w:pPr>
            <w:r w:rsidRPr="00933D9B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>Vyskytují se nedostatky nepodstatné povahy, které způsobují například nekomfortnost obsluhy nebo zvyšující pracnost činností než v běžném provozu plnění.</w:t>
            </w:r>
          </w:p>
        </w:tc>
        <w:tc>
          <w:tcPr>
            <w:tcW w:w="1145" w:type="pct"/>
            <w:vAlign w:val="center"/>
          </w:tcPr>
          <w:p w:rsidR="002A5494" w:rsidRPr="00933D9B" w:rsidRDefault="002A5494" w:rsidP="00862E03">
            <w:pPr>
              <w:jc w:val="center"/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</w:pPr>
            <w:r w:rsidRPr="00933D9B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 xml:space="preserve">Odezva: </w:t>
            </w:r>
            <w:r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 xml:space="preserve">2 </w:t>
            </w:r>
            <w:r w:rsidRPr="00933D9B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>pracovní d</w:t>
            </w:r>
            <w:r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>ny</w:t>
            </w:r>
          </w:p>
          <w:p w:rsidR="002A5494" w:rsidRPr="00933D9B" w:rsidRDefault="002A5494" w:rsidP="00862E03">
            <w:pPr>
              <w:jc w:val="center"/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</w:pPr>
            <w:r w:rsidRPr="00933D9B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 xml:space="preserve">Obnovení služby: </w:t>
            </w:r>
            <w:r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>30</w:t>
            </w:r>
            <w:r w:rsidRPr="00933D9B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 xml:space="preserve"> pracovních dnů</w:t>
            </w:r>
          </w:p>
        </w:tc>
      </w:tr>
    </w:tbl>
    <w:p w:rsidR="002A5494" w:rsidRDefault="002A5494" w:rsidP="002A5494">
      <w:pPr>
        <w:ind w:left="426"/>
        <w:rPr>
          <w:rFonts w:asciiTheme="minorHAnsi" w:hAnsiTheme="minorHAnsi"/>
        </w:rPr>
      </w:pPr>
    </w:p>
    <w:p w:rsidR="002A5494" w:rsidRDefault="002A5494" w:rsidP="00BD2D0C">
      <w:pPr>
        <w:ind w:left="426"/>
        <w:rPr>
          <w:rFonts w:asciiTheme="minorHAnsi" w:hAnsiTheme="minorHAnsi"/>
        </w:rPr>
      </w:pPr>
    </w:p>
    <w:p w:rsidR="008F453C" w:rsidRPr="004A38C5" w:rsidRDefault="008F453C" w:rsidP="00862E03">
      <w:pPr>
        <w:rPr>
          <w:b/>
          <w:u w:val="single"/>
        </w:rPr>
      </w:pPr>
      <w:r w:rsidRPr="004A38C5">
        <w:rPr>
          <w:b/>
          <w:u w:val="single"/>
        </w:rPr>
        <w:t>Zvýšená provozní podpora:</w:t>
      </w:r>
    </w:p>
    <w:p w:rsidR="00BD2D0C" w:rsidRPr="004A38C5" w:rsidRDefault="008F453C" w:rsidP="00862E03">
      <w:pPr>
        <w:rPr>
          <w:b/>
        </w:rPr>
      </w:pPr>
      <w:r w:rsidRPr="004A38C5">
        <w:rPr>
          <w:b/>
        </w:rPr>
        <w:t xml:space="preserve">7x18 </w:t>
      </w:r>
      <w:r w:rsidR="002A5494" w:rsidRPr="004A38C5">
        <w:rPr>
          <w:b/>
        </w:rPr>
        <w:t xml:space="preserve"> od </w:t>
      </w:r>
      <w:r w:rsidRPr="004A38C5">
        <w:rPr>
          <w:b/>
        </w:rPr>
        <w:t>6:00</w:t>
      </w:r>
      <w:r w:rsidR="002A5494" w:rsidRPr="004A38C5">
        <w:rPr>
          <w:b/>
        </w:rPr>
        <w:t xml:space="preserve"> do </w:t>
      </w:r>
      <w:r w:rsidRPr="004A38C5">
        <w:rPr>
          <w:b/>
        </w:rPr>
        <w:t>24:00</w:t>
      </w:r>
      <w:r w:rsidR="002A5494" w:rsidRPr="004A38C5">
        <w:rPr>
          <w:b/>
        </w:rPr>
        <w:t xml:space="preserve"> hodin</w:t>
      </w:r>
      <w:r w:rsidRPr="004A38C5">
        <w:rPr>
          <w:b/>
        </w:rPr>
        <w:t>.</w:t>
      </w:r>
    </w:p>
    <w:p w:rsidR="00862E03" w:rsidRPr="00452FE8" w:rsidRDefault="00862E03" w:rsidP="00862E03"/>
    <w:tbl>
      <w:tblPr>
        <w:tblW w:w="4767" w:type="pct"/>
        <w:tblInd w:w="423" w:type="dxa"/>
        <w:tblBorders>
          <w:top w:val="single" w:sz="2" w:space="0" w:color="B2BC00"/>
          <w:left w:val="single" w:sz="2" w:space="0" w:color="B2BC00"/>
          <w:bottom w:val="single" w:sz="2" w:space="0" w:color="B2BC00"/>
          <w:right w:val="single" w:sz="2" w:space="0" w:color="B2BC00"/>
          <w:insideH w:val="single" w:sz="2" w:space="0" w:color="B2BC00"/>
          <w:insideV w:val="single" w:sz="2" w:space="0" w:color="B2BC00"/>
        </w:tblBorders>
        <w:tblLook w:val="00A0" w:firstRow="1" w:lastRow="0" w:firstColumn="1" w:lastColumn="0" w:noHBand="0" w:noVBand="0"/>
      </w:tblPr>
      <w:tblGrid>
        <w:gridCol w:w="1276"/>
        <w:gridCol w:w="5389"/>
        <w:gridCol w:w="1979"/>
      </w:tblGrid>
      <w:tr w:rsidR="002A5494" w:rsidTr="00862E03">
        <w:trPr>
          <w:trHeight w:val="564"/>
        </w:trPr>
        <w:tc>
          <w:tcPr>
            <w:tcW w:w="738" w:type="pct"/>
            <w:shd w:val="clear" w:color="auto" w:fill="E2EFDA"/>
            <w:tcMar>
              <w:left w:w="108" w:type="dxa"/>
            </w:tcMar>
            <w:vAlign w:val="center"/>
          </w:tcPr>
          <w:p w:rsidR="002A5494" w:rsidRPr="008E7A8A" w:rsidRDefault="002A5494" w:rsidP="00862E03">
            <w:pPr>
              <w:keepNext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33D9B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Priorita</w:t>
            </w:r>
          </w:p>
        </w:tc>
        <w:tc>
          <w:tcPr>
            <w:tcW w:w="3117" w:type="pct"/>
            <w:shd w:val="clear" w:color="auto" w:fill="E2EFDA"/>
            <w:tcMar>
              <w:left w:w="108" w:type="dxa"/>
            </w:tcMar>
            <w:vAlign w:val="center"/>
          </w:tcPr>
          <w:p w:rsidR="002A5494" w:rsidRPr="008E7A8A" w:rsidRDefault="002A5494" w:rsidP="00862E03">
            <w:pPr>
              <w:keepNext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33D9B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Definice priority požadavku</w:t>
            </w:r>
          </w:p>
        </w:tc>
        <w:tc>
          <w:tcPr>
            <w:tcW w:w="1145" w:type="pct"/>
            <w:shd w:val="clear" w:color="auto" w:fill="E2EFDA"/>
            <w:vAlign w:val="center"/>
          </w:tcPr>
          <w:p w:rsidR="002A5494" w:rsidRPr="008E7A8A" w:rsidRDefault="002A5494" w:rsidP="00862E03">
            <w:pPr>
              <w:keepNext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33D9B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Parametry řešení požadavku</w:t>
            </w:r>
          </w:p>
        </w:tc>
      </w:tr>
      <w:tr w:rsidR="002A5494" w:rsidTr="00862E03">
        <w:trPr>
          <w:trHeight w:val="920"/>
        </w:trPr>
        <w:tc>
          <w:tcPr>
            <w:tcW w:w="738" w:type="pct"/>
            <w:tcMar>
              <w:left w:w="108" w:type="dxa"/>
            </w:tcMar>
            <w:vAlign w:val="center"/>
          </w:tcPr>
          <w:p w:rsidR="002A5494" w:rsidRDefault="002A5494" w:rsidP="00862E03">
            <w:pPr>
              <w:keepNext/>
              <w:jc w:val="center"/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</w:pPr>
            <w:r w:rsidRPr="00933D9B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>Priorita 1</w:t>
            </w:r>
          </w:p>
          <w:p w:rsidR="002A5494" w:rsidRPr="00933D9B" w:rsidRDefault="002A5494" w:rsidP="00862E03">
            <w:pPr>
              <w:keepNext/>
              <w:jc w:val="center"/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</w:pPr>
            <w:r w:rsidRPr="00933D9B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 xml:space="preserve">Kritická </w:t>
            </w:r>
          </w:p>
        </w:tc>
        <w:tc>
          <w:tcPr>
            <w:tcW w:w="3117" w:type="pct"/>
            <w:tcMar>
              <w:left w:w="108" w:type="dxa"/>
            </w:tcMar>
            <w:vAlign w:val="center"/>
          </w:tcPr>
          <w:p w:rsidR="002A5494" w:rsidRPr="00933D9B" w:rsidRDefault="002A5494" w:rsidP="00862E03">
            <w:pPr>
              <w:keepNext/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</w:pPr>
            <w:r w:rsidRPr="00933D9B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>Některé nebo všechny části plnění selhaly a jsou zcela nefunkční nebo je jejich funkčnost omezena, zároveň je kritickým způsobem ovlivněna činnost Systému.</w:t>
            </w:r>
          </w:p>
        </w:tc>
        <w:tc>
          <w:tcPr>
            <w:tcW w:w="1145" w:type="pct"/>
            <w:vAlign w:val="center"/>
          </w:tcPr>
          <w:p w:rsidR="002A5494" w:rsidRPr="00933D9B" w:rsidRDefault="002A5494" w:rsidP="00862E03">
            <w:pPr>
              <w:keepNext/>
              <w:jc w:val="center"/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</w:pPr>
            <w:r w:rsidRPr="00933D9B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>Odezva: 1 hodina</w:t>
            </w:r>
          </w:p>
          <w:p w:rsidR="002A5494" w:rsidRPr="00933D9B" w:rsidRDefault="002A5494" w:rsidP="00862E03">
            <w:pPr>
              <w:keepNext/>
              <w:jc w:val="center"/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</w:pPr>
            <w:r w:rsidRPr="00933D9B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>Obnovení služby: 8 hodin</w:t>
            </w:r>
          </w:p>
        </w:tc>
      </w:tr>
      <w:tr w:rsidR="002A5494" w:rsidTr="00862E03">
        <w:trPr>
          <w:trHeight w:val="920"/>
        </w:trPr>
        <w:tc>
          <w:tcPr>
            <w:tcW w:w="738" w:type="pct"/>
            <w:tcMar>
              <w:left w:w="108" w:type="dxa"/>
            </w:tcMar>
            <w:vAlign w:val="center"/>
          </w:tcPr>
          <w:p w:rsidR="002A5494" w:rsidRPr="00933D9B" w:rsidRDefault="002A5494" w:rsidP="00862E03">
            <w:pPr>
              <w:keepNext/>
              <w:jc w:val="center"/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</w:pPr>
            <w:r w:rsidRPr="00933D9B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>Priorita 2</w:t>
            </w:r>
          </w:p>
          <w:p w:rsidR="002A5494" w:rsidRPr="00933D9B" w:rsidRDefault="002A5494" w:rsidP="00862E03">
            <w:pPr>
              <w:keepNext/>
              <w:jc w:val="center"/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</w:pPr>
            <w:r w:rsidRPr="00933D9B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>Vysoká</w:t>
            </w:r>
          </w:p>
        </w:tc>
        <w:tc>
          <w:tcPr>
            <w:tcW w:w="3117" w:type="pct"/>
            <w:tcMar>
              <w:left w:w="108" w:type="dxa"/>
            </w:tcMar>
            <w:vAlign w:val="center"/>
          </w:tcPr>
          <w:p w:rsidR="002A5494" w:rsidRPr="00933D9B" w:rsidRDefault="002A5494" w:rsidP="00862E03">
            <w:pPr>
              <w:keepNext/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</w:pPr>
            <w:r w:rsidRPr="00933D9B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>Plnění je funkční pouze částečně, zároveň je Systém ovlivněn selháním nebo omezením některé z komponent nebo funkcí podporujících důležité činnosti Systému.</w:t>
            </w:r>
          </w:p>
        </w:tc>
        <w:tc>
          <w:tcPr>
            <w:tcW w:w="1145" w:type="pct"/>
            <w:vAlign w:val="center"/>
          </w:tcPr>
          <w:p w:rsidR="002A5494" w:rsidRPr="00933D9B" w:rsidRDefault="002A5494" w:rsidP="00862E03">
            <w:pPr>
              <w:keepNext/>
              <w:jc w:val="center"/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</w:pPr>
            <w:r w:rsidRPr="00933D9B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>Odezva: 4 hodiny</w:t>
            </w:r>
          </w:p>
          <w:p w:rsidR="002A5494" w:rsidRPr="00933D9B" w:rsidRDefault="002A5494" w:rsidP="00862E03">
            <w:pPr>
              <w:keepNext/>
              <w:jc w:val="center"/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</w:pPr>
            <w:r w:rsidRPr="00933D9B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>Obnovení služby: 3 pracovní dny</w:t>
            </w:r>
          </w:p>
        </w:tc>
      </w:tr>
      <w:tr w:rsidR="002A5494" w:rsidTr="00862E03">
        <w:trPr>
          <w:trHeight w:val="920"/>
        </w:trPr>
        <w:tc>
          <w:tcPr>
            <w:tcW w:w="738" w:type="pct"/>
            <w:tcMar>
              <w:left w:w="108" w:type="dxa"/>
            </w:tcMar>
            <w:vAlign w:val="center"/>
          </w:tcPr>
          <w:p w:rsidR="002A5494" w:rsidRPr="00933D9B" w:rsidRDefault="002A5494" w:rsidP="00862E03">
            <w:pPr>
              <w:jc w:val="center"/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</w:pPr>
            <w:r w:rsidRPr="00933D9B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>Priorita 3</w:t>
            </w:r>
          </w:p>
          <w:p w:rsidR="002A5494" w:rsidRPr="00933D9B" w:rsidRDefault="002A5494" w:rsidP="00862E03">
            <w:pPr>
              <w:jc w:val="center"/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</w:pPr>
            <w:r w:rsidRPr="00933D9B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>Střední</w:t>
            </w:r>
          </w:p>
        </w:tc>
        <w:tc>
          <w:tcPr>
            <w:tcW w:w="3117" w:type="pct"/>
            <w:tcMar>
              <w:left w:w="108" w:type="dxa"/>
            </w:tcMar>
            <w:vAlign w:val="center"/>
          </w:tcPr>
          <w:p w:rsidR="002A5494" w:rsidRPr="00933D9B" w:rsidRDefault="002A5494" w:rsidP="00862E03">
            <w:pPr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</w:pPr>
            <w:r w:rsidRPr="00933D9B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>Vyskytují se nedostatky nepodstatné povahy, které způsobují například nekomfortnost obsluhy nebo zvyšující pracnost činností než v běžném provozu plnění.</w:t>
            </w:r>
          </w:p>
        </w:tc>
        <w:tc>
          <w:tcPr>
            <w:tcW w:w="1145" w:type="pct"/>
            <w:vAlign w:val="center"/>
          </w:tcPr>
          <w:p w:rsidR="002A5494" w:rsidRPr="00933D9B" w:rsidRDefault="002A5494" w:rsidP="00862E03">
            <w:pPr>
              <w:jc w:val="center"/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</w:pPr>
            <w:r w:rsidRPr="00933D9B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>Odezva: 1 pracovní den</w:t>
            </w:r>
          </w:p>
          <w:p w:rsidR="002A5494" w:rsidRPr="00933D9B" w:rsidRDefault="002A5494" w:rsidP="00862E03">
            <w:pPr>
              <w:jc w:val="center"/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</w:pPr>
            <w:r w:rsidRPr="00933D9B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>Obnovení služby: 15 pracovních dnů</w:t>
            </w:r>
          </w:p>
        </w:tc>
      </w:tr>
    </w:tbl>
    <w:p w:rsidR="00BD2D0C" w:rsidRDefault="00BD2D0C" w:rsidP="00BD2D0C">
      <w:pPr>
        <w:ind w:left="426"/>
        <w:rPr>
          <w:rFonts w:asciiTheme="minorHAnsi" w:hAnsiTheme="minorHAnsi"/>
        </w:rPr>
      </w:pPr>
    </w:p>
    <w:p w:rsidR="002A5494" w:rsidRPr="00452FE8" w:rsidRDefault="002A5494" w:rsidP="00BD2D0C">
      <w:pPr>
        <w:ind w:left="426"/>
        <w:rPr>
          <w:rFonts w:asciiTheme="minorHAnsi" w:hAnsiTheme="minorHAnsi"/>
        </w:rPr>
      </w:pPr>
    </w:p>
    <w:p w:rsidR="00BD2D0C" w:rsidRPr="002A5494" w:rsidRDefault="002A5494" w:rsidP="002A5494">
      <w:pPr>
        <w:rPr>
          <w:rFonts w:asciiTheme="minorHAnsi" w:hAnsiTheme="minorHAnsi"/>
          <w:u w:val="single"/>
        </w:rPr>
      </w:pPr>
      <w:r w:rsidRPr="002A5494">
        <w:rPr>
          <w:rFonts w:asciiTheme="minorHAnsi" w:hAnsiTheme="minorHAnsi"/>
          <w:u w:val="single"/>
        </w:rPr>
        <w:t>Dostupnost systému:</w:t>
      </w:r>
    </w:p>
    <w:p w:rsidR="002A5494" w:rsidRDefault="002A5494" w:rsidP="002A5494">
      <w:pPr>
        <w:rPr>
          <w:rFonts w:asciiTheme="minorHAnsi" w:hAnsiTheme="minorHAnsi"/>
        </w:rPr>
      </w:pPr>
      <w:r>
        <w:rPr>
          <w:rFonts w:asciiTheme="minorHAnsi" w:hAnsiTheme="minorHAnsi"/>
        </w:rPr>
        <w:t>7x24, 99,5 %</w:t>
      </w:r>
    </w:p>
    <w:p w:rsidR="002A5494" w:rsidRPr="002A5494" w:rsidRDefault="002A5494" w:rsidP="002A5494">
      <w:pPr>
        <w:rPr>
          <w:rFonts w:asciiTheme="minorHAnsi" w:hAnsiTheme="minorHAnsi"/>
        </w:rPr>
      </w:pPr>
    </w:p>
    <w:p w:rsidR="002A5494" w:rsidRDefault="002A5494" w:rsidP="002A5494">
      <w:pPr>
        <w:rPr>
          <w:rFonts w:asciiTheme="minorHAnsi" w:hAnsiTheme="minorHAnsi"/>
          <w:u w:val="single"/>
        </w:rPr>
      </w:pPr>
      <w:r w:rsidRPr="002A5494">
        <w:rPr>
          <w:rFonts w:asciiTheme="minorHAnsi" w:hAnsiTheme="minorHAnsi"/>
          <w:u w:val="single"/>
        </w:rPr>
        <w:t>Odezva uživatelského rozhraní:</w:t>
      </w:r>
    </w:p>
    <w:p w:rsidR="002A5494" w:rsidRPr="002A5494" w:rsidRDefault="002A5494" w:rsidP="002A5494">
      <w:pPr>
        <w:rPr>
          <w:rFonts w:asciiTheme="minorHAnsi" w:hAnsiTheme="minorHAnsi"/>
        </w:rPr>
      </w:pPr>
      <w:r>
        <w:rPr>
          <w:rFonts w:asciiTheme="minorHAnsi" w:hAnsiTheme="minorHAnsi"/>
        </w:rPr>
        <w:t>Za odezvu uživatelského rozhraní se považuje doba odezvy formulářového serveru s vyloučením času stráveného obsluhou volání na ESB. Odezva zahrnuje:</w:t>
      </w:r>
    </w:p>
    <w:p w:rsidR="002A5494" w:rsidRDefault="002A5494" w:rsidP="00862E03">
      <w:pPr>
        <w:pStyle w:val="Odstavecseseznamem"/>
        <w:numPr>
          <w:ilvl w:val="0"/>
          <w:numId w:val="18"/>
        </w:numPr>
      </w:pPr>
      <w:r>
        <w:t>n</w:t>
      </w:r>
      <w:r w:rsidRPr="002A5494">
        <w:t xml:space="preserve">ačtení </w:t>
      </w:r>
      <w:r>
        <w:t>celých formulářů/stránek – do 5-ti sekund,</w:t>
      </w:r>
    </w:p>
    <w:p w:rsidR="00BD2D0C" w:rsidRPr="00BD2D0C" w:rsidRDefault="002A5494" w:rsidP="00BD2D0C">
      <w:pPr>
        <w:pStyle w:val="Odstavecseseznamem"/>
        <w:numPr>
          <w:ilvl w:val="0"/>
          <w:numId w:val="18"/>
        </w:numPr>
      </w:pPr>
      <w:r>
        <w:t>aktualizace formulářů v průběhu doplňování (AJAX) – do 2 sekund.</w:t>
      </w:r>
    </w:p>
    <w:p w:rsidR="00BD2D0C" w:rsidRDefault="00BD2D0C" w:rsidP="00BD2D0C">
      <w:pPr>
        <w:pStyle w:val="Nadpis2"/>
      </w:pPr>
      <w:r>
        <w:t>Služby rozvoje</w:t>
      </w:r>
    </w:p>
    <w:p w:rsidR="00862E03" w:rsidRDefault="00862E03" w:rsidP="00862E03">
      <w:r>
        <w:t xml:space="preserve">Součástí smlouvy na provoz a podporu formulářového řešení bude objem práce pro běžný rozvoj formulářového </w:t>
      </w:r>
      <w:r w:rsidR="006D720F">
        <w:t>serveru</w:t>
      </w:r>
      <w:r>
        <w:t>. Aktivity budou poptávány dle potřeb M</w:t>
      </w:r>
      <w:r w:rsidR="00AA5B6A">
        <w:t>Z</w:t>
      </w:r>
      <w:r>
        <w:t>e a fakturovány provozovatelem formulářového řešení na měsíční bázi.</w:t>
      </w:r>
    </w:p>
    <w:p w:rsidR="00862E03" w:rsidRDefault="00862E03" w:rsidP="00862E03">
      <w:r>
        <w:t>Služby rozvoje zahrnují zejména:</w:t>
      </w:r>
    </w:p>
    <w:p w:rsidR="00862E03" w:rsidRDefault="00862E03" w:rsidP="00862E03">
      <w:pPr>
        <w:pStyle w:val="Odstavecseseznamem"/>
        <w:numPr>
          <w:ilvl w:val="0"/>
          <w:numId w:val="19"/>
        </w:numPr>
      </w:pPr>
      <w:r>
        <w:t>analýza business požadavků a návrh nových anebo změna existujících formulářů,</w:t>
      </w:r>
    </w:p>
    <w:p w:rsidR="00862E03" w:rsidRDefault="00862E03" w:rsidP="00862E03">
      <w:pPr>
        <w:pStyle w:val="Odstavecseseznamem"/>
        <w:numPr>
          <w:ilvl w:val="0"/>
          <w:numId w:val="19"/>
        </w:numPr>
      </w:pPr>
      <w:r>
        <w:t>implementace nových anebo změny existujících formulářů,</w:t>
      </w:r>
    </w:p>
    <w:p w:rsidR="00862E03" w:rsidRDefault="00862E03" w:rsidP="00862E03">
      <w:pPr>
        <w:pStyle w:val="Odstavecseseznamem"/>
        <w:numPr>
          <w:ilvl w:val="0"/>
          <w:numId w:val="19"/>
        </w:numPr>
      </w:pPr>
      <w:r>
        <w:lastRenderedPageBreak/>
        <w:t xml:space="preserve">analýza a specifikace požadavků na integrační ESB služby a spolupráce při jejich návrhu, vývoji, a testování, </w:t>
      </w:r>
    </w:p>
    <w:p w:rsidR="00862E03" w:rsidRDefault="00862E03" w:rsidP="00862E03">
      <w:pPr>
        <w:pStyle w:val="Odstavecseseznamem"/>
        <w:numPr>
          <w:ilvl w:val="0"/>
          <w:numId w:val="19"/>
        </w:numPr>
      </w:pPr>
      <w:r>
        <w:t>implementace pokročilých funkcionalit (výpočty, kontroly atd.) u formulářů navržených editory M</w:t>
      </w:r>
      <w:r w:rsidR="00AA5B6A">
        <w:t>Z</w:t>
      </w:r>
      <w:r>
        <w:t>e,</w:t>
      </w:r>
    </w:p>
    <w:p w:rsidR="00862E03" w:rsidRDefault="00862E03" w:rsidP="00862E03">
      <w:pPr>
        <w:pStyle w:val="Odstavecseseznamem"/>
        <w:numPr>
          <w:ilvl w:val="0"/>
          <w:numId w:val="19"/>
        </w:numPr>
      </w:pPr>
      <w:r>
        <w:t>dokumentace celého řešení, implementovaných formulářů a jejich funkcionality,</w:t>
      </w:r>
    </w:p>
    <w:p w:rsidR="008F453C" w:rsidRDefault="00862E03" w:rsidP="00C82DB3">
      <w:pPr>
        <w:pStyle w:val="Odstavecseseznamem"/>
        <w:numPr>
          <w:ilvl w:val="0"/>
          <w:numId w:val="19"/>
        </w:numPr>
      </w:pPr>
      <w:r>
        <w:t>testování nových anebo změněných formulářů a součinnost při bezpečno</w:t>
      </w:r>
      <w:r w:rsidR="0051522B">
        <w:t>stním a uživatelském testování,</w:t>
      </w:r>
    </w:p>
    <w:p w:rsidR="004A38C5" w:rsidRPr="004A38C5" w:rsidRDefault="004A38C5" w:rsidP="00C82DB3">
      <w:pPr>
        <w:pStyle w:val="Odstavecseseznamem"/>
        <w:numPr>
          <w:ilvl w:val="0"/>
          <w:numId w:val="19"/>
        </w:numPr>
      </w:pPr>
      <w:r w:rsidRPr="004A38C5">
        <w:t>konzultační činnost, která směřuje k dosažení implementace</w:t>
      </w:r>
      <w:r w:rsidR="00E62F0C">
        <w:t>.</w:t>
      </w:r>
    </w:p>
    <w:p w:rsidR="00BD2D0C" w:rsidRDefault="00BD2D0C" w:rsidP="00BD2D0C">
      <w:pPr>
        <w:pStyle w:val="Nadpis2"/>
      </w:pPr>
      <w:r>
        <w:t>Konzultační služby</w:t>
      </w:r>
    </w:p>
    <w:p w:rsidR="00862E03" w:rsidRDefault="00862E03" w:rsidP="00862E03">
      <w:r>
        <w:t xml:space="preserve">Součástí smlouvy na provoz a podporu formulářového serveru bude i objem prací </w:t>
      </w:r>
      <w:r w:rsidR="00635320">
        <w:t>dedikovaný</w:t>
      </w:r>
      <w:r>
        <w:t xml:space="preserve"> pro účely konzultací a školení. Tyto práce bud</w:t>
      </w:r>
      <w:r w:rsidR="00635320">
        <w:t>ou</w:t>
      </w:r>
      <w:r>
        <w:t xml:space="preserve"> čerpány dle potřeb M</w:t>
      </w:r>
      <w:r w:rsidR="00AA5B6A">
        <w:t>Z</w:t>
      </w:r>
      <w:r>
        <w:t xml:space="preserve">e a fakturovány </w:t>
      </w:r>
      <w:r w:rsidR="00635320">
        <w:t>dodavatelem</w:t>
      </w:r>
      <w:r w:rsidR="00B46018">
        <w:t xml:space="preserve"> na měsíční bázi.</w:t>
      </w:r>
      <w:r w:rsidR="00635320">
        <w:t xml:space="preserve"> Konzultační služby zahrnují:</w:t>
      </w:r>
    </w:p>
    <w:p w:rsidR="00635320" w:rsidRDefault="00635320" w:rsidP="00635320">
      <w:pPr>
        <w:pStyle w:val="Odstavecseseznamem"/>
        <w:numPr>
          <w:ilvl w:val="0"/>
          <w:numId w:val="20"/>
        </w:numPr>
      </w:pPr>
      <w:r>
        <w:t>ad-hoc konzultace pro editory formulářů či uživatele,</w:t>
      </w:r>
    </w:p>
    <w:p w:rsidR="00635320" w:rsidRDefault="00635320" w:rsidP="00635320">
      <w:pPr>
        <w:pStyle w:val="Odstavecseseznamem"/>
        <w:numPr>
          <w:ilvl w:val="0"/>
          <w:numId w:val="20"/>
        </w:numPr>
      </w:pPr>
      <w:r>
        <w:t>školení editorů formulářů na práci s FormDesigner a případně dalšími nástroji nezbytnými pro vývoj formulářů,</w:t>
      </w:r>
    </w:p>
    <w:p w:rsidR="00635320" w:rsidRDefault="00635320" w:rsidP="00635320">
      <w:pPr>
        <w:pStyle w:val="Odstavecseseznamem"/>
        <w:numPr>
          <w:ilvl w:val="0"/>
          <w:numId w:val="20"/>
        </w:numPr>
      </w:pPr>
      <w:r>
        <w:t>školení uživatelů formulářů.</w:t>
      </w:r>
    </w:p>
    <w:p w:rsidR="00635320" w:rsidRPr="00862E03" w:rsidRDefault="00635320" w:rsidP="00635320">
      <w:r>
        <w:t>Všechna školení jsou uvažována on-site v prostorách M</w:t>
      </w:r>
      <w:r w:rsidR="00AA5B6A">
        <w:t>Z</w:t>
      </w:r>
      <w:r>
        <w:t xml:space="preserve">e na adrese Praha Těšnov. </w:t>
      </w:r>
    </w:p>
    <w:p w:rsidR="00782D1C" w:rsidRDefault="00BD2D0C" w:rsidP="00782D1C">
      <w:pPr>
        <w:pStyle w:val="Nadpis1"/>
      </w:pPr>
      <w:r>
        <w:lastRenderedPageBreak/>
        <w:t>Vzor odpovědi na tento průzkum</w:t>
      </w:r>
    </w:p>
    <w:p w:rsidR="00452FE8" w:rsidRDefault="00452FE8"/>
    <w:p w:rsidR="00AE6AF2" w:rsidRPr="001648FF" w:rsidRDefault="00E62F0C">
      <w:pPr>
        <w:rPr>
          <w:b/>
        </w:rPr>
      </w:pPr>
      <w:r w:rsidRPr="001648FF">
        <w:rPr>
          <w:b/>
        </w:rPr>
        <w:t>Žlutě zvýrazněné části textu dotazovaný smaže a doplní vlastními údaji.</w:t>
      </w:r>
    </w:p>
    <w:p w:rsidR="00E62F0C" w:rsidRDefault="00E62F0C"/>
    <w:tbl>
      <w:tblPr>
        <w:tblW w:w="5197" w:type="pct"/>
        <w:tblInd w:w="-3" w:type="dxa"/>
        <w:tblBorders>
          <w:top w:val="single" w:sz="2" w:space="0" w:color="B2BC00"/>
          <w:left w:val="single" w:sz="2" w:space="0" w:color="B2BC00"/>
          <w:bottom w:val="single" w:sz="2" w:space="0" w:color="B2BC00"/>
          <w:right w:val="single" w:sz="2" w:space="0" w:color="B2BC00"/>
          <w:insideH w:val="single" w:sz="2" w:space="0" w:color="B2BC00"/>
          <w:insideV w:val="single" w:sz="2" w:space="0" w:color="B2BC00"/>
        </w:tblBorders>
        <w:tblLook w:val="00A0" w:firstRow="1" w:lastRow="0" w:firstColumn="1" w:lastColumn="0" w:noHBand="0" w:noVBand="0"/>
      </w:tblPr>
      <w:tblGrid>
        <w:gridCol w:w="3119"/>
        <w:gridCol w:w="3620"/>
        <w:gridCol w:w="2684"/>
      </w:tblGrid>
      <w:tr w:rsidR="001F75AD" w:rsidRPr="00452FE8" w:rsidTr="001648FF">
        <w:trPr>
          <w:trHeight w:val="452"/>
        </w:trPr>
        <w:tc>
          <w:tcPr>
            <w:tcW w:w="5000" w:type="pct"/>
            <w:gridSpan w:val="3"/>
            <w:shd w:val="clear" w:color="auto" w:fill="E2EFDA"/>
            <w:tcMar>
              <w:left w:w="108" w:type="dxa"/>
            </w:tcMar>
            <w:vAlign w:val="center"/>
          </w:tcPr>
          <w:p w:rsidR="001F75AD" w:rsidRPr="00452FE8" w:rsidRDefault="001F75AD" w:rsidP="00F3071B">
            <w:pPr>
              <w:spacing w:before="120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>Obecná část</w:t>
            </w:r>
          </w:p>
        </w:tc>
      </w:tr>
      <w:tr w:rsidR="00452FE8" w:rsidRPr="00452FE8" w:rsidTr="001648FF">
        <w:trPr>
          <w:trHeight w:val="452"/>
        </w:trPr>
        <w:tc>
          <w:tcPr>
            <w:tcW w:w="1655" w:type="pct"/>
            <w:shd w:val="clear" w:color="auto" w:fill="E2EFDA"/>
            <w:tcMar>
              <w:left w:w="108" w:type="dxa"/>
            </w:tcMar>
            <w:vAlign w:val="center"/>
          </w:tcPr>
          <w:p w:rsidR="00AE6AF2" w:rsidRPr="00452FE8" w:rsidRDefault="00AE6AF2" w:rsidP="00AE6AF2">
            <w:pPr>
              <w:spacing w:before="120"/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</w:pPr>
            <w:r w:rsidRPr="00452FE8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>Název společnosti</w:t>
            </w:r>
          </w:p>
        </w:tc>
        <w:tc>
          <w:tcPr>
            <w:tcW w:w="3345" w:type="pct"/>
            <w:gridSpan w:val="2"/>
            <w:shd w:val="clear" w:color="auto" w:fill="E2EFDA"/>
            <w:tcMar>
              <w:left w:w="108" w:type="dxa"/>
            </w:tcMar>
            <w:vAlign w:val="center"/>
          </w:tcPr>
          <w:p w:rsidR="00AE6AF2" w:rsidRPr="00452FE8" w:rsidRDefault="00AE6AF2" w:rsidP="00F3071B">
            <w:pPr>
              <w:spacing w:before="120"/>
              <w:rPr>
                <w:rFonts w:cs="Arial"/>
                <w:b/>
                <w:bCs/>
                <w:color w:val="000000"/>
                <w:lang w:eastAsia="cs-CZ"/>
              </w:rPr>
            </w:pPr>
          </w:p>
        </w:tc>
      </w:tr>
      <w:tr w:rsidR="00AE6AF2" w:rsidRPr="00452FE8" w:rsidTr="001648FF">
        <w:trPr>
          <w:trHeight w:val="452"/>
        </w:trPr>
        <w:tc>
          <w:tcPr>
            <w:tcW w:w="1655" w:type="pct"/>
            <w:tcBorders>
              <w:bottom w:val="single" w:sz="2" w:space="0" w:color="B2BC00"/>
            </w:tcBorders>
            <w:shd w:val="clear" w:color="auto" w:fill="E2EFDA"/>
            <w:tcMar>
              <w:left w:w="108" w:type="dxa"/>
            </w:tcMar>
            <w:vAlign w:val="center"/>
          </w:tcPr>
          <w:p w:rsidR="00AE6AF2" w:rsidRPr="00BD2D0C" w:rsidRDefault="00AE6AF2" w:rsidP="00BD2D0C">
            <w:pPr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 w:rsidRPr="00BD2D0C">
              <w:rPr>
                <w:rFonts w:asciiTheme="minorHAnsi" w:hAnsiTheme="minorHAnsi" w:cs="Arial"/>
                <w:b/>
                <w:color w:val="000000"/>
                <w:lang w:eastAsia="cs-CZ"/>
              </w:rPr>
              <w:t>IČ</w:t>
            </w:r>
          </w:p>
        </w:tc>
        <w:tc>
          <w:tcPr>
            <w:tcW w:w="3345" w:type="pct"/>
            <w:gridSpan w:val="2"/>
            <w:tcBorders>
              <w:bottom w:val="single" w:sz="2" w:space="0" w:color="B2BC00"/>
            </w:tcBorders>
            <w:shd w:val="clear" w:color="auto" w:fill="E2EFDA"/>
            <w:tcMar>
              <w:left w:w="108" w:type="dxa"/>
            </w:tcMar>
            <w:vAlign w:val="center"/>
          </w:tcPr>
          <w:p w:rsidR="00AE6AF2" w:rsidRPr="00BD2D0C" w:rsidRDefault="00AE6AF2" w:rsidP="00BD2D0C">
            <w:pPr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</w:p>
        </w:tc>
      </w:tr>
      <w:tr w:rsidR="00BD2D0C" w:rsidRPr="00452FE8" w:rsidTr="001648FF">
        <w:trPr>
          <w:trHeight w:val="452"/>
        </w:trPr>
        <w:tc>
          <w:tcPr>
            <w:tcW w:w="1655" w:type="pct"/>
            <w:tcBorders>
              <w:bottom w:val="single" w:sz="2" w:space="0" w:color="B2BC00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BD2D0C" w:rsidRPr="00BD2D0C" w:rsidRDefault="00BD2D0C" w:rsidP="005441FE">
            <w:pPr>
              <w:jc w:val="left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>
              <w:rPr>
                <w:rFonts w:asciiTheme="minorHAnsi" w:hAnsiTheme="minorHAnsi" w:cs="Arial"/>
                <w:b/>
                <w:color w:val="000000"/>
                <w:lang w:eastAsia="cs-CZ"/>
              </w:rPr>
              <w:t>Obchodní v</w:t>
            </w:r>
            <w:r w:rsidRPr="00BD2D0C">
              <w:rPr>
                <w:rFonts w:asciiTheme="minorHAnsi" w:hAnsiTheme="minorHAnsi" w:cs="Arial"/>
                <w:b/>
                <w:color w:val="000000"/>
                <w:lang w:eastAsia="cs-CZ"/>
              </w:rPr>
              <w:t>ztah k</w:t>
            </w:r>
            <w:r>
              <w:rPr>
                <w:rFonts w:asciiTheme="minorHAnsi" w:hAnsiTheme="minorHAnsi" w:cs="Arial"/>
                <w:b/>
                <w:color w:val="000000"/>
                <w:lang w:eastAsia="cs-CZ"/>
              </w:rPr>
              <w:t> </w:t>
            </w:r>
            <w:r w:rsidRPr="00BD2D0C">
              <w:rPr>
                <w:rFonts w:asciiTheme="minorHAnsi" w:hAnsiTheme="minorHAnsi" w:cs="Arial"/>
                <w:b/>
                <w:color w:val="000000"/>
                <w:lang w:eastAsia="cs-CZ"/>
              </w:rPr>
              <w:t>výrobci</w:t>
            </w:r>
            <w:r>
              <w:rPr>
                <w:rFonts w:asciiTheme="minorHAnsi" w:hAnsiTheme="minorHAnsi" w:cs="Arial"/>
                <w:b/>
                <w:color w:val="000000"/>
                <w:lang w:eastAsia="cs-CZ"/>
              </w:rPr>
              <w:t xml:space="preserve"> (</w:t>
            </w:r>
            <w:r w:rsidRPr="00BD2D0C">
              <w:rPr>
                <w:rFonts w:asciiTheme="minorHAnsi" w:hAnsiTheme="minorHAnsi" w:cs="Arial"/>
                <w:b/>
                <w:color w:val="000000"/>
                <w:lang w:eastAsia="cs-CZ"/>
              </w:rPr>
              <w:t>Orbeon, Inc.</w:t>
            </w:r>
            <w:r>
              <w:rPr>
                <w:rFonts w:asciiTheme="minorHAnsi" w:hAnsiTheme="minorHAnsi" w:cs="Arial"/>
                <w:b/>
                <w:color w:val="000000"/>
                <w:lang w:eastAsia="cs-CZ"/>
              </w:rPr>
              <w:t>)</w:t>
            </w:r>
          </w:p>
        </w:tc>
        <w:tc>
          <w:tcPr>
            <w:tcW w:w="3345" w:type="pct"/>
            <w:gridSpan w:val="2"/>
            <w:tcBorders>
              <w:bottom w:val="single" w:sz="2" w:space="0" w:color="B2BC00"/>
            </w:tcBorders>
            <w:shd w:val="clear" w:color="auto" w:fill="auto"/>
            <w:tcMar>
              <w:left w:w="108" w:type="dxa"/>
            </w:tcMar>
            <w:vAlign w:val="center"/>
          </w:tcPr>
          <w:p w:rsidR="00E62F0C" w:rsidRDefault="00E62F0C" w:rsidP="00E62F0C">
            <w:pPr>
              <w:rPr>
                <w:rFonts w:asciiTheme="minorHAnsi" w:hAnsiTheme="minorHAnsi" w:cs="Arial"/>
                <w:color w:val="000000"/>
                <w:lang w:eastAsia="cs-CZ"/>
              </w:rPr>
            </w:pPr>
            <w:r w:rsidRPr="009B0EF4">
              <w:rPr>
                <w:rFonts w:asciiTheme="minorHAnsi" w:hAnsiTheme="minorHAnsi" w:cs="Arial"/>
                <w:color w:val="000000"/>
                <w:highlight w:val="yellow"/>
                <w:lang w:eastAsia="cs-CZ"/>
              </w:rPr>
              <w:t>Doplní dotazovaný</w:t>
            </w:r>
            <w:r>
              <w:rPr>
                <w:rFonts w:asciiTheme="minorHAnsi" w:hAnsiTheme="minorHAnsi" w:cs="Arial"/>
                <w:color w:val="000000"/>
                <w:lang w:eastAsia="cs-CZ"/>
              </w:rPr>
              <w:t xml:space="preserve"> </w:t>
            </w:r>
          </w:p>
          <w:p w:rsidR="00BD2D0C" w:rsidRPr="005441FE" w:rsidRDefault="00E62F0C" w:rsidP="00E62F0C">
            <w:pPr>
              <w:rPr>
                <w:rFonts w:asciiTheme="minorHAnsi" w:hAnsiTheme="minorHAnsi" w:cs="Arial"/>
                <w:color w:val="000000"/>
                <w:lang w:eastAsia="cs-CZ"/>
              </w:rPr>
            </w:pPr>
            <w:r w:rsidRPr="001648FF">
              <w:rPr>
                <w:rFonts w:asciiTheme="minorHAnsi" w:hAnsiTheme="minorHAnsi" w:cs="Arial"/>
                <w:color w:val="000000"/>
                <w:highlight w:val="yellow"/>
                <w:lang w:eastAsia="cs-CZ"/>
              </w:rPr>
              <w:t>Příklad: ž</w:t>
            </w:r>
            <w:r w:rsidR="00BD2D0C" w:rsidRPr="001648FF">
              <w:rPr>
                <w:rFonts w:asciiTheme="minorHAnsi" w:hAnsiTheme="minorHAnsi" w:cs="Arial"/>
                <w:color w:val="000000"/>
                <w:highlight w:val="yellow"/>
                <w:lang w:eastAsia="cs-CZ"/>
              </w:rPr>
              <w:t>ádný, přeprodejce, formální obchodní partner</w:t>
            </w:r>
            <w:r w:rsidR="005441FE" w:rsidRPr="001648FF">
              <w:rPr>
                <w:rFonts w:asciiTheme="minorHAnsi" w:hAnsiTheme="minorHAnsi" w:cs="Arial"/>
                <w:color w:val="000000"/>
                <w:highlight w:val="yellow"/>
                <w:lang w:eastAsia="cs-CZ"/>
              </w:rPr>
              <w:t>, …</w:t>
            </w:r>
          </w:p>
        </w:tc>
      </w:tr>
      <w:tr w:rsidR="00BD2D0C" w:rsidRPr="00452FE8" w:rsidTr="001648FF">
        <w:trPr>
          <w:trHeight w:val="452"/>
        </w:trPr>
        <w:tc>
          <w:tcPr>
            <w:tcW w:w="1655" w:type="pct"/>
            <w:tcBorders>
              <w:bottom w:val="single" w:sz="2" w:space="0" w:color="B2BC00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BD2D0C" w:rsidRDefault="001F75AD" w:rsidP="005441FE">
            <w:pPr>
              <w:jc w:val="left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>
              <w:rPr>
                <w:rFonts w:asciiTheme="minorHAnsi" w:hAnsiTheme="minorHAnsi" w:cs="Arial"/>
                <w:b/>
                <w:color w:val="000000"/>
                <w:lang w:eastAsia="cs-CZ"/>
              </w:rPr>
              <w:t xml:space="preserve">Délka praxe v oblasti implementace a provozu řešení Orbeon v počtu let </w:t>
            </w:r>
          </w:p>
        </w:tc>
        <w:tc>
          <w:tcPr>
            <w:tcW w:w="3345" w:type="pct"/>
            <w:gridSpan w:val="2"/>
            <w:tcBorders>
              <w:bottom w:val="single" w:sz="2" w:space="0" w:color="B2BC00"/>
            </w:tcBorders>
            <w:shd w:val="clear" w:color="auto" w:fill="auto"/>
            <w:tcMar>
              <w:left w:w="108" w:type="dxa"/>
            </w:tcMar>
            <w:vAlign w:val="center"/>
          </w:tcPr>
          <w:p w:rsidR="00BD2D0C" w:rsidRPr="005441FE" w:rsidRDefault="00E62F0C" w:rsidP="00BD2D0C">
            <w:pPr>
              <w:rPr>
                <w:rFonts w:asciiTheme="minorHAnsi" w:hAnsiTheme="minorHAnsi" w:cs="Arial"/>
                <w:color w:val="000000"/>
                <w:lang w:eastAsia="cs-CZ"/>
              </w:rPr>
            </w:pPr>
            <w:r w:rsidRPr="001648FF">
              <w:rPr>
                <w:rFonts w:asciiTheme="minorHAnsi" w:hAnsiTheme="minorHAnsi" w:cs="Arial"/>
                <w:color w:val="000000"/>
                <w:highlight w:val="yellow"/>
                <w:lang w:eastAsia="cs-CZ"/>
              </w:rPr>
              <w:t>Doplní dotazovaný</w:t>
            </w:r>
          </w:p>
        </w:tc>
      </w:tr>
      <w:tr w:rsidR="001F75AD" w:rsidRPr="00452FE8" w:rsidTr="001648FF">
        <w:trPr>
          <w:trHeight w:val="452"/>
        </w:trPr>
        <w:tc>
          <w:tcPr>
            <w:tcW w:w="1655" w:type="pct"/>
            <w:tcBorders>
              <w:bottom w:val="single" w:sz="2" w:space="0" w:color="B2BC00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F75AD" w:rsidRDefault="001F75AD" w:rsidP="005441FE">
            <w:pPr>
              <w:jc w:val="left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>
              <w:rPr>
                <w:rFonts w:asciiTheme="minorHAnsi" w:hAnsiTheme="minorHAnsi" w:cs="Arial"/>
                <w:b/>
                <w:color w:val="000000"/>
                <w:lang w:eastAsia="cs-CZ"/>
              </w:rPr>
              <w:t>Počet implementovaných řešení</w:t>
            </w:r>
            <w:r w:rsidR="005441FE">
              <w:rPr>
                <w:rFonts w:asciiTheme="minorHAnsi" w:hAnsiTheme="minorHAnsi" w:cs="Arial"/>
                <w:b/>
                <w:color w:val="000000"/>
                <w:lang w:eastAsia="cs-CZ"/>
              </w:rPr>
              <w:t xml:space="preserve"> Orbeon</w:t>
            </w:r>
          </w:p>
        </w:tc>
        <w:tc>
          <w:tcPr>
            <w:tcW w:w="3345" w:type="pct"/>
            <w:gridSpan w:val="2"/>
            <w:tcBorders>
              <w:bottom w:val="single" w:sz="2" w:space="0" w:color="B2BC00"/>
            </w:tcBorders>
            <w:shd w:val="clear" w:color="auto" w:fill="auto"/>
            <w:tcMar>
              <w:left w:w="108" w:type="dxa"/>
            </w:tcMar>
            <w:vAlign w:val="center"/>
          </w:tcPr>
          <w:p w:rsidR="001F75AD" w:rsidRPr="005441FE" w:rsidRDefault="00E62F0C" w:rsidP="00BD2D0C">
            <w:pPr>
              <w:rPr>
                <w:rFonts w:asciiTheme="minorHAnsi" w:hAnsiTheme="minorHAnsi" w:cs="Arial"/>
                <w:color w:val="000000"/>
                <w:lang w:eastAsia="cs-CZ"/>
              </w:rPr>
            </w:pPr>
            <w:r w:rsidRPr="009B0EF4">
              <w:rPr>
                <w:rFonts w:asciiTheme="minorHAnsi" w:hAnsiTheme="minorHAnsi" w:cs="Arial"/>
                <w:color w:val="000000"/>
                <w:highlight w:val="yellow"/>
                <w:lang w:eastAsia="cs-CZ"/>
              </w:rPr>
              <w:t>Doplní dotazovaný</w:t>
            </w:r>
          </w:p>
        </w:tc>
      </w:tr>
      <w:tr w:rsidR="001F75AD" w:rsidRPr="00452FE8" w:rsidTr="001648FF">
        <w:trPr>
          <w:trHeight w:val="452"/>
        </w:trPr>
        <w:tc>
          <w:tcPr>
            <w:tcW w:w="1655" w:type="pct"/>
            <w:tcBorders>
              <w:bottom w:val="single" w:sz="2" w:space="0" w:color="B2BC00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F75AD" w:rsidRDefault="001F75AD" w:rsidP="005441FE">
            <w:pPr>
              <w:jc w:val="left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>
              <w:rPr>
                <w:rFonts w:asciiTheme="minorHAnsi" w:hAnsiTheme="minorHAnsi" w:cs="Arial"/>
                <w:b/>
                <w:color w:val="000000"/>
                <w:lang w:eastAsia="cs-CZ"/>
              </w:rPr>
              <w:t>Počet provozovaných řešení</w:t>
            </w:r>
            <w:r w:rsidR="005441FE">
              <w:rPr>
                <w:rFonts w:asciiTheme="minorHAnsi" w:hAnsiTheme="minorHAnsi" w:cs="Arial"/>
                <w:b/>
                <w:color w:val="000000"/>
                <w:lang w:eastAsia="cs-CZ"/>
              </w:rPr>
              <w:t xml:space="preserve"> Orbeon</w:t>
            </w:r>
          </w:p>
        </w:tc>
        <w:tc>
          <w:tcPr>
            <w:tcW w:w="3345" w:type="pct"/>
            <w:gridSpan w:val="2"/>
            <w:tcBorders>
              <w:bottom w:val="single" w:sz="2" w:space="0" w:color="B2BC00"/>
            </w:tcBorders>
            <w:shd w:val="clear" w:color="auto" w:fill="auto"/>
            <w:tcMar>
              <w:left w:w="108" w:type="dxa"/>
            </w:tcMar>
            <w:vAlign w:val="center"/>
          </w:tcPr>
          <w:p w:rsidR="001F75AD" w:rsidRPr="005441FE" w:rsidRDefault="00E62F0C" w:rsidP="00BD2D0C">
            <w:pPr>
              <w:rPr>
                <w:rFonts w:asciiTheme="minorHAnsi" w:hAnsiTheme="minorHAnsi" w:cs="Arial"/>
                <w:color w:val="000000"/>
                <w:lang w:eastAsia="cs-CZ"/>
              </w:rPr>
            </w:pPr>
            <w:r w:rsidRPr="009B0EF4">
              <w:rPr>
                <w:rFonts w:asciiTheme="minorHAnsi" w:hAnsiTheme="minorHAnsi" w:cs="Arial"/>
                <w:color w:val="000000"/>
                <w:highlight w:val="yellow"/>
                <w:lang w:eastAsia="cs-CZ"/>
              </w:rPr>
              <w:t>Doplní dotazovaný</w:t>
            </w:r>
          </w:p>
        </w:tc>
      </w:tr>
      <w:tr w:rsidR="001F75AD" w:rsidRPr="00452FE8" w:rsidTr="001648FF">
        <w:trPr>
          <w:trHeight w:val="452"/>
        </w:trPr>
        <w:tc>
          <w:tcPr>
            <w:tcW w:w="1655" w:type="pct"/>
            <w:tcBorders>
              <w:bottom w:val="single" w:sz="2" w:space="0" w:color="B2BC00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F75AD" w:rsidRDefault="001F75AD" w:rsidP="005441FE">
            <w:pPr>
              <w:jc w:val="left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>
              <w:rPr>
                <w:rFonts w:asciiTheme="minorHAnsi" w:hAnsiTheme="minorHAnsi" w:cs="Arial"/>
                <w:b/>
                <w:color w:val="000000"/>
                <w:lang w:eastAsia="cs-CZ"/>
              </w:rPr>
              <w:t>Úroveň znalostí</w:t>
            </w:r>
            <w:r w:rsidR="008F453C">
              <w:rPr>
                <w:rFonts w:asciiTheme="minorHAnsi" w:hAnsiTheme="minorHAnsi" w:cs="Arial"/>
                <w:b/>
                <w:color w:val="000000"/>
                <w:lang w:eastAsia="cs-CZ"/>
              </w:rPr>
              <w:t xml:space="preserve"> technologie Orbeon Forms</w:t>
            </w:r>
          </w:p>
        </w:tc>
        <w:tc>
          <w:tcPr>
            <w:tcW w:w="3345" w:type="pct"/>
            <w:gridSpan w:val="2"/>
            <w:tcBorders>
              <w:bottom w:val="single" w:sz="2" w:space="0" w:color="B2BC00"/>
            </w:tcBorders>
            <w:shd w:val="clear" w:color="auto" w:fill="auto"/>
            <w:tcMar>
              <w:left w:w="108" w:type="dxa"/>
            </w:tcMar>
            <w:vAlign w:val="center"/>
          </w:tcPr>
          <w:p w:rsidR="00E62F0C" w:rsidRDefault="00E62F0C" w:rsidP="00BD2D0C">
            <w:pPr>
              <w:rPr>
                <w:rFonts w:asciiTheme="minorHAnsi" w:hAnsiTheme="minorHAnsi" w:cs="Arial"/>
                <w:color w:val="000000"/>
                <w:lang w:eastAsia="cs-CZ"/>
              </w:rPr>
            </w:pPr>
            <w:r w:rsidRPr="009B0EF4">
              <w:rPr>
                <w:rFonts w:asciiTheme="minorHAnsi" w:hAnsiTheme="minorHAnsi" w:cs="Arial"/>
                <w:color w:val="000000"/>
                <w:highlight w:val="yellow"/>
                <w:lang w:eastAsia="cs-CZ"/>
              </w:rPr>
              <w:t>Doplní dotazovaný</w:t>
            </w:r>
          </w:p>
          <w:p w:rsidR="001F75AD" w:rsidRPr="005441FE" w:rsidRDefault="00E62F0C" w:rsidP="00BD2D0C">
            <w:pPr>
              <w:rPr>
                <w:rFonts w:asciiTheme="minorHAnsi" w:hAnsiTheme="minorHAnsi" w:cs="Arial"/>
                <w:color w:val="000000"/>
                <w:lang w:eastAsia="cs-CZ"/>
              </w:rPr>
            </w:pPr>
            <w:r w:rsidRPr="001648FF">
              <w:rPr>
                <w:rFonts w:asciiTheme="minorHAnsi" w:hAnsiTheme="minorHAnsi" w:cs="Arial"/>
                <w:color w:val="000000"/>
                <w:highlight w:val="yellow"/>
                <w:lang w:eastAsia="cs-CZ"/>
              </w:rPr>
              <w:t xml:space="preserve">Příklad: </w:t>
            </w:r>
            <w:r w:rsidR="001F75AD" w:rsidRPr="001648FF">
              <w:rPr>
                <w:rFonts w:asciiTheme="minorHAnsi" w:hAnsiTheme="minorHAnsi" w:cs="Arial"/>
                <w:color w:val="000000"/>
                <w:highlight w:val="yellow"/>
                <w:lang w:eastAsia="cs-CZ"/>
              </w:rPr>
              <w:t>Samostudium a interní školení, školení výrobce bez dokladu, školení výrobce s</w:t>
            </w:r>
            <w:r w:rsidR="005441FE" w:rsidRPr="001648FF">
              <w:rPr>
                <w:rFonts w:asciiTheme="minorHAnsi" w:hAnsiTheme="minorHAnsi" w:cs="Arial"/>
                <w:color w:val="000000"/>
                <w:highlight w:val="yellow"/>
                <w:lang w:eastAsia="cs-CZ"/>
              </w:rPr>
              <w:t> </w:t>
            </w:r>
            <w:r w:rsidR="001F75AD" w:rsidRPr="001648FF">
              <w:rPr>
                <w:rFonts w:asciiTheme="minorHAnsi" w:hAnsiTheme="minorHAnsi" w:cs="Arial"/>
                <w:color w:val="000000"/>
                <w:highlight w:val="yellow"/>
                <w:lang w:eastAsia="cs-CZ"/>
              </w:rPr>
              <w:t>dokladem</w:t>
            </w:r>
            <w:r w:rsidR="005441FE" w:rsidRPr="001648FF">
              <w:rPr>
                <w:rFonts w:asciiTheme="minorHAnsi" w:hAnsiTheme="minorHAnsi" w:cs="Arial"/>
                <w:color w:val="000000"/>
                <w:highlight w:val="yellow"/>
                <w:lang w:eastAsia="cs-CZ"/>
              </w:rPr>
              <w:t>, certifikace, …</w:t>
            </w:r>
          </w:p>
        </w:tc>
      </w:tr>
      <w:tr w:rsidR="001F75AD" w:rsidRPr="00452FE8" w:rsidTr="001648FF">
        <w:trPr>
          <w:trHeight w:val="452"/>
        </w:trPr>
        <w:tc>
          <w:tcPr>
            <w:tcW w:w="1655" w:type="pct"/>
            <w:tcBorders>
              <w:bottom w:val="single" w:sz="2" w:space="0" w:color="B2BC00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F75AD" w:rsidRDefault="001F75AD" w:rsidP="005441FE">
            <w:pPr>
              <w:jc w:val="left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>
              <w:rPr>
                <w:rFonts w:asciiTheme="minorHAnsi" w:hAnsiTheme="minorHAnsi" w:cs="Arial"/>
                <w:b/>
                <w:color w:val="000000"/>
                <w:lang w:eastAsia="cs-CZ"/>
              </w:rPr>
              <w:t>Počet odborníků v</w:t>
            </w:r>
            <w:r w:rsidR="008F453C">
              <w:rPr>
                <w:rFonts w:asciiTheme="minorHAnsi" w:hAnsiTheme="minorHAnsi" w:cs="Arial"/>
                <w:b/>
                <w:color w:val="000000"/>
                <w:lang w:eastAsia="cs-CZ"/>
              </w:rPr>
              <w:t> </w:t>
            </w:r>
            <w:r>
              <w:rPr>
                <w:rFonts w:asciiTheme="minorHAnsi" w:hAnsiTheme="minorHAnsi" w:cs="Arial"/>
                <w:b/>
                <w:color w:val="000000"/>
                <w:lang w:eastAsia="cs-CZ"/>
              </w:rPr>
              <w:t>oblasti</w:t>
            </w:r>
            <w:r w:rsidR="008F453C">
              <w:rPr>
                <w:rFonts w:asciiTheme="minorHAnsi" w:hAnsiTheme="minorHAnsi" w:cs="Arial"/>
                <w:b/>
                <w:color w:val="000000"/>
                <w:lang w:eastAsia="cs-CZ"/>
              </w:rPr>
              <w:t xml:space="preserve"> Orbeon Forms</w:t>
            </w:r>
          </w:p>
        </w:tc>
        <w:tc>
          <w:tcPr>
            <w:tcW w:w="3345" w:type="pct"/>
            <w:gridSpan w:val="2"/>
            <w:tcBorders>
              <w:bottom w:val="single" w:sz="2" w:space="0" w:color="B2BC00"/>
            </w:tcBorders>
            <w:shd w:val="clear" w:color="auto" w:fill="auto"/>
            <w:tcMar>
              <w:left w:w="108" w:type="dxa"/>
            </w:tcMar>
            <w:vAlign w:val="center"/>
          </w:tcPr>
          <w:p w:rsidR="001F75AD" w:rsidRPr="005441FE" w:rsidRDefault="00E62F0C" w:rsidP="00BD2D0C">
            <w:pPr>
              <w:rPr>
                <w:rFonts w:asciiTheme="minorHAnsi" w:hAnsiTheme="minorHAnsi" w:cs="Arial"/>
                <w:color w:val="000000"/>
                <w:lang w:eastAsia="cs-CZ"/>
              </w:rPr>
            </w:pPr>
            <w:r w:rsidRPr="009B0EF4">
              <w:rPr>
                <w:rFonts w:asciiTheme="minorHAnsi" w:hAnsiTheme="minorHAnsi" w:cs="Arial"/>
                <w:color w:val="000000"/>
                <w:highlight w:val="yellow"/>
                <w:lang w:eastAsia="cs-CZ"/>
              </w:rPr>
              <w:t>Doplní dotazovaný</w:t>
            </w:r>
          </w:p>
        </w:tc>
      </w:tr>
      <w:tr w:rsidR="001F75AD" w:rsidRPr="00452FE8" w:rsidTr="001648FF">
        <w:trPr>
          <w:trHeight w:val="452"/>
        </w:trPr>
        <w:tc>
          <w:tcPr>
            <w:tcW w:w="5000" w:type="pct"/>
            <w:gridSpan w:val="3"/>
            <w:shd w:val="clear" w:color="auto" w:fill="D6E3BC" w:themeFill="accent3" w:themeFillTint="66"/>
            <w:tcMar>
              <w:left w:w="108" w:type="dxa"/>
            </w:tcMar>
            <w:vAlign w:val="center"/>
          </w:tcPr>
          <w:p w:rsidR="001F75AD" w:rsidRPr="00452FE8" w:rsidRDefault="001F75AD" w:rsidP="001F75AD">
            <w:pPr>
              <w:spacing w:before="120"/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>Cenová část</w:t>
            </w:r>
          </w:p>
        </w:tc>
      </w:tr>
      <w:tr w:rsidR="00AE6AF2" w:rsidRPr="00452FE8" w:rsidTr="001648FF">
        <w:trPr>
          <w:trHeight w:val="452"/>
        </w:trPr>
        <w:tc>
          <w:tcPr>
            <w:tcW w:w="3576" w:type="pct"/>
            <w:gridSpan w:val="2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E6AF2" w:rsidRPr="00452FE8" w:rsidRDefault="00452FE8" w:rsidP="00452FE8">
            <w:pPr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</w:pPr>
            <w:r w:rsidRPr="00452FE8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>Název položky k nacenění</w:t>
            </w:r>
          </w:p>
        </w:tc>
        <w:tc>
          <w:tcPr>
            <w:tcW w:w="1424" w:type="pct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E6AF2" w:rsidRPr="00452FE8" w:rsidRDefault="00452FE8" w:rsidP="001648F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</w:pPr>
            <w:r w:rsidRPr="00452FE8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>Cena v Kč bez DPH</w:t>
            </w:r>
          </w:p>
        </w:tc>
      </w:tr>
      <w:tr w:rsidR="0051522B" w:rsidRPr="00452FE8" w:rsidTr="001648FF">
        <w:trPr>
          <w:trHeight w:val="474"/>
        </w:trPr>
        <w:tc>
          <w:tcPr>
            <w:tcW w:w="3576" w:type="pct"/>
            <w:gridSpan w:val="2"/>
            <w:tcMar>
              <w:left w:w="108" w:type="dxa"/>
            </w:tcMar>
            <w:vAlign w:val="center"/>
          </w:tcPr>
          <w:p w:rsidR="0051522B" w:rsidRDefault="0051522B" w:rsidP="0051522B">
            <w:pPr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>
              <w:rPr>
                <w:rFonts w:asciiTheme="minorHAnsi" w:hAnsiTheme="minorHAnsi" w:cs="Arial"/>
                <w:b/>
                <w:color w:val="000000"/>
                <w:lang w:eastAsia="cs-CZ"/>
              </w:rPr>
              <w:t>Cena za 4 roky standardní podpory mimo kampaň</w:t>
            </w:r>
          </w:p>
        </w:tc>
        <w:tc>
          <w:tcPr>
            <w:tcW w:w="1424" w:type="pct"/>
            <w:tcMar>
              <w:left w:w="108" w:type="dxa"/>
            </w:tcMar>
            <w:vAlign w:val="center"/>
          </w:tcPr>
          <w:p w:rsidR="0051522B" w:rsidRPr="00452FE8" w:rsidRDefault="00E62F0C" w:rsidP="001648FF">
            <w:pPr>
              <w:jc w:val="center"/>
              <w:rPr>
                <w:rFonts w:cs="Arial"/>
                <w:color w:val="000000"/>
                <w:lang w:eastAsia="cs-CZ"/>
              </w:rPr>
            </w:pPr>
            <w:r w:rsidRPr="009B0EF4">
              <w:rPr>
                <w:rFonts w:asciiTheme="minorHAnsi" w:hAnsiTheme="minorHAnsi" w:cs="Arial"/>
                <w:color w:val="000000"/>
                <w:highlight w:val="yellow"/>
                <w:lang w:eastAsia="cs-CZ"/>
              </w:rPr>
              <w:t>Doplní dotazovaný</w:t>
            </w:r>
          </w:p>
        </w:tc>
      </w:tr>
      <w:tr w:rsidR="0051522B" w:rsidRPr="00452FE8" w:rsidTr="001648FF">
        <w:trPr>
          <w:trHeight w:val="474"/>
        </w:trPr>
        <w:tc>
          <w:tcPr>
            <w:tcW w:w="3576" w:type="pct"/>
            <w:gridSpan w:val="2"/>
            <w:tcMar>
              <w:left w:w="108" w:type="dxa"/>
            </w:tcMar>
            <w:vAlign w:val="center"/>
          </w:tcPr>
          <w:p w:rsidR="0051522B" w:rsidRDefault="0051522B" w:rsidP="0051522B">
            <w:pPr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>
              <w:rPr>
                <w:rFonts w:asciiTheme="minorHAnsi" w:hAnsiTheme="minorHAnsi" w:cs="Arial"/>
                <w:b/>
                <w:color w:val="000000"/>
                <w:lang w:eastAsia="cs-CZ"/>
              </w:rPr>
              <w:t>Cena za 3 měsíce zvýšené podpory každý rok během 4 let</w:t>
            </w:r>
          </w:p>
        </w:tc>
        <w:tc>
          <w:tcPr>
            <w:tcW w:w="1424" w:type="pct"/>
            <w:tcMar>
              <w:left w:w="108" w:type="dxa"/>
            </w:tcMar>
            <w:vAlign w:val="center"/>
          </w:tcPr>
          <w:p w:rsidR="0051522B" w:rsidRPr="00452FE8" w:rsidRDefault="00E62F0C" w:rsidP="001648FF">
            <w:pPr>
              <w:jc w:val="center"/>
              <w:rPr>
                <w:rFonts w:cs="Arial"/>
                <w:color w:val="000000"/>
                <w:lang w:eastAsia="cs-CZ"/>
              </w:rPr>
            </w:pPr>
            <w:r w:rsidRPr="009B0EF4">
              <w:rPr>
                <w:rFonts w:asciiTheme="minorHAnsi" w:hAnsiTheme="minorHAnsi" w:cs="Arial"/>
                <w:color w:val="000000"/>
                <w:highlight w:val="yellow"/>
                <w:lang w:eastAsia="cs-CZ"/>
              </w:rPr>
              <w:t>Doplní dotazovaný</w:t>
            </w:r>
          </w:p>
        </w:tc>
      </w:tr>
      <w:tr w:rsidR="0051522B" w:rsidRPr="00452FE8" w:rsidTr="001648FF">
        <w:trPr>
          <w:trHeight w:val="474"/>
        </w:trPr>
        <w:tc>
          <w:tcPr>
            <w:tcW w:w="3576" w:type="pct"/>
            <w:gridSpan w:val="2"/>
            <w:tcBorders>
              <w:top w:val="single" w:sz="2" w:space="0" w:color="B2BC00"/>
              <w:left w:val="single" w:sz="2" w:space="0" w:color="B2BC00"/>
              <w:bottom w:val="single" w:sz="2" w:space="0" w:color="B2BC00"/>
              <w:right w:val="single" w:sz="2" w:space="0" w:color="B2BC00"/>
            </w:tcBorders>
            <w:tcMar>
              <w:left w:w="108" w:type="dxa"/>
            </w:tcMar>
            <w:vAlign w:val="center"/>
          </w:tcPr>
          <w:p w:rsidR="0051522B" w:rsidRDefault="0051522B" w:rsidP="004A38C5">
            <w:pPr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>
              <w:rPr>
                <w:rFonts w:asciiTheme="minorHAnsi" w:hAnsiTheme="minorHAnsi" w:cs="Arial"/>
                <w:b/>
                <w:color w:val="000000"/>
                <w:lang w:eastAsia="cs-CZ"/>
              </w:rPr>
              <w:t>Cena za 800 člověkodnů rozvojových prací, která bude čerpána po dobu 4 let</w:t>
            </w:r>
          </w:p>
        </w:tc>
        <w:tc>
          <w:tcPr>
            <w:tcW w:w="1424" w:type="pct"/>
            <w:tcBorders>
              <w:top w:val="single" w:sz="2" w:space="0" w:color="B2BC00"/>
              <w:left w:val="single" w:sz="2" w:space="0" w:color="B2BC00"/>
              <w:bottom w:val="single" w:sz="2" w:space="0" w:color="B2BC00"/>
              <w:right w:val="single" w:sz="2" w:space="0" w:color="B2BC00"/>
            </w:tcBorders>
            <w:tcMar>
              <w:left w:w="108" w:type="dxa"/>
            </w:tcMar>
            <w:vAlign w:val="center"/>
          </w:tcPr>
          <w:p w:rsidR="0051522B" w:rsidRPr="00452FE8" w:rsidRDefault="00E62F0C" w:rsidP="001648FF">
            <w:pPr>
              <w:jc w:val="center"/>
              <w:rPr>
                <w:rFonts w:cs="Arial"/>
                <w:color w:val="000000"/>
                <w:lang w:eastAsia="cs-CZ"/>
              </w:rPr>
            </w:pPr>
            <w:r w:rsidRPr="009B0EF4">
              <w:rPr>
                <w:rFonts w:asciiTheme="minorHAnsi" w:hAnsiTheme="minorHAnsi" w:cs="Arial"/>
                <w:color w:val="000000"/>
                <w:highlight w:val="yellow"/>
                <w:lang w:eastAsia="cs-CZ"/>
              </w:rPr>
              <w:t>Doplní dotazovaný</w:t>
            </w:r>
          </w:p>
        </w:tc>
      </w:tr>
      <w:tr w:rsidR="0051522B" w:rsidRPr="00452FE8" w:rsidTr="001648FF">
        <w:trPr>
          <w:trHeight w:val="474"/>
        </w:trPr>
        <w:tc>
          <w:tcPr>
            <w:tcW w:w="3576" w:type="pct"/>
            <w:gridSpan w:val="2"/>
            <w:tcBorders>
              <w:top w:val="single" w:sz="2" w:space="0" w:color="B2BC00"/>
              <w:left w:val="single" w:sz="2" w:space="0" w:color="B2BC00"/>
              <w:bottom w:val="single" w:sz="2" w:space="0" w:color="B2BC00"/>
              <w:right w:val="single" w:sz="2" w:space="0" w:color="B2BC00"/>
            </w:tcBorders>
            <w:tcMar>
              <w:left w:w="108" w:type="dxa"/>
            </w:tcMar>
            <w:vAlign w:val="center"/>
          </w:tcPr>
          <w:p w:rsidR="0051522B" w:rsidRPr="0051522B" w:rsidRDefault="0051522B" w:rsidP="0051522B">
            <w:pPr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bookmarkStart w:id="3" w:name="_GoBack" w:colFirst="0" w:colLast="2"/>
            <w:r>
              <w:rPr>
                <w:rFonts w:asciiTheme="minorHAnsi" w:hAnsiTheme="minorHAnsi" w:cs="Arial"/>
                <w:b/>
                <w:color w:val="000000"/>
                <w:lang w:eastAsia="cs-CZ"/>
              </w:rPr>
              <w:t>Cena za 3 školení ročně pro 25 lidí čerpané po dobu 4 let. Celkem tedy 12x25 proškolených uživatelů.</w:t>
            </w:r>
          </w:p>
        </w:tc>
        <w:tc>
          <w:tcPr>
            <w:tcW w:w="1424" w:type="pct"/>
            <w:tcBorders>
              <w:top w:val="single" w:sz="2" w:space="0" w:color="B2BC00"/>
              <w:left w:val="single" w:sz="2" w:space="0" w:color="B2BC00"/>
              <w:bottom w:val="single" w:sz="2" w:space="0" w:color="B2BC00"/>
              <w:right w:val="single" w:sz="2" w:space="0" w:color="B2BC00"/>
            </w:tcBorders>
            <w:tcMar>
              <w:left w:w="108" w:type="dxa"/>
            </w:tcMar>
            <w:vAlign w:val="center"/>
          </w:tcPr>
          <w:p w:rsidR="0051522B" w:rsidRPr="00452FE8" w:rsidRDefault="00E62F0C" w:rsidP="001648FF">
            <w:pPr>
              <w:jc w:val="center"/>
              <w:rPr>
                <w:rFonts w:cs="Arial"/>
                <w:color w:val="000000"/>
                <w:lang w:eastAsia="cs-CZ"/>
              </w:rPr>
            </w:pPr>
            <w:r w:rsidRPr="009B0EF4">
              <w:rPr>
                <w:rFonts w:asciiTheme="minorHAnsi" w:hAnsiTheme="minorHAnsi" w:cs="Arial"/>
                <w:color w:val="000000"/>
                <w:highlight w:val="yellow"/>
                <w:lang w:eastAsia="cs-CZ"/>
              </w:rPr>
              <w:t>Doplní dotazovaný</w:t>
            </w:r>
          </w:p>
        </w:tc>
      </w:tr>
      <w:bookmarkEnd w:id="3"/>
    </w:tbl>
    <w:p w:rsidR="00AE6AF2" w:rsidRDefault="00AE6AF2"/>
    <w:sectPr w:rsidR="00AE6AF2" w:rsidSect="00B27E3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568" w:rsidRDefault="00097568">
      <w:r>
        <w:separator/>
      </w:r>
    </w:p>
  </w:endnote>
  <w:endnote w:type="continuationSeparator" w:id="0">
    <w:p w:rsidR="00097568" w:rsidRDefault="0009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E03" w:rsidRDefault="00862E03" w:rsidP="0038758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62E03" w:rsidRDefault="00862E03" w:rsidP="0038758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E03" w:rsidRPr="00A82F52" w:rsidRDefault="00862E03" w:rsidP="0038758F">
    <w:pPr>
      <w:pStyle w:val="Zpat"/>
      <w:rPr>
        <w:rStyle w:val="slostrnky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6852920</wp:posOffset>
              </wp:positionH>
              <wp:positionV relativeFrom="page">
                <wp:posOffset>10066655</wp:posOffset>
              </wp:positionV>
              <wp:extent cx="512445" cy="441325"/>
              <wp:effectExtent l="0" t="0" r="0" b="0"/>
              <wp:wrapNone/>
              <wp:docPr id="3" name="Vývojový diagram: alternativní post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2E03" w:rsidRDefault="00862E03" w:rsidP="0046711C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2"/>
                            </w:rPr>
                            <w:fldChar w:fldCharType="separate"/>
                          </w:r>
                          <w:r w:rsidR="001648FF" w:rsidRPr="001648FF">
                            <w:rPr>
                              <w:noProof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Vývojový diagram: alternativní postup 30" o:spid="_x0000_s1026" type="#_x0000_t176" style="position:absolute;left:0;text-align:left;margin-left:539.6pt;margin-top:792.65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" filled="f" fillcolor="#5c83b4" stroked="f" strokecolor="#737373">
              <v:textbox>
                <w:txbxContent>
                  <w:p w:rsidR="00862E03" w:rsidRDefault="00862E03" w:rsidP="0046711C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Cs w:val="22"/>
                      </w:rPr>
                      <w:fldChar w:fldCharType="separate"/>
                    </w:r>
                    <w:r w:rsidR="001648FF" w:rsidRPr="001648FF">
                      <w:rPr>
                        <w:noProof/>
                        <w:sz w:val="28"/>
                        <w:szCs w:val="28"/>
                      </w:rPr>
                      <w:t>9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E03" w:rsidRDefault="00862E03" w:rsidP="0038758F">
    <w:pPr>
      <w:pStyle w:val="Zpat"/>
    </w:pPr>
    <w:r>
      <w:rPr>
        <w:rStyle w:val="slostrnky"/>
      </w:rPr>
      <w:tab/>
    </w:r>
    <w:r>
      <w:rPr>
        <w:rStyle w:val="slostrnky"/>
      </w:rPr>
      <w:tab/>
    </w:r>
    <w:r>
      <w:rPr>
        <w:rStyle w:val="slostrnky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568" w:rsidRDefault="00097568">
      <w:r>
        <w:separator/>
      </w:r>
    </w:p>
  </w:footnote>
  <w:footnote w:type="continuationSeparator" w:id="0">
    <w:p w:rsidR="00097568" w:rsidRDefault="00097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E03" w:rsidRDefault="00862E03" w:rsidP="0038758F">
    <w:pPr>
      <w:pStyle w:val="Zhlav"/>
      <w:jc w:val="center"/>
    </w:pPr>
    <w:r w:rsidRPr="001D5F05">
      <w:rPr>
        <w:noProof/>
        <w:lang w:eastAsia="cs-CZ"/>
      </w:rPr>
      <w:drawing>
        <wp:inline distT="0" distB="0" distL="0" distR="0">
          <wp:extent cx="1280160" cy="564515"/>
          <wp:effectExtent l="0" t="0" r="0" b="6985"/>
          <wp:docPr id="4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E03" w:rsidRDefault="00862E03" w:rsidP="0038758F">
    <w:pPr>
      <w:pStyle w:val="Zhlav"/>
      <w:jc w:val="center"/>
    </w:pPr>
    <w:r w:rsidRPr="001D5F05">
      <w:rPr>
        <w:noProof/>
        <w:lang w:eastAsia="cs-CZ"/>
      </w:rPr>
      <w:drawing>
        <wp:inline distT="0" distB="0" distL="0" distR="0">
          <wp:extent cx="1280160" cy="564515"/>
          <wp:effectExtent l="0" t="0" r="0" b="6985"/>
          <wp:docPr id="5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239E"/>
    <w:multiLevelType w:val="hybridMultilevel"/>
    <w:tmpl w:val="1E421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C7407"/>
    <w:multiLevelType w:val="hybridMultilevel"/>
    <w:tmpl w:val="E5EC1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95496"/>
    <w:multiLevelType w:val="hybridMultilevel"/>
    <w:tmpl w:val="8EEC70F6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2D3220E"/>
    <w:multiLevelType w:val="hybridMultilevel"/>
    <w:tmpl w:val="755A8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F60C6"/>
    <w:multiLevelType w:val="hybridMultilevel"/>
    <w:tmpl w:val="BE3ED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C673F"/>
    <w:multiLevelType w:val="hybridMultilevel"/>
    <w:tmpl w:val="779AE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473DB"/>
    <w:multiLevelType w:val="hybridMultilevel"/>
    <w:tmpl w:val="AF00492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2823A3F"/>
    <w:multiLevelType w:val="multilevel"/>
    <w:tmpl w:val="A378AA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6C82BEE"/>
    <w:multiLevelType w:val="hybridMultilevel"/>
    <w:tmpl w:val="2F461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C637E"/>
    <w:multiLevelType w:val="hybridMultilevel"/>
    <w:tmpl w:val="60BA33AE"/>
    <w:lvl w:ilvl="0" w:tplc="04050001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46EF1"/>
    <w:multiLevelType w:val="hybridMultilevel"/>
    <w:tmpl w:val="A9B64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E433C"/>
    <w:multiLevelType w:val="hybridMultilevel"/>
    <w:tmpl w:val="155AA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8213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4FA3433"/>
    <w:multiLevelType w:val="hybridMultilevel"/>
    <w:tmpl w:val="79B6C57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6A71C0B"/>
    <w:multiLevelType w:val="hybridMultilevel"/>
    <w:tmpl w:val="FBE40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90A69"/>
    <w:multiLevelType w:val="hybridMultilevel"/>
    <w:tmpl w:val="DD3A8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97126"/>
    <w:multiLevelType w:val="hybridMultilevel"/>
    <w:tmpl w:val="11BCA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03731"/>
    <w:multiLevelType w:val="hybridMultilevel"/>
    <w:tmpl w:val="0584D35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96914F3"/>
    <w:multiLevelType w:val="hybridMultilevel"/>
    <w:tmpl w:val="69381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7"/>
  </w:num>
  <w:num w:numId="5">
    <w:abstractNumId w:val="11"/>
  </w:num>
  <w:num w:numId="6">
    <w:abstractNumId w:val="15"/>
  </w:num>
  <w:num w:numId="7">
    <w:abstractNumId w:val="18"/>
  </w:num>
  <w:num w:numId="8">
    <w:abstractNumId w:val="12"/>
  </w:num>
  <w:num w:numId="9">
    <w:abstractNumId w:val="3"/>
  </w:num>
  <w:num w:numId="10">
    <w:abstractNumId w:val="2"/>
  </w:num>
  <w:num w:numId="11">
    <w:abstractNumId w:val="6"/>
  </w:num>
  <w:num w:numId="12">
    <w:abstractNumId w:val="14"/>
  </w:num>
  <w:num w:numId="13">
    <w:abstractNumId w:val="13"/>
  </w:num>
  <w:num w:numId="14">
    <w:abstractNumId w:val="17"/>
  </w:num>
  <w:num w:numId="15">
    <w:abstractNumId w:val="4"/>
  </w:num>
  <w:num w:numId="16">
    <w:abstractNumId w:val="5"/>
  </w:num>
  <w:num w:numId="17">
    <w:abstractNumId w:val="16"/>
  </w:num>
  <w:num w:numId="18">
    <w:abstractNumId w:val="1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1C"/>
    <w:rsid w:val="0007437B"/>
    <w:rsid w:val="00097568"/>
    <w:rsid w:val="000D4309"/>
    <w:rsid w:val="001648FF"/>
    <w:rsid w:val="00167EDE"/>
    <w:rsid w:val="00180EB5"/>
    <w:rsid w:val="001F75AD"/>
    <w:rsid w:val="002121DC"/>
    <w:rsid w:val="0022353F"/>
    <w:rsid w:val="00291651"/>
    <w:rsid w:val="002A2F37"/>
    <w:rsid w:val="002A5494"/>
    <w:rsid w:val="002A7C2C"/>
    <w:rsid w:val="0038758F"/>
    <w:rsid w:val="00396116"/>
    <w:rsid w:val="003B09AC"/>
    <w:rsid w:val="00420C38"/>
    <w:rsid w:val="00452FE8"/>
    <w:rsid w:val="0046711C"/>
    <w:rsid w:val="004A38C5"/>
    <w:rsid w:val="004B785F"/>
    <w:rsid w:val="0051522B"/>
    <w:rsid w:val="00542D8B"/>
    <w:rsid w:val="005441FE"/>
    <w:rsid w:val="00564E7E"/>
    <w:rsid w:val="00585A45"/>
    <w:rsid w:val="00632A89"/>
    <w:rsid w:val="00635320"/>
    <w:rsid w:val="006559A4"/>
    <w:rsid w:val="006D720F"/>
    <w:rsid w:val="0074652B"/>
    <w:rsid w:val="00782D1C"/>
    <w:rsid w:val="007C4951"/>
    <w:rsid w:val="007F52E5"/>
    <w:rsid w:val="00816298"/>
    <w:rsid w:val="00830980"/>
    <w:rsid w:val="008504C0"/>
    <w:rsid w:val="00862E03"/>
    <w:rsid w:val="008A67F6"/>
    <w:rsid w:val="008B249A"/>
    <w:rsid w:val="008E317C"/>
    <w:rsid w:val="008F453C"/>
    <w:rsid w:val="00905EC3"/>
    <w:rsid w:val="00912940"/>
    <w:rsid w:val="009162A8"/>
    <w:rsid w:val="00933D9B"/>
    <w:rsid w:val="009453E4"/>
    <w:rsid w:val="00965B62"/>
    <w:rsid w:val="00967A34"/>
    <w:rsid w:val="009A3805"/>
    <w:rsid w:val="00A7145F"/>
    <w:rsid w:val="00AA5B6A"/>
    <w:rsid w:val="00AE6AF2"/>
    <w:rsid w:val="00B27E33"/>
    <w:rsid w:val="00B32957"/>
    <w:rsid w:val="00B417FA"/>
    <w:rsid w:val="00B46018"/>
    <w:rsid w:val="00BB131D"/>
    <w:rsid w:val="00BD2D0C"/>
    <w:rsid w:val="00BE0020"/>
    <w:rsid w:val="00BE3D5A"/>
    <w:rsid w:val="00C349F5"/>
    <w:rsid w:val="00C70E6B"/>
    <w:rsid w:val="00C82DB3"/>
    <w:rsid w:val="00CD5225"/>
    <w:rsid w:val="00CF6D40"/>
    <w:rsid w:val="00D23F87"/>
    <w:rsid w:val="00DE6F0E"/>
    <w:rsid w:val="00E27119"/>
    <w:rsid w:val="00E5240E"/>
    <w:rsid w:val="00E62F0C"/>
    <w:rsid w:val="00E82CF6"/>
    <w:rsid w:val="00E966AE"/>
    <w:rsid w:val="00EA7137"/>
    <w:rsid w:val="00EA7FE6"/>
    <w:rsid w:val="00EE0D7B"/>
    <w:rsid w:val="00F3071B"/>
    <w:rsid w:val="00F376CE"/>
    <w:rsid w:val="00F443D7"/>
    <w:rsid w:val="00FB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03128A-DC80-438E-88C1-08478988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F0E"/>
    <w:pPr>
      <w:jc w:val="both"/>
    </w:pPr>
    <w:rPr>
      <w:sz w:val="22"/>
      <w:szCs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al1"/>
    <w:link w:val="Nadpis1Char"/>
    <w:uiPriority w:val="9"/>
    <w:qFormat/>
    <w:rsid w:val="00782D1C"/>
    <w:pPr>
      <w:keepNext/>
      <w:keepLines/>
      <w:pageBreakBefore/>
      <w:numPr>
        <w:numId w:val="8"/>
      </w:numPr>
      <w:spacing w:before="240" w:line="259" w:lineRule="auto"/>
      <w:outlineLvl w:val="0"/>
    </w:pPr>
    <w:rPr>
      <w:rFonts w:eastAsia="Times New Roman"/>
      <w:b/>
      <w:caps/>
      <w:kern w:val="28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A67F6"/>
    <w:pPr>
      <w:keepNext/>
      <w:keepLines/>
      <w:numPr>
        <w:ilvl w:val="1"/>
        <w:numId w:val="8"/>
      </w:numPr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B249A"/>
    <w:pPr>
      <w:keepNext/>
      <w:keepLines/>
      <w:numPr>
        <w:ilvl w:val="2"/>
        <w:numId w:val="8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D2D0C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D2D0C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D2D0C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D2D0C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D2D0C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D2D0C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46711C"/>
    <w:pPr>
      <w:tabs>
        <w:tab w:val="center" w:pos="4153"/>
        <w:tab w:val="right" w:pos="8306"/>
      </w:tabs>
      <w:spacing w:before="120" w:after="120"/>
    </w:pPr>
    <w:rPr>
      <w:rFonts w:eastAsia="Times New Roman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6711C"/>
    <w:rPr>
      <w:rFonts w:eastAsia="Times New Roman"/>
      <w:sz w:val="22"/>
      <w:lang w:eastAsia="en-US"/>
    </w:rPr>
  </w:style>
  <w:style w:type="character" w:styleId="slostrnky">
    <w:name w:val="page number"/>
    <w:rsid w:val="0046711C"/>
  </w:style>
  <w:style w:type="paragraph" w:styleId="Zhlav">
    <w:name w:val="header"/>
    <w:basedOn w:val="Normln"/>
    <w:link w:val="ZhlavChar"/>
    <w:uiPriority w:val="99"/>
    <w:rsid w:val="0046711C"/>
    <w:pPr>
      <w:tabs>
        <w:tab w:val="center" w:pos="4153"/>
        <w:tab w:val="right" w:pos="8306"/>
      </w:tabs>
      <w:spacing w:before="120" w:after="120"/>
    </w:pPr>
    <w:rPr>
      <w:rFonts w:eastAsia="Times New Roman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46711C"/>
    <w:rPr>
      <w:rFonts w:eastAsia="Times New Roman"/>
      <w:sz w:val="22"/>
      <w:lang w:eastAsia="en-US"/>
    </w:rPr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basedOn w:val="Standardnpsmoodstavce"/>
    <w:link w:val="Nadpis1"/>
    <w:uiPriority w:val="9"/>
    <w:rsid w:val="00782D1C"/>
    <w:rPr>
      <w:rFonts w:eastAsia="Times New Roman"/>
      <w:b/>
      <w:caps/>
      <w:kern w:val="28"/>
      <w:sz w:val="24"/>
      <w:szCs w:val="24"/>
      <w:lang w:eastAsia="en-US"/>
    </w:rPr>
  </w:style>
  <w:style w:type="paragraph" w:customStyle="1" w:styleId="Normal1">
    <w:name w:val="Normal 1"/>
    <w:basedOn w:val="Normln"/>
    <w:link w:val="Normal1Char"/>
    <w:rsid w:val="00782D1C"/>
    <w:pPr>
      <w:spacing w:before="120" w:after="120"/>
      <w:ind w:left="880"/>
    </w:pPr>
    <w:rPr>
      <w:rFonts w:eastAsia="Times New Roman"/>
      <w:szCs w:val="20"/>
    </w:rPr>
  </w:style>
  <w:style w:type="character" w:customStyle="1" w:styleId="Normal1Char">
    <w:name w:val="Normal 1 Char"/>
    <w:link w:val="Normal1"/>
    <w:rsid w:val="00782D1C"/>
    <w:rPr>
      <w:rFonts w:eastAsia="Times New Roman"/>
      <w:sz w:val="22"/>
      <w:lang w:eastAsia="en-US"/>
    </w:rPr>
  </w:style>
  <w:style w:type="paragraph" w:styleId="Odstavecseseznamem">
    <w:name w:val="List Paragraph"/>
    <w:basedOn w:val="Normln"/>
    <w:link w:val="OdstavecseseznamemChar"/>
    <w:uiPriority w:val="1"/>
    <w:qFormat/>
    <w:rsid w:val="00782D1C"/>
    <w:pPr>
      <w:spacing w:before="120" w:after="120"/>
      <w:ind w:left="708"/>
    </w:pPr>
    <w:rPr>
      <w:rFonts w:eastAsia="Times New Roman"/>
      <w:szCs w:val="20"/>
    </w:rPr>
  </w:style>
  <w:style w:type="character" w:customStyle="1" w:styleId="OdstavecseseznamemChar">
    <w:name w:val="Odstavec se seznamem Char"/>
    <w:link w:val="Odstavecseseznamem"/>
    <w:uiPriority w:val="1"/>
    <w:rsid w:val="00E966AE"/>
    <w:rPr>
      <w:rFonts w:eastAsia="Times New Roman"/>
      <w:sz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A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AF2"/>
    <w:rPr>
      <w:rFonts w:ascii="Segoe UI" w:hAnsi="Segoe UI" w:cs="Segoe UI"/>
      <w:sz w:val="18"/>
      <w:szCs w:val="1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8A67F6"/>
    <w:rPr>
      <w:rFonts w:eastAsiaTheme="majorEastAsia" w:cstheme="majorBidi"/>
      <w:b/>
      <w:sz w:val="24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8B249A"/>
    <w:rPr>
      <w:rFonts w:eastAsiaTheme="majorEastAsia" w:cstheme="majorBidi"/>
      <w:b/>
      <w:sz w:val="22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D2D0C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D2D0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D2D0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D2D0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D2D0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D2D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E6F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E6F0E"/>
    <w:rPr>
      <w:i/>
      <w:iCs/>
      <w:color w:val="404040" w:themeColor="text1" w:themeTint="BF"/>
      <w:sz w:val="22"/>
      <w:szCs w:val="22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F52E5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2026</Words>
  <Characters>11960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Baťa Daniel</dc:creator>
  <cp:keywords/>
  <dc:description/>
  <cp:lastModifiedBy>Baťa Daniel</cp:lastModifiedBy>
  <cp:revision>2</cp:revision>
  <dcterms:created xsi:type="dcterms:W3CDTF">2018-05-07T08:47:00Z</dcterms:created>
  <dcterms:modified xsi:type="dcterms:W3CDTF">2018-05-07T08:47:00Z</dcterms:modified>
</cp:coreProperties>
</file>