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6DBD267A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E81945">
        <w:rPr>
          <w:rFonts w:cs="Arial"/>
          <w:b/>
          <w:sz w:val="28"/>
          <w:szCs w:val="28"/>
        </w:rPr>
        <w:t>„</w:t>
      </w:r>
      <w:r w:rsidR="00E81945" w:rsidRPr="00E81945">
        <w:rPr>
          <w:rFonts w:cs="Arial"/>
          <w:b/>
          <w:sz w:val="28"/>
          <w:szCs w:val="28"/>
        </w:rPr>
        <w:t>17-231 Projektová dokumentace</w:t>
      </w:r>
      <w:r w:rsidR="00E81945">
        <w:rPr>
          <w:rFonts w:cs="Arial"/>
          <w:b/>
          <w:sz w:val="28"/>
          <w:szCs w:val="28"/>
        </w:rPr>
        <w:t xml:space="preserve"> – Heřmanův Městec – rekonstrukce nádrže H230.02</w:t>
      </w:r>
      <w:r w:rsidRPr="00370995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310C3128" w14:textId="2C1774C6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947D4C">
        <w:t>,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4C81D77E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5A3934">
        <w:rPr>
          <w:rFonts w:cs="Arial"/>
          <w:spacing w:val="100"/>
          <w:szCs w:val="22"/>
        </w:rPr>
        <w:t>8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/>
      <w:sdtContent>
        <w:p w14:paraId="51CFB8F7" w14:textId="77777777" w:rsidR="001E71F6" w:rsidRPr="005D6CF3" w:rsidRDefault="009F7CBF" w:rsidP="003D6E98">
          <w:pPr>
            <w:pStyle w:val="Nadpisobsahu"/>
            <w:spacing w:line="240" w:lineRule="auto"/>
            <w:rPr>
              <w:color w:val="auto"/>
            </w:rPr>
          </w:pPr>
          <w:r w:rsidRPr="005D6CF3">
            <w:rPr>
              <w:rFonts w:ascii="Arial" w:hAnsi="Arial" w:cs="Arial"/>
              <w:color w:val="auto"/>
            </w:rPr>
            <w:t>Obsah</w:t>
          </w:r>
        </w:p>
        <w:p w14:paraId="7242898D" w14:textId="21D4BD74" w:rsidR="009C46DB" w:rsidRPr="009C46DB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r w:rsidRPr="005D6CF3">
            <w:rPr>
              <w:rFonts w:ascii="Arial" w:hAnsi="Arial" w:cs="Arial"/>
              <w:sz w:val="24"/>
            </w:rPr>
            <w:fldChar w:fldCharType="begin"/>
          </w:r>
          <w:r w:rsidR="00372B10" w:rsidRPr="005D6CF3">
            <w:rPr>
              <w:rFonts w:ascii="Arial" w:hAnsi="Arial" w:cs="Arial"/>
              <w:sz w:val="24"/>
            </w:rPr>
            <w:instrText xml:space="preserve"> TOC \o "1-1" \h \z \t "Nadpis 3;2" </w:instrText>
          </w:r>
          <w:r w:rsidRPr="005D6CF3">
            <w:rPr>
              <w:rFonts w:ascii="Arial" w:hAnsi="Arial" w:cs="Arial"/>
              <w:sz w:val="24"/>
            </w:rPr>
            <w:fldChar w:fldCharType="separate"/>
          </w:r>
          <w:hyperlink w:anchor="_Toc509493817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Vymezení předmětu veřejné zakázky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_Toc509493817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3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A3CAB3" w14:textId="0F87DC26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18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2.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Místo a doba plnění veřejné zakázky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_Toc509493818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3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A42533" w14:textId="522EE28C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19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3.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kvalifikační předpoklady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_Toc509493819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3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33C5DC" w14:textId="3EACCE07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0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4.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nabídkové ceny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_Toc509493820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5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3A4278" w14:textId="77F670F7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1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5.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Požadavky na zpracování nabídky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_Toc509493821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5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14BC40" w14:textId="17E501A1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2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6.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Vysvětlení zadávací dokumentace a komunikace se zadavatelem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_Toc509493822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6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86C81B" w14:textId="034C9B73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3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7.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Prohlídka místa plnění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_Toc509493823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6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B77A05" w14:textId="2F64480B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4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8.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Hodnotící kritéria pro zadání veřejné zakázky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_Toc509493824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7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D0CCDC" w14:textId="086145C5" w:rsidR="009C46DB" w:rsidRPr="009C46DB" w:rsidRDefault="00073E15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5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9.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podání nabídek a otevírání nabídek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_Toc509493825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8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4FF2DC" w14:textId="1CF79C00" w:rsidR="009C46DB" w:rsidRPr="009C46DB" w:rsidRDefault="00073E15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6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10.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Lhůta pro platnost nabídky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_Toc509493826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8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249AB7" w14:textId="4170A22A" w:rsidR="009C46DB" w:rsidRPr="009C46DB" w:rsidRDefault="00073E15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7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11.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Další podmínky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_Toc509493827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8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50528B" w14:textId="312FE0E0" w:rsidR="009C46DB" w:rsidRPr="009C46DB" w:rsidRDefault="00073E15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8" w:history="1"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12.</w:t>
            </w:r>
            <w:r w:rsidR="009C46DB" w:rsidRPr="009C46DB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lang w:eastAsia="cs-CZ" w:bidi="ar-SA"/>
              </w:rPr>
              <w:tab/>
            </w:r>
            <w:r w:rsidR="009C46DB" w:rsidRPr="009C46DB">
              <w:rPr>
                <w:rStyle w:val="Hypertextovodkaz"/>
                <w:rFonts w:ascii="Arial" w:eastAsia="Times New Roman" w:hAnsi="Arial" w:cs="Arial"/>
                <w:noProof/>
                <w:lang w:eastAsia="cs-CZ"/>
              </w:rPr>
              <w:t>Prohlášení zadavatele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_Toc509493828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9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7B8632" w14:textId="71CB7CB1" w:rsidR="009C46DB" w:rsidRPr="009C46DB" w:rsidRDefault="00073E15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lang w:eastAsia="cs-CZ" w:bidi="ar-SA"/>
            </w:rPr>
          </w:pPr>
          <w:hyperlink w:anchor="_Toc509493829" w:history="1">
            <w:r w:rsidR="009C46DB" w:rsidRPr="009C46DB">
              <w:rPr>
                <w:rStyle w:val="Hypertextovodkaz"/>
                <w:rFonts w:ascii="Arial" w:hAnsi="Arial" w:cs="Arial"/>
                <w:noProof/>
                <w:kern w:val="24"/>
              </w:rPr>
              <w:t>Přílohy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_Toc509493829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9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D814FD" w14:textId="6943A390" w:rsidR="009C46DB" w:rsidRPr="009C46DB" w:rsidRDefault="00073E1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9493830" w:history="1">
            <w:r w:rsidR="009C46DB" w:rsidRPr="009C46DB">
              <w:rPr>
                <w:rStyle w:val="Hypertextovodkaz"/>
                <w:rFonts w:ascii="Arial" w:hAnsi="Arial" w:cs="Arial"/>
                <w:noProof/>
              </w:rPr>
              <w:t>Příloha č. 1 – Smlouva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_Toc509493830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10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AA0C2C" w14:textId="4831DA1F" w:rsidR="009C46DB" w:rsidRPr="009C46DB" w:rsidRDefault="00073E1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9493831" w:history="1">
            <w:r w:rsidR="009C46DB" w:rsidRPr="009C46DB">
              <w:rPr>
                <w:rStyle w:val="Hypertextovodkaz"/>
                <w:rFonts w:ascii="Arial" w:hAnsi="Arial" w:cs="Arial"/>
                <w:noProof/>
              </w:rPr>
              <w:t>Příloha č. 2 – Krycí list nabídky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_Toc509493831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11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A1BACA" w14:textId="2B4530AA" w:rsidR="009C46DB" w:rsidRPr="009C46DB" w:rsidRDefault="00073E1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9493832" w:history="1">
            <w:r w:rsidR="009C46DB" w:rsidRPr="009C46DB">
              <w:rPr>
                <w:rStyle w:val="Hypertextovodkaz"/>
                <w:rFonts w:ascii="Arial" w:hAnsi="Arial" w:cs="Arial"/>
                <w:noProof/>
              </w:rPr>
              <w:t>Příloha č. 3A – Čestné prohlášení účastníka k nabídce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_Toc509493832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12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87CA2C" w14:textId="02BD9D72" w:rsidR="009C46DB" w:rsidRPr="009C46DB" w:rsidRDefault="00073E1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9493833" w:history="1">
            <w:r w:rsidR="009C46DB" w:rsidRPr="009C46DB">
              <w:rPr>
                <w:rStyle w:val="Hypertextovodkaz"/>
                <w:rFonts w:ascii="Arial" w:hAnsi="Arial" w:cs="Arial"/>
                <w:noProof/>
              </w:rPr>
              <w:t>Příloha č. 3B – Čestné prohlášení o splnění základní způsobilosti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_Toc509493833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13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63DE50" w14:textId="24D0A828" w:rsidR="009C46DB" w:rsidRPr="009C46DB" w:rsidRDefault="00073E15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lang w:eastAsia="cs-CZ" w:bidi="ar-SA"/>
            </w:rPr>
          </w:pPr>
          <w:hyperlink w:anchor="_Toc509493834" w:history="1">
            <w:r w:rsidR="009C46DB" w:rsidRPr="009C46DB">
              <w:rPr>
                <w:rStyle w:val="Hypertextovodkaz"/>
                <w:rFonts w:ascii="Arial" w:hAnsi="Arial" w:cs="Arial"/>
                <w:noProof/>
              </w:rPr>
              <w:t>Příloha č. 3C – Čestné prohlášení účastníka – další předpoklady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_Toc509493834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14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548537" w14:textId="0364AD4C" w:rsidR="009C46DB" w:rsidRDefault="00073E15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493835" w:history="1">
            <w:r w:rsidR="009C46DB" w:rsidRPr="009C46DB">
              <w:rPr>
                <w:rStyle w:val="Hypertextovodkaz"/>
                <w:rFonts w:ascii="Arial" w:hAnsi="Arial" w:cs="Arial"/>
                <w:noProof/>
              </w:rPr>
              <w:t>Příloha č. 3D – Čestné prohlášení – § 4b zákona č. 159/2006 Sb., o střetu zájmů</w:t>
            </w:r>
            <w:r w:rsidR="009C46DB" w:rsidRPr="009C46DB">
              <w:rPr>
                <w:rFonts w:ascii="Arial" w:hAnsi="Arial" w:cs="Arial"/>
                <w:noProof/>
                <w:webHidden/>
              </w:rPr>
              <w:tab/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begin"/>
            </w:r>
            <w:r w:rsidR="009C46DB" w:rsidRPr="009C46DB">
              <w:rPr>
                <w:rFonts w:ascii="Arial" w:hAnsi="Arial" w:cs="Arial"/>
                <w:noProof/>
                <w:webHidden/>
              </w:rPr>
              <w:instrText xml:space="preserve"> PAGEREF _Toc509493835 \h </w:instrText>
            </w:r>
            <w:r w:rsidR="009C46DB" w:rsidRPr="009C46DB">
              <w:rPr>
                <w:rFonts w:ascii="Arial" w:hAnsi="Arial" w:cs="Arial"/>
                <w:noProof/>
                <w:webHidden/>
              </w:rPr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D36FC">
              <w:rPr>
                <w:rFonts w:ascii="Arial" w:hAnsi="Arial" w:cs="Arial"/>
                <w:noProof/>
                <w:webHidden/>
              </w:rPr>
              <w:t>15</w:t>
            </w:r>
            <w:r w:rsidR="009C46DB" w:rsidRPr="009C46D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50F982" w14:textId="3A26817E" w:rsidR="00CA2BFC" w:rsidRPr="005D6CF3" w:rsidRDefault="00A3334B" w:rsidP="003D6E98">
          <w:pPr>
            <w:tabs>
              <w:tab w:val="left" w:pos="426"/>
            </w:tabs>
            <w:rPr>
              <w:rFonts w:cs="Arial"/>
              <w:noProof/>
            </w:rPr>
          </w:pPr>
          <w:r w:rsidRPr="005D6CF3">
            <w:rPr>
              <w:rFonts w:cs="Arial"/>
              <w:sz w:val="24"/>
              <w:szCs w:val="20"/>
            </w:rPr>
            <w:fldChar w:fldCharType="end"/>
          </w:r>
          <w:r w:rsidRPr="005D6CF3">
            <w:rPr>
              <w:rFonts w:cs="Arial"/>
              <w:sz w:val="24"/>
            </w:rPr>
            <w:fldChar w:fldCharType="begin"/>
          </w:r>
          <w:r w:rsidR="00CA2BFC" w:rsidRPr="005D6CF3">
            <w:rPr>
              <w:rFonts w:cs="Arial"/>
              <w:sz w:val="24"/>
            </w:rPr>
            <w:instrText xml:space="preserve"> TOC \t "Nadpis 3;1" </w:instrText>
          </w:r>
          <w:r w:rsidRPr="005D6CF3">
            <w:rPr>
              <w:rFonts w:cs="Arial"/>
              <w:sz w:val="24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5D6CF3">
            <w:rPr>
              <w:rFonts w:cs="Arial"/>
              <w:sz w:val="24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br w:type="page"/>
      </w:r>
    </w:p>
    <w:p w14:paraId="31BA60B3" w14:textId="77777777" w:rsidR="00F4031A" w:rsidRPr="00DB2351" w:rsidRDefault="00F4031A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509493817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1D02189A" w14:textId="07265152" w:rsidR="00DA1829" w:rsidRDefault="00AD30BA" w:rsidP="00080672">
      <w:pPr>
        <w:pStyle w:val="Zkladntext"/>
        <w:spacing w:before="120"/>
        <w:ind w:left="426"/>
      </w:pPr>
      <w:r>
        <w:t xml:space="preserve">Účelem veřejné zakázky </w:t>
      </w:r>
      <w:r w:rsidR="006E4F69" w:rsidRPr="00AD30BA">
        <w:t>je</w:t>
      </w:r>
      <w:r>
        <w:t xml:space="preserve"> poskytnutí služeb </w:t>
      </w:r>
      <w:r w:rsidR="00903189" w:rsidRPr="00AD30BA">
        <w:t xml:space="preserve">spočívajících </w:t>
      </w:r>
      <w:r w:rsidRPr="00AD30BA">
        <w:t>v</w:t>
      </w:r>
      <w:r>
        <w:t xml:space="preserve">e </w:t>
      </w:r>
      <w:r w:rsidRPr="00AD30BA">
        <w:rPr>
          <w:szCs w:val="22"/>
        </w:rPr>
        <w:t xml:space="preserve">zpracování projektové dokumentace </w:t>
      </w:r>
      <w:r>
        <w:rPr>
          <w:szCs w:val="22"/>
        </w:rPr>
        <w:t xml:space="preserve">pro realizaci rekonstrukce nádrže ve středisku SSHR Heřmanův Městec </w:t>
      </w:r>
      <w:r w:rsidR="00DA1829" w:rsidRPr="00AD30BA">
        <w:rPr>
          <w:rFonts w:cs="Arial"/>
          <w:szCs w:val="22"/>
          <w:lang w:eastAsia="en-US"/>
        </w:rPr>
        <w:t>pro účely a k zajištění zákonné působnosti zada</w:t>
      </w:r>
      <w:r w:rsidR="007D24C3" w:rsidRPr="00AD30BA">
        <w:rPr>
          <w:rFonts w:cs="Arial"/>
          <w:szCs w:val="22"/>
          <w:lang w:eastAsia="en-US"/>
        </w:rPr>
        <w:t>vatele</w:t>
      </w:r>
      <w:r w:rsidR="007D24C3">
        <w:rPr>
          <w:rFonts w:cs="Arial"/>
          <w:szCs w:val="22"/>
          <w:lang w:eastAsia="en-US"/>
        </w:rPr>
        <w:t xml:space="preserve"> vyplývající ze zákona č. </w:t>
      </w:r>
      <w:r w:rsidR="00DA1829">
        <w:rPr>
          <w:rFonts w:cs="Arial"/>
          <w:szCs w:val="22"/>
          <w:lang w:eastAsia="en-US"/>
        </w:rPr>
        <w:t>97/1993</w:t>
      </w:r>
      <w:r w:rsidR="005314FE">
        <w:rPr>
          <w:rFonts w:cs="Arial"/>
          <w:szCs w:val="22"/>
          <w:lang w:eastAsia="en-US"/>
        </w:rPr>
        <w:t xml:space="preserve"> </w:t>
      </w:r>
      <w:r w:rsidR="00DA1829">
        <w:rPr>
          <w:rFonts w:cs="Arial"/>
          <w:szCs w:val="22"/>
          <w:lang w:eastAsia="en-US"/>
        </w:rPr>
        <w:t xml:space="preserve">Sb., o působnosti Správy státních hmotných rezerv </w:t>
      </w:r>
      <w:r w:rsidR="00DA1829">
        <w:t>(dále též „Správa“ nebo „zadavatel“)</w:t>
      </w:r>
      <w:r w:rsidR="00DA1829">
        <w:rPr>
          <w:rFonts w:cs="Arial"/>
          <w:szCs w:val="22"/>
          <w:lang w:eastAsia="en-US"/>
        </w:rPr>
        <w:t>, ve znění pozdějších předpisů</w:t>
      </w:r>
      <w:r w:rsidR="00DA1829" w:rsidRPr="006F5AB7">
        <w:t>.</w:t>
      </w:r>
    </w:p>
    <w:p w14:paraId="74769D8A" w14:textId="77777777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8"/>
    </w:p>
    <w:p w14:paraId="2F4EA7D9" w14:textId="5359504B" w:rsidR="002B56CB" w:rsidRDefault="00DC2113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Předmětem veřejné zakázky </w:t>
      </w:r>
      <w:r w:rsidRPr="00DC2113">
        <w:rPr>
          <w:b w:val="0"/>
          <w:sz w:val="22"/>
          <w:szCs w:val="22"/>
        </w:rPr>
        <w:t>je</w:t>
      </w:r>
      <w:r w:rsidR="00903189" w:rsidRPr="00DC2113">
        <w:rPr>
          <w:b w:val="0"/>
          <w:sz w:val="22"/>
          <w:szCs w:val="22"/>
        </w:rPr>
        <w:t xml:space="preserve"> poskytnut</w:t>
      </w:r>
      <w:r w:rsidRPr="00DC2113">
        <w:rPr>
          <w:b w:val="0"/>
          <w:sz w:val="22"/>
          <w:szCs w:val="22"/>
        </w:rPr>
        <w:t>í služeb spočívajících v</w:t>
      </w:r>
      <w:r w:rsidR="00B005D1">
        <w:rPr>
          <w:b w:val="0"/>
          <w:sz w:val="22"/>
          <w:szCs w:val="22"/>
        </w:rPr>
        <w:t>:</w:t>
      </w:r>
    </w:p>
    <w:p w14:paraId="4749973E" w14:textId="240A1C90" w:rsidR="002B56CB" w:rsidRDefault="009C46DB" w:rsidP="002B56CB">
      <w:pPr>
        <w:pStyle w:val="Nadpis2"/>
        <w:keepNext w:val="0"/>
        <w:numPr>
          <w:ilvl w:val="0"/>
          <w:numId w:val="39"/>
        </w:numPr>
        <w:spacing w:before="12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2B56CB">
        <w:rPr>
          <w:b w:val="0"/>
          <w:sz w:val="22"/>
          <w:szCs w:val="22"/>
        </w:rPr>
        <w:t>odrobn</w:t>
      </w:r>
      <w:r>
        <w:rPr>
          <w:b w:val="0"/>
          <w:sz w:val="22"/>
          <w:szCs w:val="22"/>
        </w:rPr>
        <w:t>é</w:t>
      </w:r>
      <w:r w:rsidR="002B56CB">
        <w:rPr>
          <w:b w:val="0"/>
          <w:sz w:val="22"/>
          <w:szCs w:val="22"/>
        </w:rPr>
        <w:t xml:space="preserve"> prohlíd</w:t>
      </w:r>
      <w:r>
        <w:rPr>
          <w:b w:val="0"/>
          <w:sz w:val="22"/>
          <w:szCs w:val="22"/>
        </w:rPr>
        <w:t>ce</w:t>
      </w:r>
      <w:r w:rsidR="002B56CB">
        <w:rPr>
          <w:b w:val="0"/>
          <w:sz w:val="22"/>
          <w:szCs w:val="22"/>
        </w:rPr>
        <w:t xml:space="preserve"> místa plnění,</w:t>
      </w:r>
    </w:p>
    <w:p w14:paraId="0D1662C2" w14:textId="1E1802CD" w:rsidR="002B56CB" w:rsidRDefault="002B56CB" w:rsidP="002B56CB">
      <w:pPr>
        <w:pStyle w:val="Nadpis2"/>
        <w:keepNext w:val="0"/>
        <w:numPr>
          <w:ilvl w:val="0"/>
          <w:numId w:val="39"/>
        </w:numPr>
        <w:spacing w:before="12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vypracování návrhu řešení rekonstrukce technologie skladu,</w:t>
      </w:r>
    </w:p>
    <w:p w14:paraId="2E38568B" w14:textId="3E09307E" w:rsidR="002B56CB" w:rsidRDefault="002B56CB" w:rsidP="002B56CB">
      <w:pPr>
        <w:pStyle w:val="Nadpis2"/>
        <w:keepNext w:val="0"/>
        <w:numPr>
          <w:ilvl w:val="0"/>
          <w:numId w:val="39"/>
        </w:numPr>
        <w:spacing w:before="12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vypracování projektové dokumentace pro vydání stavebního povolení (po schválení výše uvedeného návrhu řešení objednatelem) a podání žádosti o vydání stavebního povolení,</w:t>
      </w:r>
    </w:p>
    <w:p w14:paraId="01961570" w14:textId="5363C229" w:rsidR="002B56CB" w:rsidRDefault="002B56CB" w:rsidP="002B56CB">
      <w:pPr>
        <w:pStyle w:val="Zkladntext"/>
        <w:numPr>
          <w:ilvl w:val="0"/>
          <w:numId w:val="39"/>
        </w:numPr>
      </w:pPr>
      <w:r>
        <w:t>provedení inženýrské činnosti a zajištění pravomocného stavebního povolení potřebného pro provedení stavby,</w:t>
      </w:r>
    </w:p>
    <w:p w14:paraId="351C80C0" w14:textId="609D9398" w:rsidR="002B56CB" w:rsidRPr="002B56CB" w:rsidRDefault="002B56CB" w:rsidP="002B56CB">
      <w:pPr>
        <w:pStyle w:val="Zkladntext"/>
        <w:numPr>
          <w:ilvl w:val="0"/>
          <w:numId w:val="39"/>
        </w:numPr>
      </w:pPr>
      <w:r>
        <w:t>vypracování projektové dokumentace pro provádění stavby s rozpočtem a výkazem výměr a následný autorský</w:t>
      </w:r>
      <w:r w:rsidR="001B5F87">
        <w:t xml:space="preserve"> dozor při realizaci stavby, který bude řešen samostatně na základě nové smlouvy</w:t>
      </w:r>
      <w:r w:rsidR="009C46DB">
        <w:t>,</w:t>
      </w:r>
      <w:r>
        <w:t xml:space="preserve"> </w:t>
      </w:r>
    </w:p>
    <w:p w14:paraId="0586AFEC" w14:textId="6D173425" w:rsidR="000C31A2" w:rsidRPr="001803D6" w:rsidRDefault="00903189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DC2113">
        <w:rPr>
          <w:b w:val="0"/>
          <w:sz w:val="22"/>
          <w:szCs w:val="22"/>
        </w:rPr>
        <w:t>dle rozsahu a čet</w:t>
      </w:r>
      <w:r w:rsidR="00441D62" w:rsidRPr="00DC2113">
        <w:rPr>
          <w:b w:val="0"/>
          <w:sz w:val="22"/>
          <w:szCs w:val="22"/>
        </w:rPr>
        <w:t>n</w:t>
      </w:r>
      <w:r w:rsidRPr="00DC2113">
        <w:rPr>
          <w:b w:val="0"/>
          <w:sz w:val="22"/>
          <w:szCs w:val="22"/>
        </w:rPr>
        <w:t>osti uvedené v </w:t>
      </w:r>
      <w:hyperlink w:anchor="_Příloha_č._1" w:history="1">
        <w:r w:rsidRPr="00DC2113">
          <w:rPr>
            <w:rStyle w:val="Hypertextovodkaz"/>
            <w:b w:val="0"/>
            <w:sz w:val="22"/>
            <w:szCs w:val="22"/>
          </w:rPr>
          <w:t xml:space="preserve">Příloze č. </w:t>
        </w:r>
        <w:r w:rsidR="00D66C36" w:rsidRPr="00DC2113">
          <w:rPr>
            <w:rStyle w:val="Hypertextovodkaz"/>
            <w:b w:val="0"/>
            <w:sz w:val="22"/>
            <w:szCs w:val="22"/>
          </w:rPr>
          <w:t>1</w:t>
        </w:r>
      </w:hyperlink>
      <w:r w:rsidR="00242C62" w:rsidRPr="00DC2113">
        <w:rPr>
          <w:b w:val="0"/>
          <w:sz w:val="22"/>
          <w:szCs w:val="22"/>
        </w:rPr>
        <w:t>, která je</w:t>
      </w:r>
      <w:r w:rsidR="00242C62" w:rsidRPr="001803D6">
        <w:rPr>
          <w:b w:val="0"/>
          <w:sz w:val="22"/>
          <w:szCs w:val="22"/>
        </w:rPr>
        <w:t xml:space="preserve"> nedílnou součástí této </w:t>
      </w:r>
      <w:r w:rsidR="006F5AB7" w:rsidRPr="001803D6">
        <w:rPr>
          <w:b w:val="0"/>
          <w:sz w:val="22"/>
          <w:szCs w:val="22"/>
        </w:rPr>
        <w:t xml:space="preserve">zadávací dokumentace (dále též </w:t>
      </w:r>
      <w:r w:rsidR="000D2373">
        <w:rPr>
          <w:b w:val="0"/>
          <w:sz w:val="22"/>
          <w:szCs w:val="22"/>
        </w:rPr>
        <w:t>„</w:t>
      </w:r>
      <w:r w:rsidR="006F5AB7" w:rsidRPr="001803D6">
        <w:rPr>
          <w:b w:val="0"/>
          <w:sz w:val="22"/>
          <w:szCs w:val="22"/>
        </w:rPr>
        <w:t>ZD</w:t>
      </w:r>
      <w:r w:rsidR="000D2373">
        <w:rPr>
          <w:b w:val="0"/>
          <w:sz w:val="22"/>
          <w:szCs w:val="22"/>
        </w:rPr>
        <w:t>“</w:t>
      </w:r>
      <w:r w:rsidR="006F5AB7" w:rsidRPr="001803D6">
        <w:rPr>
          <w:b w:val="0"/>
          <w:sz w:val="22"/>
          <w:szCs w:val="22"/>
        </w:rPr>
        <w:t>)</w:t>
      </w:r>
      <w:r w:rsidR="00A54F0E" w:rsidRPr="001803D6">
        <w:rPr>
          <w:b w:val="0"/>
          <w:sz w:val="22"/>
          <w:szCs w:val="22"/>
        </w:rPr>
        <w:t>.</w:t>
      </w:r>
    </w:p>
    <w:p w14:paraId="1B179CB8" w14:textId="77777777" w:rsidR="002B5C78" w:rsidRPr="00FC03F8" w:rsidRDefault="002B5C78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73E40A38" w14:textId="62EBFF09" w:rsidR="00344A95" w:rsidRDefault="00E81945" w:rsidP="00E81945">
      <w:pPr>
        <w:spacing w:before="120"/>
        <w:ind w:left="426"/>
        <w:jc w:val="both"/>
        <w:rPr>
          <w:rStyle w:val="detail"/>
        </w:rPr>
      </w:pPr>
      <w:r w:rsidRPr="00E81945">
        <w:rPr>
          <w:rStyle w:val="detail"/>
        </w:rPr>
        <w:t>71320000-7 Technické projektování</w:t>
      </w:r>
    </w:p>
    <w:p w14:paraId="12A3E8D8" w14:textId="77777777" w:rsidR="00601F61" w:rsidRPr="00E81945" w:rsidRDefault="00601F61" w:rsidP="00E81945">
      <w:pPr>
        <w:spacing w:before="120"/>
        <w:ind w:left="426"/>
        <w:jc w:val="both"/>
        <w:rPr>
          <w:rStyle w:val="detail"/>
        </w:rPr>
      </w:pPr>
    </w:p>
    <w:p w14:paraId="6CA04C73" w14:textId="77777777" w:rsidR="005855C1" w:rsidRPr="00F4031A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509493818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A1D7C1" w14:textId="3F4F9595" w:rsidR="00F4031A" w:rsidRPr="00C577A5" w:rsidRDefault="009E2EA7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Místo plnění veřejné zakázky</w:t>
      </w:r>
    </w:p>
    <w:p w14:paraId="47DEEA3E" w14:textId="2EB01503" w:rsidR="00903189" w:rsidRDefault="002F30E3" w:rsidP="00903189">
      <w:pPr>
        <w:pStyle w:val="Zkladntext"/>
        <w:spacing w:before="120"/>
        <w:ind w:left="425"/>
      </w:pPr>
      <w:r w:rsidRPr="00FC3CB8">
        <w:t xml:space="preserve">Místem plnění </w:t>
      </w:r>
      <w:r w:rsidR="001803D6">
        <w:t xml:space="preserve">předmětu </w:t>
      </w:r>
      <w:r w:rsidRPr="00FC3CB8">
        <w:t>veřejné zak</w:t>
      </w:r>
      <w:r w:rsidR="001803D6">
        <w:t xml:space="preserve">ázky </w:t>
      </w:r>
      <w:bookmarkStart w:id="28" w:name="_Toc301782365"/>
      <w:r w:rsidR="00E81945" w:rsidRPr="00DC2113">
        <w:t>je</w:t>
      </w:r>
    </w:p>
    <w:p w14:paraId="4DCD3247" w14:textId="16DBBE21" w:rsidR="00903189" w:rsidRDefault="00E12156" w:rsidP="00903189">
      <w:pPr>
        <w:pStyle w:val="Zkladntext"/>
        <w:spacing w:before="120"/>
        <w:ind w:left="425"/>
      </w:pPr>
      <w:r>
        <w:t xml:space="preserve">Středisko </w:t>
      </w:r>
      <w:r w:rsidR="00F04776">
        <w:t xml:space="preserve">Správy </w:t>
      </w:r>
      <w:r>
        <w:t>Heřmanův Městec, 538 03 Heřmanův Městec</w:t>
      </w:r>
    </w:p>
    <w:p w14:paraId="540E9AE5" w14:textId="7E3E0E54" w:rsidR="003C79B3" w:rsidRPr="00C577A5" w:rsidRDefault="003C79B3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</w:t>
      </w:r>
      <w:bookmarkEnd w:id="24"/>
      <w:bookmarkEnd w:id="25"/>
      <w:bookmarkEnd w:id="26"/>
      <w:bookmarkEnd w:id="27"/>
      <w:bookmarkEnd w:id="28"/>
      <w:r w:rsidR="007674F0">
        <w:rPr>
          <w:b/>
          <w:szCs w:val="22"/>
        </w:rPr>
        <w:t>y</w:t>
      </w:r>
    </w:p>
    <w:p w14:paraId="4F591982" w14:textId="2E29B3F0" w:rsidR="00BE6624" w:rsidRDefault="00DD7991" w:rsidP="00D70D39">
      <w:pPr>
        <w:pStyle w:val="nadsazen"/>
        <w:keepLines w:val="0"/>
        <w:spacing w:before="120"/>
        <w:ind w:left="425" w:firstLine="0"/>
      </w:pPr>
      <w:r w:rsidRPr="00FC3CB8">
        <w:t xml:space="preserve">Doba plnění veřejné zakázky </w:t>
      </w:r>
      <w:bookmarkStart w:id="29" w:name="_Toc301782366"/>
      <w:r w:rsidR="00E069B3" w:rsidRPr="00E069B3">
        <w:t>(</w:t>
      </w:r>
      <w:r w:rsidR="003F45CC">
        <w:t xml:space="preserve">v </w:t>
      </w:r>
      <w:r w:rsidR="00E069B3" w:rsidRPr="00E069B3">
        <w:t>kalendářních dnech</w:t>
      </w:r>
      <w:r w:rsidR="00DC2113" w:rsidRPr="00E069B3">
        <w:t>)</w:t>
      </w:r>
      <w:r w:rsidR="00DC2113">
        <w:t xml:space="preserve"> </w:t>
      </w:r>
      <w:r w:rsidR="00E81945">
        <w:t>je jedním z hodnotících kritérií veřejné zakázky</w:t>
      </w:r>
      <w:r w:rsidR="007A54D0">
        <w:t xml:space="preserve">, maximálně však </w:t>
      </w:r>
      <w:r w:rsidR="007A54D0" w:rsidRPr="0001350E">
        <w:rPr>
          <w:b/>
        </w:rPr>
        <w:t xml:space="preserve">do </w:t>
      </w:r>
      <w:r w:rsidR="0001350E" w:rsidRPr="0001350E">
        <w:rPr>
          <w:b/>
        </w:rPr>
        <w:t>240</w:t>
      </w:r>
      <w:r w:rsidR="0001350E">
        <w:rPr>
          <w:b/>
        </w:rPr>
        <w:t xml:space="preserve"> kalendářních dnů </w:t>
      </w:r>
      <w:r w:rsidR="0001350E" w:rsidRPr="0001350E">
        <w:t>od nabytí platnosti smlouvy.</w:t>
      </w:r>
    </w:p>
    <w:p w14:paraId="283473A8" w14:textId="77777777" w:rsidR="00FC03F8" w:rsidRPr="00FC3CB8" w:rsidRDefault="00FC03F8" w:rsidP="00D70D39">
      <w:pPr>
        <w:pStyle w:val="nadsazen"/>
        <w:keepLines w:val="0"/>
        <w:spacing w:before="120"/>
        <w:ind w:left="425" w:firstLine="0"/>
      </w:pPr>
    </w:p>
    <w:p w14:paraId="7F45CF4A" w14:textId="77777777" w:rsidR="00AC4A23" w:rsidRPr="002E65A5" w:rsidRDefault="002E65A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509493819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2"/>
      <w:bookmarkEnd w:id="33"/>
      <w:r w:rsidR="00662099" w:rsidRPr="00C577A5">
        <w:rPr>
          <w:b/>
          <w:szCs w:val="22"/>
        </w:rPr>
        <w:t>způsobilost</w:t>
      </w:r>
    </w:p>
    <w:p w14:paraId="703BAFF5" w14:textId="77777777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lastRenderedPageBreak/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1DBC80A9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3A097E1" w14:textId="49EF3C4A" w:rsidR="00937146" w:rsidRPr="003327FE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</w:t>
      </w:r>
      <w:r w:rsidRPr="003327FE">
        <w:rPr>
          <w:rFonts w:ascii="Arial" w:hAnsi="Arial" w:cs="Arial"/>
          <w:sz w:val="22"/>
          <w:szCs w:val="22"/>
        </w:rPr>
        <w:t>oprávnění</w:t>
      </w:r>
      <w:r w:rsidR="007F4BBD" w:rsidRPr="003327FE">
        <w:rPr>
          <w:rFonts w:ascii="Arial" w:hAnsi="Arial" w:cs="Arial"/>
          <w:sz w:val="22"/>
          <w:szCs w:val="22"/>
        </w:rPr>
        <w:t xml:space="preserve"> </w:t>
      </w:r>
      <w:r w:rsidR="003327FE" w:rsidRPr="003327FE">
        <w:rPr>
          <w:rFonts w:ascii="Arial" w:hAnsi="Arial" w:cs="Arial"/>
          <w:sz w:val="22"/>
          <w:szCs w:val="22"/>
        </w:rPr>
        <w:t>„Projektová činnost ve výstavbě“.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Technická kvalifikace</w:t>
      </w:r>
    </w:p>
    <w:p w14:paraId="3D56C716" w14:textId="1A2BE8EA" w:rsidR="00662099" w:rsidRDefault="00314BE1" w:rsidP="00080672">
      <w:pPr>
        <w:pStyle w:val="Odstavecseseznamem"/>
        <w:spacing w:before="120"/>
        <w:ind w:left="426"/>
        <w:contextualSpacing w:val="0"/>
      </w:pPr>
      <w:r>
        <w:t>Technickou</w:t>
      </w:r>
      <w:r w:rsidR="00662099">
        <w:t xml:space="preserve"> kvalifikaci</w:t>
      </w:r>
      <w:r w:rsidR="00662099" w:rsidRPr="00FC3CB8">
        <w:t xml:space="preserve"> dokládá </w:t>
      </w:r>
      <w:r w:rsidR="002F34FB">
        <w:t>účastník</w:t>
      </w:r>
      <w:r w:rsidR="00C05727">
        <w:t xml:space="preserve"> předložením:</w:t>
      </w:r>
    </w:p>
    <w:p w14:paraId="4520643E" w14:textId="3078BE38" w:rsidR="00662099" w:rsidRPr="004B4250" w:rsidRDefault="00C05727" w:rsidP="00137517">
      <w:pPr>
        <w:pStyle w:val="Odstavecseseznamem"/>
        <w:numPr>
          <w:ilvl w:val="0"/>
          <w:numId w:val="12"/>
        </w:numPr>
        <w:spacing w:before="120"/>
        <w:contextualSpacing w:val="0"/>
        <w:jc w:val="both"/>
      </w:pPr>
      <w:r w:rsidRPr="004B4250">
        <w:t>Seznamu významných</w:t>
      </w:r>
      <w:r w:rsidR="00662099" w:rsidRPr="004B4250">
        <w:t xml:space="preserve"> služeb</w:t>
      </w:r>
      <w:r w:rsidR="00E9694A" w:rsidRPr="004B4250">
        <w:t xml:space="preserve"> stejného nebo obdobného charakteru jako je předmět této VZ</w:t>
      </w:r>
      <w:r w:rsidR="00662099" w:rsidRPr="004B4250">
        <w:t xml:space="preserve"> </w:t>
      </w:r>
      <w:r w:rsidR="004B4250" w:rsidRPr="000F3269">
        <w:rPr>
          <w:i/>
        </w:rPr>
        <w:t>(projektování zařízení pro skladování a distribuci ropných produktů</w:t>
      </w:r>
      <w:r w:rsidR="00E9694A" w:rsidRPr="000F3269">
        <w:rPr>
          <w:i/>
        </w:rPr>
        <w:t>)</w:t>
      </w:r>
      <w:r w:rsidR="00E9694A" w:rsidRPr="004B4250">
        <w:t xml:space="preserve"> </w:t>
      </w:r>
      <w:r w:rsidR="00137517" w:rsidRPr="004B4250">
        <w:t>posky</w:t>
      </w:r>
      <w:r w:rsidR="008B655A" w:rsidRPr="004B4250">
        <w:t xml:space="preserve">tnutých účastníkem za </w:t>
      </w:r>
      <w:r w:rsidR="0001350E" w:rsidRPr="0001350E">
        <w:rPr>
          <w:b/>
        </w:rPr>
        <w:t>poslední 3 roky</w:t>
      </w:r>
      <w:r w:rsidR="00137517" w:rsidRPr="004B4250">
        <w:t xml:space="preserve"> před zahájením výběrového řízení včetně uvedení ceny a doby jejich poskytnutí </w:t>
      </w:r>
      <w:r w:rsidR="008B655A" w:rsidRPr="004B4250">
        <w:t xml:space="preserve">(plnění) </w:t>
      </w:r>
      <w:r w:rsidR="00137517" w:rsidRPr="004B4250">
        <w:t>a identifikace objednatele včetně uvedení kontaktní osoby objednatele.</w:t>
      </w:r>
    </w:p>
    <w:p w14:paraId="40C8C99A" w14:textId="0497B371" w:rsidR="00663170" w:rsidRPr="004B4250" w:rsidRDefault="00C05727" w:rsidP="00C05727">
      <w:pPr>
        <w:pStyle w:val="Odstavecseseznamem"/>
        <w:numPr>
          <w:ilvl w:val="0"/>
          <w:numId w:val="12"/>
        </w:numPr>
        <w:spacing w:before="120"/>
        <w:ind w:left="567" w:firstLine="142"/>
        <w:contextualSpacing w:val="0"/>
      </w:pPr>
      <w:r w:rsidRPr="004B4250">
        <w:t xml:space="preserve">    Autorizační osvědčení v oboru technologická zařízení staveb</w:t>
      </w:r>
      <w:r w:rsidR="00F04776">
        <w:t>.</w:t>
      </w:r>
    </w:p>
    <w:p w14:paraId="5CB60319" w14:textId="77777777" w:rsidR="00AB6CD5" w:rsidRPr="00C577A5" w:rsidRDefault="00AB6CD5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6"/>
      <w:bookmarkEnd w:id="37"/>
    </w:p>
    <w:p w14:paraId="4DA1AEDF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7DE31EB3" w14:textId="21FB04BB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0D1DA860" w14:textId="32E43B94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4718FC">
        <w:rPr>
          <w:rFonts w:cs="Arial"/>
        </w:rPr>
        <w:t>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31B8F22A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4895FC38" w14:textId="076D978B" w:rsidR="004166B2" w:rsidRDefault="004166B2" w:rsidP="004166B2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Ostatní požadavky zadavatele</w:t>
      </w:r>
    </w:p>
    <w:p w14:paraId="61374EEB" w14:textId="2683FE89" w:rsidR="004166B2" w:rsidRDefault="004166B2" w:rsidP="004166B2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B65BE2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 xml:space="preserve">. Zadavatel upozorňuje, že po vybraném dodavateli (pokud je právnickou osobou) </w:t>
      </w:r>
      <w:r w:rsidR="00167124">
        <w:t>může</w:t>
      </w:r>
      <w:r>
        <w:t xml:space="preserve"> před podpisem smlouvy požadovat předložení dokladů k prokázání skutečností dle tohoto čestného prohlášení. Těmito doklady mohou být např.:</w:t>
      </w:r>
    </w:p>
    <w:p w14:paraId="21DB7C58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7C3DEFD1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6F261970" w14:textId="77777777" w:rsidR="004166B2" w:rsidRDefault="004166B2" w:rsidP="004166B2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23AAC8E9" w14:textId="77777777" w:rsidR="004166B2" w:rsidRPr="00FC3CB8" w:rsidRDefault="004166B2" w:rsidP="004166B2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4B3A9B40" w14:textId="03D243A8" w:rsidR="000D57EC" w:rsidRDefault="002F34FB" w:rsidP="00D70D39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 xml:space="preserve">Doklady prokazující profesní způsobilost musí prokazovat splnění požadovaného kritéria způsobilosti nejpozději v době 3 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lastRenderedPageBreak/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2262BC6B" w14:textId="77777777" w:rsidR="00C577A5" w:rsidRPr="00FC3CB8" w:rsidRDefault="00C577A5" w:rsidP="00D70D39">
      <w:pPr>
        <w:spacing w:before="120"/>
        <w:ind w:left="426"/>
        <w:jc w:val="both"/>
      </w:pPr>
    </w:p>
    <w:p w14:paraId="40E32A5D" w14:textId="77777777" w:rsidR="002A5F35" w:rsidRPr="007D24C3" w:rsidRDefault="002A5F3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509493820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65DD154A" w14:textId="53A4FFB7" w:rsidR="00725909" w:rsidRPr="00080672" w:rsidRDefault="002A5F35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>, cla, poplatky a ostatní další výdaje a náklady spojené s realizací veřejné zakázky, včetně veškerých nákladů na dopravu d</w:t>
      </w:r>
      <w:r w:rsidR="009E2EA7">
        <w:rPr>
          <w:szCs w:val="22"/>
        </w:rPr>
        <w:t>o místa plnění veřejné zakázky.</w:t>
      </w:r>
    </w:p>
    <w:p w14:paraId="272FF41D" w14:textId="77777777" w:rsidR="009F135C" w:rsidRPr="009F135C" w:rsidRDefault="002A5F35" w:rsidP="009F135C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>, a to ve struktuře uvedené 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smlouvy.</w:t>
      </w:r>
      <w:r w:rsidR="009F135C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5FD32965" w14:textId="77777777" w:rsidR="002A5F35" w:rsidRPr="007D24C3" w:rsidRDefault="00663170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42E7E008" w14:textId="77777777" w:rsidR="00C577A5" w:rsidRDefault="00C577A5" w:rsidP="009332ED">
      <w:pPr>
        <w:tabs>
          <w:tab w:val="left" w:pos="426"/>
        </w:tabs>
        <w:spacing w:before="120"/>
      </w:pPr>
    </w:p>
    <w:p w14:paraId="548A72AA" w14:textId="77777777" w:rsidR="00C41BE3" w:rsidRPr="007D24C3" w:rsidRDefault="00F74D8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2" w:name="_Toc382814519"/>
      <w:bookmarkStart w:id="43" w:name="_Toc509493821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nabídky</w:t>
      </w:r>
      <w:bookmarkEnd w:id="42"/>
      <w:bookmarkEnd w:id="43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3BD0535A" w14:textId="05034279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21A65C8" w14:textId="644077A6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="002C37F9">
        <w:rPr>
          <w:kern w:val="22"/>
        </w:rPr>
        <w:t>1 - 3.3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  <w:r w:rsidRPr="00FC3CB8">
        <w:t xml:space="preserve"> </w:t>
      </w:r>
    </w:p>
    <w:p w14:paraId="08C76652" w14:textId="4659B3FB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0B3413">
        <w:rPr>
          <w:szCs w:val="22"/>
        </w:rPr>
        <w:t>,</w:t>
      </w:r>
      <w:r w:rsidRPr="00D14C39">
        <w:rPr>
          <w:szCs w:val="22"/>
        </w:rPr>
        <w:t xml:space="preserve">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="000B3413">
        <w:rPr>
          <w:rStyle w:val="Hypertextovodkaz"/>
          <w:szCs w:val="22"/>
        </w:rPr>
        <w:t xml:space="preserve"> a Přílohy 3D</w:t>
      </w:r>
      <w:r w:rsidRPr="00D14C39">
        <w:rPr>
          <w:b/>
          <w:szCs w:val="22"/>
        </w:rPr>
        <w:t xml:space="preserve"> </w:t>
      </w:r>
      <w:r w:rsidRPr="00D14C39">
        <w:rPr>
          <w:szCs w:val="22"/>
        </w:rPr>
        <w:t>této ZD;</w:t>
      </w:r>
    </w:p>
    <w:p w14:paraId="09BF8B71" w14:textId="48E69E75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 </w:t>
      </w:r>
      <w:r w:rsidR="00054E1E">
        <w:t xml:space="preserve"> </w:t>
      </w:r>
      <w:r w:rsidR="00054E1E" w:rsidRPr="00E47974">
        <w:rPr>
          <w:b/>
          <w:color w:val="FF0000"/>
        </w:rPr>
        <w:t>červeně</w:t>
      </w:r>
      <w:r w:rsidR="00040353" w:rsidRPr="00E47974">
        <w:rPr>
          <w:b/>
          <w:color w:val="FF0000"/>
        </w:rPr>
        <w:t>.</w:t>
      </w:r>
      <w:r w:rsidR="00040353" w:rsidRPr="00054E1E">
        <w:t xml:space="preserve"> </w:t>
      </w:r>
      <w:r w:rsidR="00040353">
        <w:t>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</w:p>
    <w:p w14:paraId="21306700" w14:textId="073488B6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>kační údaje všech případných pod</w:t>
      </w:r>
      <w:r w:rsidRPr="00C60B44">
        <w:rPr>
          <w:rFonts w:cs="Arial"/>
          <w:szCs w:val="22"/>
        </w:rPr>
        <w:t xml:space="preserve">dodavatelů včetně výčtu činností (oblasti plnění), které bude </w:t>
      </w:r>
      <w:r w:rsidR="00B94240">
        <w:rPr>
          <w:rFonts w:cs="Arial"/>
          <w:szCs w:val="22"/>
        </w:rPr>
        <w:t>pod</w:t>
      </w:r>
      <w:r w:rsidRPr="00C60B44">
        <w:rPr>
          <w:rFonts w:cs="Arial"/>
          <w:szCs w:val="22"/>
        </w:rPr>
        <w:t xml:space="preserve">dodavatel vykonávat pro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.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  <w:r w:rsidRPr="00C60B44">
        <w:rPr>
          <w:rFonts w:cs="Arial"/>
          <w:szCs w:val="22"/>
        </w:rPr>
        <w:t xml:space="preserve"> </w:t>
      </w:r>
    </w:p>
    <w:p w14:paraId="58EC3A93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798FEF7E" w14:textId="2EA5ACA6" w:rsidR="00F27738" w:rsidRPr="006334B6" w:rsidRDefault="00054E1E" w:rsidP="00D70D39">
      <w:pPr>
        <w:spacing w:before="120"/>
        <w:ind w:left="851"/>
        <w:jc w:val="both"/>
        <w:rPr>
          <w:szCs w:val="22"/>
        </w:rPr>
      </w:pPr>
      <w:r w:rsidRPr="005D76B8">
        <w:rPr>
          <w:rFonts w:cs="Arial"/>
          <w:b/>
          <w:szCs w:val="22"/>
        </w:rPr>
        <w:t>Zadavatel upozorňuje, že ustanovení návrh</w:t>
      </w:r>
      <w:r>
        <w:rPr>
          <w:rFonts w:cs="Arial"/>
          <w:b/>
          <w:szCs w:val="22"/>
        </w:rPr>
        <w:t>u smlouvy</w:t>
      </w:r>
      <w:r w:rsidRPr="005D76B8">
        <w:rPr>
          <w:rFonts w:cs="Arial"/>
          <w:b/>
          <w:szCs w:val="22"/>
        </w:rPr>
        <w:t xml:space="preserve"> j</w:t>
      </w:r>
      <w:r>
        <w:rPr>
          <w:rFonts w:cs="Arial"/>
          <w:b/>
          <w:szCs w:val="22"/>
        </w:rPr>
        <w:t>e</w:t>
      </w:r>
      <w:r w:rsidRPr="005D76B8">
        <w:rPr>
          <w:rFonts w:cs="Arial"/>
          <w:b/>
          <w:szCs w:val="22"/>
        </w:rPr>
        <w:t xml:space="preserve"> uzamčen</w:t>
      </w:r>
      <w:r>
        <w:rPr>
          <w:rFonts w:cs="Arial"/>
          <w:b/>
          <w:szCs w:val="22"/>
        </w:rPr>
        <w:t>é</w:t>
      </w:r>
      <w:r w:rsidRPr="005D76B8">
        <w:rPr>
          <w:rFonts w:cs="Arial"/>
          <w:b/>
          <w:szCs w:val="22"/>
        </w:rPr>
        <w:t>, nelze v</w:t>
      </w:r>
      <w:r>
        <w:rPr>
          <w:rFonts w:cs="Arial"/>
          <w:b/>
          <w:szCs w:val="22"/>
        </w:rPr>
        <w:t> </w:t>
      </w:r>
      <w:r w:rsidRPr="005D76B8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 xml:space="preserve">ěm </w:t>
      </w:r>
      <w:r w:rsidRPr="005D76B8">
        <w:rPr>
          <w:rFonts w:cs="Arial"/>
          <w:b/>
          <w:szCs w:val="22"/>
        </w:rPr>
        <w:t>provádět žádné změny. Účastník má právo vyplnit v návrhu smlouvy pouze odemčen</w:t>
      </w:r>
      <w:r>
        <w:rPr>
          <w:rFonts w:cs="Arial"/>
          <w:b/>
          <w:szCs w:val="22"/>
        </w:rPr>
        <w:t>á</w:t>
      </w:r>
      <w:r w:rsidRPr="005D76B8">
        <w:rPr>
          <w:rFonts w:cs="Arial"/>
          <w:b/>
          <w:szCs w:val="22"/>
        </w:rPr>
        <w:t xml:space="preserve"> pole označená </w:t>
      </w:r>
      <w:r w:rsidRPr="00E47974">
        <w:rPr>
          <w:rFonts w:cs="Arial"/>
          <w:b/>
          <w:color w:val="FF0000"/>
          <w:szCs w:val="22"/>
        </w:rPr>
        <w:t>červeně</w:t>
      </w:r>
      <w:r w:rsidRPr="00E4797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50D46"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F27738" w:rsidRPr="006334B6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>výběrovém řízení</w:t>
      </w:r>
      <w:r w:rsidR="00F27738" w:rsidRPr="006334B6">
        <w:rPr>
          <w:rFonts w:cs="Arial"/>
          <w:szCs w:val="22"/>
        </w:rPr>
        <w:t>.</w:t>
      </w:r>
    </w:p>
    <w:p w14:paraId="35F0A005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550DC5DD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0C6C9C29" w14:textId="77777777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jen jednu nabídku</w:t>
      </w:r>
      <w:r w:rsidR="000E6D82" w:rsidRPr="00310AC5">
        <w:t>;</w:t>
      </w:r>
    </w:p>
    <w:p w14:paraId="3DAF8173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lastRenderedPageBreak/>
        <w:t>Zadavatel vylu</w:t>
      </w:r>
      <w:r w:rsidR="000E6D82">
        <w:t>čuje možnost variantních řešení</w:t>
      </w:r>
      <w:r w:rsidR="000E6D82" w:rsidRPr="00310AC5">
        <w:t>;</w:t>
      </w:r>
    </w:p>
    <w:p w14:paraId="1105E73B" w14:textId="1169A6C3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B11CFB" w:rsidRPr="004C1E2E">
        <w:t xml:space="preserve"> </w:t>
      </w:r>
      <w:r w:rsidR="00B11CFB">
        <w:t>řízení</w:t>
      </w:r>
      <w:r w:rsidR="00B11CFB" w:rsidRPr="00310AC5">
        <w:t>;</w:t>
      </w:r>
    </w:p>
    <w:p w14:paraId="6AACE3AF" w14:textId="0110267F" w:rsidR="007568B1" w:rsidRPr="00446481" w:rsidRDefault="00446481" w:rsidP="00446481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</w:t>
      </w:r>
      <w:r>
        <w:t>účastníka</w:t>
      </w:r>
      <w:r w:rsidRPr="00B11CFB">
        <w:t xml:space="preserve"> bude </w:t>
      </w:r>
      <w:r w:rsidRPr="00913C27">
        <w:t>podána v elektronické podobě prostřednictvím elektronického tržiště Gemin a vyplněním příslušných údajů do nabídkového formuláře tohoto tržiště;</w:t>
      </w:r>
    </w:p>
    <w:p w14:paraId="37B1D18C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3BC0C9DE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E0D139A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bookmarkStart w:id="44" w:name="_Toc415146490"/>
      <w:bookmarkStart w:id="45" w:name="_Toc432671842"/>
      <w:r w:rsidRPr="00EF5033">
        <w:rPr>
          <w:b/>
          <w:szCs w:val="22"/>
        </w:rPr>
        <w:t>Nabídka nevyhovující požadavkům</w:t>
      </w:r>
      <w:bookmarkEnd w:id="44"/>
      <w:bookmarkEnd w:id="45"/>
    </w:p>
    <w:p w14:paraId="06B5DF81" w14:textId="47161452" w:rsidR="00DA1829" w:rsidRDefault="007B70F1" w:rsidP="006775C7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6" w:name="_Požadavky_na_Zpracování"/>
      <w:bookmarkStart w:id="47" w:name="_Toc301782368"/>
      <w:bookmarkEnd w:id="29"/>
      <w:bookmarkEnd w:id="46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</w:t>
      </w:r>
      <w:r w:rsidR="004718FC">
        <w:rPr>
          <w:rFonts w:cs="Arial"/>
          <w:szCs w:val="22"/>
        </w:rPr>
        <w:t>může být</w:t>
      </w:r>
      <w:r w:rsidRPr="007B70F1">
        <w:rPr>
          <w:rFonts w:cs="Arial"/>
          <w:szCs w:val="22"/>
        </w:rPr>
        <w:t xml:space="preserve">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písemné vysvětlení (doplnění) nabídky.</w:t>
      </w:r>
    </w:p>
    <w:p w14:paraId="0A4C025A" w14:textId="77777777" w:rsidR="0074753F" w:rsidRPr="003E729B" w:rsidRDefault="0074753F" w:rsidP="003E729B">
      <w:pPr>
        <w:rPr>
          <w:kern w:val="22"/>
        </w:rPr>
      </w:pPr>
    </w:p>
    <w:p w14:paraId="2102E9CC" w14:textId="77777777" w:rsidR="009D56E5" w:rsidRPr="007D24C3" w:rsidRDefault="000E4434" w:rsidP="002B56CB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8" w:name="_Toc509493822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8"/>
    </w:p>
    <w:p w14:paraId="07D00C4E" w14:textId="0DC6411B" w:rsidR="009D56E5" w:rsidRPr="00446481" w:rsidRDefault="00446481" w:rsidP="00446481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Pr="00F62C18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 xml:space="preserve">musí být zadavateli doručena nejpozději </w:t>
      </w:r>
      <w:r w:rsidRPr="00BF6855">
        <w:rPr>
          <w:b/>
          <w:szCs w:val="22"/>
        </w:rPr>
        <w:t>4 pracovní dny</w:t>
      </w:r>
      <w:r w:rsidRPr="00082FF8">
        <w:rPr>
          <w:szCs w:val="22"/>
        </w:rPr>
        <w:t xml:space="preserve"> před termínem pro podání nabídek, a to </w:t>
      </w:r>
      <w:r w:rsidRPr="00F6340E">
        <w:rPr>
          <w:szCs w:val="22"/>
        </w:rPr>
        <w:t xml:space="preserve">výlučně prostřednictvím elektronického tržiště Gemin </w:t>
      </w:r>
      <w:hyperlink r:id="rId12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>. Vysvětlení zadávací dokumentace zadavatel poskytne všem dodavatelům rovněž prostřednictvím e-tržiště Gemin</w:t>
      </w:r>
      <w:r>
        <w:rPr>
          <w:rFonts w:cs="Arial"/>
          <w:szCs w:val="22"/>
        </w:rPr>
        <w:t>.</w:t>
      </w:r>
    </w:p>
    <w:p w14:paraId="0353D16D" w14:textId="77777777" w:rsidR="00446481" w:rsidRDefault="00446481" w:rsidP="00446481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F6340E">
        <w:rPr>
          <w:szCs w:val="22"/>
        </w:rPr>
        <w:t xml:space="preserve">Na případné požadavky zadavatele vůči účastníkům v průběhu hodnocení nabídek odpovídají účastníci výhradně prostřednictvím elektronického tržiště Gemin </w:t>
      </w:r>
      <w:hyperlink r:id="rId13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 xml:space="preserve">, a to ve složce </w:t>
      </w:r>
      <w:r w:rsidRPr="00F6340E">
        <w:rPr>
          <w:b/>
          <w:szCs w:val="22"/>
        </w:rPr>
        <w:t>„Ad-hoc procesy – Interní komunikace“.</w:t>
      </w:r>
      <w:r w:rsidRPr="00F6340E">
        <w:rPr>
          <w:szCs w:val="22"/>
        </w:rPr>
        <w:t xml:space="preserve"> </w:t>
      </w:r>
      <w:r w:rsidRPr="00F6340E">
        <w:rPr>
          <w:b/>
          <w:szCs w:val="22"/>
        </w:rPr>
        <w:t>Odpovědi umístěné do jiných složek budou hodnoceny jako nesplnění požadavku zadavatele</w:t>
      </w:r>
      <w:r w:rsidRPr="00E51E58">
        <w:rPr>
          <w:szCs w:val="22"/>
        </w:rPr>
        <w:t>.</w:t>
      </w:r>
    </w:p>
    <w:p w14:paraId="49C23EF9" w14:textId="77777777" w:rsidR="00C84C4B" w:rsidRPr="00C84C4B" w:rsidRDefault="00C84C4B" w:rsidP="00C84C4B">
      <w:pPr>
        <w:spacing w:before="120"/>
        <w:jc w:val="both"/>
        <w:rPr>
          <w:szCs w:val="22"/>
        </w:rPr>
      </w:pPr>
    </w:p>
    <w:p w14:paraId="1A1A255D" w14:textId="6D175BD9" w:rsidR="00625521" w:rsidRPr="002B56CB" w:rsidRDefault="00992F26" w:rsidP="002B56CB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9" w:name="_Toc509493823"/>
      <w:r w:rsidRPr="002B56CB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Prohlídka místa plnění</w:t>
      </w:r>
      <w:bookmarkEnd w:id="49"/>
    </w:p>
    <w:p w14:paraId="5374D3F7" w14:textId="22745A12" w:rsidR="00F21D36" w:rsidRPr="00D0596E" w:rsidRDefault="00F21D36" w:rsidP="00992F26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Zadavatel umožní prohlídku místa plnění </w:t>
      </w:r>
      <w:r w:rsidRPr="00513D84">
        <w:rPr>
          <w:szCs w:val="22"/>
        </w:rPr>
        <w:t>ve</w:t>
      </w:r>
      <w:r w:rsidR="00082FF8" w:rsidRPr="00513D84">
        <w:rPr>
          <w:szCs w:val="22"/>
        </w:rPr>
        <w:t xml:space="preserve"> </w:t>
      </w:r>
      <w:r w:rsidR="00513D84" w:rsidRPr="00513D84">
        <w:rPr>
          <w:szCs w:val="22"/>
        </w:rPr>
        <w:t xml:space="preserve">středisku Heřmanův Městec. </w:t>
      </w:r>
      <w:r w:rsidRPr="00513D84">
        <w:rPr>
          <w:szCs w:val="22"/>
        </w:rPr>
        <w:t>Prohlídka</w:t>
      </w:r>
      <w:r w:rsidRPr="00F548F9">
        <w:rPr>
          <w:szCs w:val="22"/>
        </w:rPr>
        <w:t xml:space="preserve"> proběhne </w:t>
      </w:r>
      <w:r w:rsidRPr="00D0596E">
        <w:rPr>
          <w:szCs w:val="22"/>
        </w:rPr>
        <w:t>dne </w:t>
      </w:r>
      <w:r w:rsidR="00D0596E" w:rsidRPr="00D0596E">
        <w:rPr>
          <w:szCs w:val="22"/>
        </w:rPr>
        <w:t>2. 5</w:t>
      </w:r>
      <w:r w:rsidRPr="00D0596E">
        <w:rPr>
          <w:szCs w:val="22"/>
        </w:rPr>
        <w:t>. 201</w:t>
      </w:r>
      <w:r w:rsidR="00F640EF" w:rsidRPr="00D0596E">
        <w:rPr>
          <w:szCs w:val="22"/>
        </w:rPr>
        <w:t>8</w:t>
      </w:r>
      <w:r w:rsidRPr="00D0596E">
        <w:rPr>
          <w:szCs w:val="22"/>
        </w:rPr>
        <w:t xml:space="preserve"> od </w:t>
      </w:r>
      <w:r w:rsidR="00D0596E" w:rsidRPr="00D0596E">
        <w:rPr>
          <w:szCs w:val="22"/>
        </w:rPr>
        <w:t>11:00</w:t>
      </w:r>
      <w:r w:rsidR="00C725FD" w:rsidRPr="00D0596E">
        <w:rPr>
          <w:szCs w:val="22"/>
        </w:rPr>
        <w:t xml:space="preserve"> hod</w:t>
      </w:r>
      <w:r w:rsidRPr="00D0596E">
        <w:rPr>
          <w:szCs w:val="22"/>
        </w:rPr>
        <w:t>.</w:t>
      </w:r>
    </w:p>
    <w:p w14:paraId="1AE3491C" w14:textId="67D2BEB2" w:rsidR="00184BA5" w:rsidRPr="00B42B2F" w:rsidRDefault="008A53BC" w:rsidP="00184BA5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B42B2F">
        <w:rPr>
          <w:szCs w:val="22"/>
        </w:rPr>
        <w:t xml:space="preserve">Zadavatel požaduje, aby účastník zaslal písemnou přihlášku </w:t>
      </w:r>
      <w:r w:rsidR="00E3409D">
        <w:rPr>
          <w:szCs w:val="22"/>
        </w:rPr>
        <w:t xml:space="preserve">na prohlídku místa plnění </w:t>
      </w:r>
      <w:r w:rsidRPr="00B42B2F">
        <w:rPr>
          <w:szCs w:val="22"/>
        </w:rPr>
        <w:t xml:space="preserve">na  </w:t>
      </w:r>
      <w:r w:rsidR="00E3409D">
        <w:rPr>
          <w:szCs w:val="22"/>
        </w:rPr>
        <w:br/>
      </w:r>
      <w:r w:rsidRPr="00B42B2F">
        <w:rPr>
          <w:szCs w:val="22"/>
        </w:rPr>
        <w:t xml:space="preserve">e-mail: </w:t>
      </w:r>
      <w:hyperlink r:id="rId14" w:history="1">
        <w:r w:rsidRPr="00312389">
          <w:rPr>
            <w:color w:val="0000FF"/>
            <w:u w:val="single"/>
          </w:rPr>
          <w:t>zakazky@sshr.cz</w:t>
        </w:r>
      </w:hyperlink>
      <w:r w:rsidRPr="00B42B2F">
        <w:rPr>
          <w:szCs w:val="22"/>
        </w:rPr>
        <w:t xml:space="preserve"> nejpozději </w:t>
      </w:r>
      <w:r w:rsidRPr="00733F54">
        <w:rPr>
          <w:b/>
          <w:szCs w:val="22"/>
        </w:rPr>
        <w:t>2 pracovní dny před termínem prohlídky místa plnění.</w:t>
      </w:r>
      <w:r w:rsidRPr="00B42B2F">
        <w:rPr>
          <w:szCs w:val="22"/>
        </w:rPr>
        <w:t xml:space="preserve"> </w:t>
      </w:r>
      <w:r w:rsidR="00184BA5">
        <w:rPr>
          <w:szCs w:val="22"/>
        </w:rPr>
        <w:t>Součástí přihlášky musí být identifikace veřejné zakázky, k níž se požadovaná prohlídka místa plnění vztahuje a</w:t>
      </w:r>
      <w:r w:rsidR="00DA1D8A">
        <w:rPr>
          <w:szCs w:val="22"/>
        </w:rPr>
        <w:t> </w:t>
      </w:r>
      <w:r w:rsidR="00184BA5">
        <w:rPr>
          <w:szCs w:val="22"/>
        </w:rPr>
        <w:t>kontaktní e-mailová adresa, na kterou z</w:t>
      </w:r>
      <w:r w:rsidR="00184BA5" w:rsidRPr="00B42B2F">
        <w:rPr>
          <w:szCs w:val="22"/>
        </w:rPr>
        <w:t xml:space="preserve">adavatel zašle zástupci dodavatele konkrétní adresu prohlídky místa plnění nejpozději jeden </w:t>
      </w:r>
      <w:r w:rsidR="00184BA5">
        <w:rPr>
          <w:szCs w:val="22"/>
        </w:rPr>
        <w:t xml:space="preserve">pracovní </w:t>
      </w:r>
      <w:r w:rsidR="00184BA5" w:rsidRPr="00B42B2F">
        <w:rPr>
          <w:szCs w:val="22"/>
        </w:rPr>
        <w:t>den před prohlídkou místa plnění.</w:t>
      </w:r>
    </w:p>
    <w:p w14:paraId="187C77BB" w14:textId="0394B5D6" w:rsidR="009E2EA7" w:rsidRDefault="00F21D36" w:rsidP="009E2EA7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s místem plnění. Při prohlídce místa plnění mohou zástupci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9E2EA7">
        <w:rPr>
          <w:szCs w:val="22"/>
        </w:rPr>
        <w:t>er.</w:t>
      </w:r>
    </w:p>
    <w:p w14:paraId="7B107881" w14:textId="77777777" w:rsidR="009E2EA7" w:rsidRPr="009E2EA7" w:rsidRDefault="009E2EA7" w:rsidP="009E2EA7">
      <w:pPr>
        <w:spacing w:before="120"/>
        <w:jc w:val="both"/>
        <w:rPr>
          <w:szCs w:val="22"/>
        </w:rPr>
      </w:pPr>
    </w:p>
    <w:p w14:paraId="14D3E5C6" w14:textId="77777777" w:rsidR="004A7B01" w:rsidRPr="007D24C3" w:rsidRDefault="004A7B0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0" w:name="_Toc509493824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Hodnotící kritéria pro zadání veřejné zakázky</w:t>
      </w:r>
      <w:bookmarkEnd w:id="50"/>
    </w:p>
    <w:p w14:paraId="20229667" w14:textId="2AA14962" w:rsidR="004A7B01" w:rsidRPr="00DC2113" w:rsidRDefault="00D51AB9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>H</w:t>
      </w:r>
      <w:r w:rsidR="004A7B01" w:rsidRPr="00082FF8">
        <w:rPr>
          <w:szCs w:val="22"/>
        </w:rPr>
        <w:t xml:space="preserve">odnotícím kritériem pro zadání veřejné zakázky je </w:t>
      </w:r>
      <w:r w:rsidR="00674150" w:rsidRPr="00082FF8">
        <w:rPr>
          <w:szCs w:val="22"/>
        </w:rPr>
        <w:t xml:space="preserve">ekonomická výhodnost nabídek, která bude hodnocena na </w:t>
      </w:r>
      <w:r w:rsidR="00674150" w:rsidRPr="00DC2113">
        <w:rPr>
          <w:szCs w:val="22"/>
        </w:rPr>
        <w:t>základě</w:t>
      </w:r>
      <w:r w:rsidR="00DC2113" w:rsidRPr="00DC2113">
        <w:rPr>
          <w:szCs w:val="22"/>
        </w:rPr>
        <w:t>:</w:t>
      </w:r>
    </w:p>
    <w:p w14:paraId="69F0AD1B" w14:textId="77777777" w:rsidR="00674150" w:rsidRPr="00DC2113" w:rsidRDefault="00674150" w:rsidP="00992F26">
      <w:pPr>
        <w:pStyle w:val="Odstavecseseznamem"/>
        <w:numPr>
          <w:ilvl w:val="0"/>
          <w:numId w:val="13"/>
        </w:numPr>
        <w:spacing w:before="120"/>
        <w:contextualSpacing w:val="0"/>
        <w:jc w:val="both"/>
      </w:pPr>
      <w:r w:rsidRPr="00DC2113">
        <w:rPr>
          <w:lang w:eastAsia="cs-CZ" w:bidi="ar-SA"/>
        </w:rPr>
        <w:t>nejvýhodnějšího poměru nabídkové ceny a kvality, který bude hodnocen dle následujících kritérií:</w:t>
      </w:r>
    </w:p>
    <w:p w14:paraId="512DCDC8" w14:textId="0A1ECBEF" w:rsidR="00674150" w:rsidRPr="002B56CB" w:rsidRDefault="00F04776" w:rsidP="00674150">
      <w:pPr>
        <w:pStyle w:val="Odstavecseseznamem"/>
        <w:spacing w:before="120"/>
        <w:ind w:left="1146"/>
        <w:contextualSpacing w:val="0"/>
        <w:jc w:val="both"/>
        <w:rPr>
          <w:b/>
          <w:lang w:eastAsia="cs-CZ" w:bidi="ar-SA"/>
        </w:rPr>
      </w:pPr>
      <w:r w:rsidRPr="002B56CB">
        <w:rPr>
          <w:b/>
          <w:lang w:eastAsia="cs-CZ" w:bidi="ar-SA"/>
        </w:rPr>
        <w:t xml:space="preserve">- </w:t>
      </w:r>
      <w:r w:rsidR="00446481" w:rsidRPr="002B56CB">
        <w:rPr>
          <w:b/>
          <w:lang w:eastAsia="cs-CZ" w:bidi="ar-SA"/>
        </w:rPr>
        <w:t xml:space="preserve">celková </w:t>
      </w:r>
      <w:r w:rsidR="00DC2113" w:rsidRPr="002B56CB">
        <w:rPr>
          <w:b/>
          <w:lang w:eastAsia="cs-CZ" w:bidi="ar-SA"/>
        </w:rPr>
        <w:t>nabídková cena</w:t>
      </w:r>
      <w:r w:rsidR="009D35D0">
        <w:rPr>
          <w:b/>
          <w:lang w:eastAsia="cs-CZ" w:bidi="ar-SA"/>
        </w:rPr>
        <w:t xml:space="preserve"> veřejné zakázky</w:t>
      </w:r>
      <w:r w:rsidR="00446481" w:rsidRPr="002B56CB">
        <w:rPr>
          <w:b/>
          <w:lang w:eastAsia="cs-CZ" w:bidi="ar-SA"/>
        </w:rPr>
        <w:t xml:space="preserve"> v Kč bez DPH - váha </w:t>
      </w:r>
      <w:r w:rsidR="00DC2113" w:rsidRPr="002B56CB">
        <w:rPr>
          <w:b/>
          <w:lang w:eastAsia="cs-CZ" w:bidi="ar-SA"/>
        </w:rPr>
        <w:t>85%</w:t>
      </w:r>
    </w:p>
    <w:p w14:paraId="524DC066" w14:textId="75B87395" w:rsidR="00DC2113" w:rsidRPr="002B56CB" w:rsidRDefault="009760ED" w:rsidP="00674150">
      <w:pPr>
        <w:pStyle w:val="Odstavecseseznamem"/>
        <w:spacing w:before="120"/>
        <w:ind w:left="1146"/>
        <w:contextualSpacing w:val="0"/>
        <w:jc w:val="both"/>
        <w:rPr>
          <w:b/>
        </w:rPr>
      </w:pPr>
      <w:r>
        <w:rPr>
          <w:b/>
          <w:lang w:eastAsia="cs-CZ" w:bidi="ar-SA"/>
        </w:rPr>
        <w:t xml:space="preserve">- </w:t>
      </w:r>
      <w:r w:rsidR="00DC2113" w:rsidRPr="002B56CB">
        <w:rPr>
          <w:b/>
          <w:lang w:eastAsia="cs-CZ" w:bidi="ar-SA"/>
        </w:rPr>
        <w:t>doba plnění veřejné zakázky</w:t>
      </w:r>
      <w:r w:rsidR="00446481" w:rsidRPr="002B56CB">
        <w:rPr>
          <w:b/>
          <w:lang w:eastAsia="cs-CZ" w:bidi="ar-SA"/>
        </w:rPr>
        <w:t xml:space="preserve"> v </w:t>
      </w:r>
      <w:r w:rsidR="009D35D0">
        <w:rPr>
          <w:b/>
          <w:lang w:eastAsia="cs-CZ" w:bidi="ar-SA"/>
        </w:rPr>
        <w:t>kalendářních dnech</w:t>
      </w:r>
      <w:r w:rsidR="009D35D0" w:rsidRPr="002B56CB">
        <w:rPr>
          <w:b/>
          <w:lang w:eastAsia="cs-CZ" w:bidi="ar-SA"/>
        </w:rPr>
        <w:t xml:space="preserve"> </w:t>
      </w:r>
      <w:r w:rsidR="00446481" w:rsidRPr="002B56CB">
        <w:rPr>
          <w:b/>
          <w:lang w:eastAsia="cs-CZ" w:bidi="ar-SA"/>
        </w:rPr>
        <w:t>- váha</w:t>
      </w:r>
      <w:r w:rsidR="00DC2113" w:rsidRPr="002B56CB">
        <w:rPr>
          <w:b/>
          <w:lang w:eastAsia="cs-CZ" w:bidi="ar-SA"/>
        </w:rPr>
        <w:t xml:space="preserve"> 15%</w:t>
      </w:r>
    </w:p>
    <w:p w14:paraId="71B6963B" w14:textId="07BD018D" w:rsidR="00446481" w:rsidRPr="000333F2" w:rsidRDefault="000333F2" w:rsidP="000333F2">
      <w:pPr>
        <w:pStyle w:val="Zkladntext3"/>
        <w:keepNext/>
        <w:keepLines/>
        <w:suppressAutoHyphens w:val="0"/>
        <w:spacing w:before="240"/>
        <w:jc w:val="both"/>
        <w:rPr>
          <w:rFonts w:cs="Arial"/>
          <w:b/>
          <w:sz w:val="22"/>
          <w:szCs w:val="22"/>
          <w:lang w:val="x-none"/>
        </w:rPr>
      </w:pPr>
      <w:r>
        <w:rPr>
          <w:szCs w:val="22"/>
        </w:rPr>
        <w:tab/>
      </w:r>
      <w:r>
        <w:rPr>
          <w:sz w:val="22"/>
          <w:szCs w:val="22"/>
        </w:rPr>
        <w:t xml:space="preserve"> </w:t>
      </w:r>
      <w:r w:rsidRPr="000333F2">
        <w:rPr>
          <w:b/>
          <w:sz w:val="22"/>
          <w:szCs w:val="22"/>
        </w:rPr>
        <w:t>Způsob hodnocení kritéria:</w:t>
      </w:r>
    </w:p>
    <w:p w14:paraId="04AE3BDD" w14:textId="77777777" w:rsidR="00446481" w:rsidRPr="00446481" w:rsidRDefault="00446481" w:rsidP="00446481">
      <w:pPr>
        <w:keepNext/>
        <w:keepLines/>
        <w:suppressAutoHyphens w:val="0"/>
        <w:spacing w:after="120"/>
        <w:jc w:val="both"/>
        <w:rPr>
          <w:rFonts w:eastAsia="Times New Roman" w:cs="Arial"/>
          <w:kern w:val="0"/>
          <w:szCs w:val="22"/>
          <w:lang w:eastAsia="cs-CZ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2165"/>
      </w:tblGrid>
      <w:tr w:rsidR="00446481" w:rsidRPr="00446481" w14:paraId="598FE3EC" w14:textId="77777777" w:rsidTr="00081FA6">
        <w:trPr>
          <w:trHeight w:val="567"/>
          <w:jc w:val="center"/>
        </w:trPr>
        <w:tc>
          <w:tcPr>
            <w:tcW w:w="4072" w:type="dxa"/>
            <w:vAlign w:val="center"/>
          </w:tcPr>
          <w:p w14:paraId="2B3B4C74" w14:textId="4036FFD5" w:rsidR="00446481" w:rsidRPr="00446481" w:rsidRDefault="009D35D0" w:rsidP="009D35D0">
            <w:pPr>
              <w:keepNext/>
              <w:keepLines/>
              <w:suppressAutoHyphens w:val="0"/>
              <w:spacing w:before="80" w:after="80" w:line="100" w:lineRule="atLeast"/>
              <w:ind w:left="176"/>
              <w:jc w:val="both"/>
              <w:rPr>
                <w:rFonts w:eastAsia="Times New Roman" w:cs="Times New Roman"/>
                <w:b/>
                <w:kern w:val="0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cs-CZ" w:bidi="ar-SA"/>
              </w:rPr>
              <w:t>Celková n</w:t>
            </w:r>
            <w:r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 xml:space="preserve">abídková </w:t>
            </w:r>
            <w:r w:rsidR="00446481"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 xml:space="preserve">cena </w:t>
            </w:r>
            <w:r>
              <w:rPr>
                <w:rFonts w:eastAsia="Times New Roman" w:cs="Times New Roman"/>
                <w:kern w:val="0"/>
                <w:szCs w:val="22"/>
                <w:lang w:eastAsia="cs-CZ" w:bidi="ar-SA"/>
              </w:rPr>
              <w:t xml:space="preserve">veřejné </w:t>
            </w:r>
            <w:r w:rsidR="00446481"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 xml:space="preserve">zakázky v Kč bez DPH </w:t>
            </w:r>
          </w:p>
        </w:tc>
        <w:tc>
          <w:tcPr>
            <w:tcW w:w="2165" w:type="dxa"/>
            <w:vAlign w:val="center"/>
          </w:tcPr>
          <w:p w14:paraId="1CF0B657" w14:textId="77777777" w:rsidR="00446481" w:rsidRPr="00446481" w:rsidRDefault="00446481" w:rsidP="00446481">
            <w:pPr>
              <w:keepNext/>
              <w:keepLines/>
              <w:suppressAutoHyphens w:val="0"/>
              <w:spacing w:before="80" w:after="80" w:line="100" w:lineRule="atLeast"/>
              <w:ind w:left="567"/>
              <w:jc w:val="both"/>
              <w:rPr>
                <w:rFonts w:eastAsia="Times New Roman" w:cs="Times New Roman"/>
                <w:b/>
                <w:kern w:val="0"/>
                <w:szCs w:val="22"/>
                <w:lang w:eastAsia="cs-CZ" w:bidi="ar-SA"/>
              </w:rPr>
            </w:pPr>
            <w:r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>váha 85 %</w:t>
            </w:r>
          </w:p>
        </w:tc>
      </w:tr>
      <w:tr w:rsidR="00446481" w:rsidRPr="00446481" w14:paraId="0CA0E2F1" w14:textId="77777777" w:rsidTr="00081FA6">
        <w:trPr>
          <w:trHeight w:val="567"/>
          <w:jc w:val="center"/>
        </w:trPr>
        <w:tc>
          <w:tcPr>
            <w:tcW w:w="4072" w:type="dxa"/>
            <w:vAlign w:val="center"/>
          </w:tcPr>
          <w:p w14:paraId="0027B70B" w14:textId="3726FD3D" w:rsidR="00446481" w:rsidRPr="00446481" w:rsidRDefault="000333F2" w:rsidP="00446481">
            <w:pPr>
              <w:keepNext/>
              <w:keepLines/>
              <w:suppressAutoHyphens w:val="0"/>
              <w:spacing w:before="80" w:after="80" w:line="100" w:lineRule="atLeast"/>
              <w:ind w:left="176"/>
              <w:jc w:val="both"/>
              <w:rPr>
                <w:rFonts w:eastAsia="Times New Roman" w:cs="Times New Roman"/>
                <w:b/>
                <w:kern w:val="0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cs-CZ" w:bidi="ar-SA"/>
              </w:rPr>
              <w:t>Doba plnění</w:t>
            </w:r>
            <w:r w:rsidR="00446481"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 xml:space="preserve"> </w:t>
            </w:r>
            <w:r w:rsidR="009D35D0">
              <w:rPr>
                <w:rFonts w:eastAsia="Times New Roman" w:cs="Times New Roman"/>
                <w:kern w:val="0"/>
                <w:szCs w:val="22"/>
                <w:lang w:eastAsia="cs-CZ" w:bidi="ar-SA"/>
              </w:rPr>
              <w:t xml:space="preserve">předmětu </w:t>
            </w:r>
            <w:r w:rsidR="00446481"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>veřejné zakázky v</w:t>
            </w:r>
            <w:r w:rsidR="00E069B3">
              <w:rPr>
                <w:rFonts w:eastAsia="Times New Roman" w:cs="Times New Roman"/>
                <w:kern w:val="0"/>
                <w:szCs w:val="22"/>
                <w:lang w:eastAsia="cs-CZ" w:bidi="ar-SA"/>
              </w:rPr>
              <w:t> </w:t>
            </w:r>
            <w:r w:rsidR="00E069B3" w:rsidRPr="00E069B3">
              <w:rPr>
                <w:rFonts w:eastAsia="Times New Roman" w:cs="Times New Roman"/>
                <w:kern w:val="0"/>
                <w:szCs w:val="22"/>
                <w:lang w:eastAsia="cs-CZ" w:bidi="ar-SA"/>
              </w:rPr>
              <w:t>kalendářních d</w:t>
            </w:r>
            <w:r w:rsidR="00E069B3">
              <w:rPr>
                <w:rFonts w:eastAsia="Times New Roman" w:cs="Times New Roman"/>
                <w:kern w:val="0"/>
                <w:szCs w:val="22"/>
                <w:lang w:eastAsia="cs-CZ" w:bidi="ar-SA"/>
              </w:rPr>
              <w:t>nech</w:t>
            </w:r>
          </w:p>
        </w:tc>
        <w:tc>
          <w:tcPr>
            <w:tcW w:w="2165" w:type="dxa"/>
            <w:vAlign w:val="center"/>
          </w:tcPr>
          <w:p w14:paraId="0EA5E077" w14:textId="77777777" w:rsidR="00446481" w:rsidRPr="00446481" w:rsidRDefault="00446481" w:rsidP="00446481">
            <w:pPr>
              <w:keepNext/>
              <w:keepLines/>
              <w:suppressAutoHyphens w:val="0"/>
              <w:spacing w:before="80" w:after="80" w:line="100" w:lineRule="atLeast"/>
              <w:ind w:left="567"/>
              <w:jc w:val="both"/>
              <w:rPr>
                <w:rFonts w:eastAsia="Times New Roman" w:cs="Times New Roman"/>
                <w:b/>
                <w:kern w:val="0"/>
                <w:szCs w:val="22"/>
                <w:lang w:eastAsia="cs-CZ" w:bidi="ar-SA"/>
              </w:rPr>
            </w:pPr>
            <w:r w:rsidRPr="00446481">
              <w:rPr>
                <w:rFonts w:eastAsia="Times New Roman" w:cs="Times New Roman"/>
                <w:kern w:val="0"/>
                <w:szCs w:val="22"/>
                <w:lang w:eastAsia="cs-CZ" w:bidi="ar-SA"/>
              </w:rPr>
              <w:t>váha 15 %</w:t>
            </w:r>
          </w:p>
        </w:tc>
      </w:tr>
    </w:tbl>
    <w:p w14:paraId="132EF1C1" w14:textId="77777777" w:rsidR="00446481" w:rsidRPr="00446481" w:rsidRDefault="00446481" w:rsidP="00446481">
      <w:pPr>
        <w:suppressAutoHyphens w:val="0"/>
        <w:spacing w:after="120"/>
        <w:ind w:left="567"/>
        <w:jc w:val="both"/>
        <w:rPr>
          <w:rFonts w:eastAsia="Times New Roman" w:cs="Arial"/>
          <w:kern w:val="0"/>
          <w:szCs w:val="22"/>
          <w:lang w:eastAsia="x-none" w:bidi="ar-SA"/>
        </w:rPr>
      </w:pPr>
    </w:p>
    <w:p w14:paraId="0AFD399D" w14:textId="77777777" w:rsidR="00446481" w:rsidRPr="00446481" w:rsidRDefault="00446481" w:rsidP="00446481">
      <w:pPr>
        <w:suppressAutoHyphens w:val="0"/>
        <w:spacing w:before="120"/>
        <w:ind w:left="426"/>
        <w:jc w:val="both"/>
        <w:rPr>
          <w:rFonts w:eastAsia="Times New Roman" w:cs="Arial"/>
          <w:b/>
          <w:kern w:val="0"/>
          <w:szCs w:val="22"/>
          <w:lang w:val="x-none" w:eastAsia="x-none" w:bidi="ar-SA"/>
        </w:rPr>
      </w:pPr>
      <w:r w:rsidRPr="00446481">
        <w:rPr>
          <w:rFonts w:eastAsia="Times New Roman" w:cs="Arial"/>
          <w:kern w:val="0"/>
          <w:szCs w:val="22"/>
          <w:lang w:val="x-none" w:eastAsia="x-none" w:bidi="ar-SA"/>
        </w:rPr>
        <w:t>Způsob hodnocení kritéria:</w:t>
      </w:r>
    </w:p>
    <w:p w14:paraId="2F97E00F" w14:textId="77777777" w:rsidR="00446481" w:rsidRPr="00446481" w:rsidRDefault="00446481" w:rsidP="00446481">
      <w:pPr>
        <w:suppressAutoHyphens w:val="0"/>
        <w:ind w:left="708"/>
        <w:jc w:val="both"/>
        <w:rPr>
          <w:rFonts w:eastAsia="Times New Roman" w:cs="Arial"/>
          <w:b/>
          <w:kern w:val="0"/>
          <w:szCs w:val="22"/>
          <w:lang w:val="x-none" w:eastAsia="x-none" w:bidi="ar-SA"/>
        </w:rPr>
      </w:pPr>
    </w:p>
    <w:p w14:paraId="707B68EF" w14:textId="19016D04" w:rsidR="00446481" w:rsidRPr="00446481" w:rsidRDefault="009760ED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426"/>
        <w:contextualSpacing/>
        <w:jc w:val="both"/>
        <w:rPr>
          <w:rFonts w:eastAsia="Times New Roman" w:cs="Times New Roman"/>
          <w:kern w:val="0"/>
          <w:szCs w:val="22"/>
          <w:lang w:eastAsia="cs-CZ" w:bidi="ar-SA"/>
        </w:rPr>
      </w:pPr>
      <w:r>
        <w:rPr>
          <w:rFonts w:eastAsia="Times New Roman" w:cs="Times New Roman"/>
          <w:kern w:val="0"/>
          <w:szCs w:val="22"/>
          <w:lang w:eastAsia="cs-CZ" w:bidi="ar-SA"/>
        </w:rPr>
        <w:t>K</w:t>
      </w:r>
      <w:r w:rsidRPr="00446481">
        <w:rPr>
          <w:rFonts w:eastAsia="Times New Roman" w:cs="Times New Roman"/>
          <w:kern w:val="0"/>
          <w:szCs w:val="22"/>
          <w:lang w:eastAsia="cs-CZ" w:bidi="ar-SA"/>
        </w:rPr>
        <w:t xml:space="preserve">omise </w:t>
      </w:r>
      <w:r w:rsidR="00446481" w:rsidRPr="00446481">
        <w:rPr>
          <w:rFonts w:eastAsia="Times New Roman" w:cs="Times New Roman"/>
          <w:kern w:val="0"/>
          <w:szCs w:val="22"/>
          <w:lang w:eastAsia="cs-CZ" w:bidi="ar-SA"/>
        </w:rPr>
        <w:t xml:space="preserve">zváží všechny položky nabídky v dané části a přidělí hodnocení jednotlivým dílčím kritériím podle níže uvedeného postupu. </w:t>
      </w:r>
      <w:r w:rsidR="00446481" w:rsidRPr="00446481">
        <w:rPr>
          <w:rFonts w:eastAsia="Times New Roman" w:cs="Times New Roman"/>
          <w:b/>
          <w:kern w:val="0"/>
          <w:szCs w:val="22"/>
          <w:lang w:eastAsia="cs-CZ" w:bidi="ar-SA"/>
        </w:rPr>
        <w:t>Hodnocením nabídky je pak součet obou těchto dílčích hodnocení jednotlivých kritérií.</w:t>
      </w:r>
      <w:r w:rsidR="00446481" w:rsidRPr="00446481">
        <w:rPr>
          <w:rFonts w:eastAsia="Times New Roman" w:cs="Times New Roman"/>
          <w:kern w:val="0"/>
          <w:szCs w:val="22"/>
          <w:lang w:eastAsia="cs-CZ" w:bidi="ar-SA"/>
        </w:rPr>
        <w:t xml:space="preserve"> Vítěznou je ta nabídka, která po provedení součtu bodových hodnocení u obou dílčích kritérií </w:t>
      </w:r>
      <w:r w:rsidR="00446481" w:rsidRPr="00446481">
        <w:rPr>
          <w:rFonts w:eastAsia="Times New Roman" w:cs="Times New Roman"/>
          <w:b/>
          <w:kern w:val="0"/>
          <w:szCs w:val="22"/>
          <w:lang w:eastAsia="cs-CZ" w:bidi="ar-SA"/>
        </w:rPr>
        <w:t>získá nejvyšší celkový počet bodů</w:t>
      </w:r>
      <w:r w:rsidR="00446481" w:rsidRPr="00446481">
        <w:rPr>
          <w:rFonts w:eastAsia="Times New Roman" w:cs="Times New Roman"/>
          <w:kern w:val="0"/>
          <w:szCs w:val="22"/>
          <w:lang w:eastAsia="cs-CZ" w:bidi="ar-SA"/>
        </w:rPr>
        <w:t>.</w:t>
      </w:r>
    </w:p>
    <w:p w14:paraId="497581CC" w14:textId="77777777" w:rsidR="00446481" w:rsidRPr="00446481" w:rsidRDefault="00446481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426"/>
        <w:contextualSpacing/>
        <w:jc w:val="both"/>
        <w:rPr>
          <w:rFonts w:eastAsia="Times New Roman" w:cs="Times New Roman"/>
          <w:kern w:val="0"/>
          <w:szCs w:val="22"/>
          <w:highlight w:val="yellow"/>
          <w:lang w:eastAsia="cs-CZ" w:bidi="ar-SA"/>
        </w:rPr>
      </w:pPr>
    </w:p>
    <w:p w14:paraId="3C015B62" w14:textId="27BF3A29" w:rsidR="00446481" w:rsidRPr="00446481" w:rsidRDefault="00446481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426"/>
        <w:contextualSpacing/>
        <w:jc w:val="both"/>
        <w:rPr>
          <w:rFonts w:eastAsia="Times New Roman" w:cs="Times New Roman"/>
          <w:kern w:val="0"/>
          <w:szCs w:val="22"/>
          <w:lang w:eastAsia="cs-CZ" w:bidi="ar-SA"/>
        </w:rPr>
      </w:pPr>
      <w:r w:rsidRPr="00446481">
        <w:rPr>
          <w:rFonts w:eastAsia="Times New Roman" w:cs="Times New Roman"/>
          <w:kern w:val="0"/>
          <w:szCs w:val="22"/>
          <w:lang w:eastAsia="cs-CZ" w:bidi="ar-SA"/>
        </w:rPr>
        <w:t xml:space="preserve">Pokud by o prvenství nebylo možno takto rozhodnout, tj. pokud by nejvyššího hodnocení na stejné úrovni dosáhlo dvě a více nabídek, zvítězí nabídka s nižší cenou zakázky </w:t>
      </w:r>
      <w:r w:rsidR="009760ED">
        <w:rPr>
          <w:rFonts w:eastAsia="Times New Roman" w:cs="Times New Roman"/>
          <w:kern w:val="0"/>
          <w:szCs w:val="22"/>
          <w:lang w:eastAsia="cs-CZ" w:bidi="ar-SA"/>
        </w:rPr>
        <w:t xml:space="preserve">v Kč </w:t>
      </w:r>
      <w:r w:rsidRPr="00446481">
        <w:rPr>
          <w:rFonts w:eastAsia="Times New Roman" w:cs="Times New Roman"/>
          <w:kern w:val="0"/>
          <w:szCs w:val="22"/>
          <w:lang w:eastAsia="cs-CZ" w:bidi="ar-SA"/>
        </w:rPr>
        <w:t>bez DPH. Pokud by ani takto nebylo možné o prvenství rozhodnout, tj. pokud by nejvyššího hodnocení na stejné úrovni dosáhlo dvě a více nabídek a všechny by zároveň měly stejnou cenu zakázky bez DPH, pak bude o vítězi rozhodnuto losem.</w:t>
      </w:r>
    </w:p>
    <w:p w14:paraId="1B1B8423" w14:textId="77777777" w:rsidR="00446481" w:rsidRPr="00446481" w:rsidRDefault="00446481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567"/>
        <w:contextualSpacing/>
        <w:jc w:val="both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09A8FBC6" w14:textId="77777777" w:rsidR="00446481" w:rsidRPr="00446481" w:rsidRDefault="00446481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567"/>
        <w:contextualSpacing/>
        <w:jc w:val="both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32CF923A" w14:textId="66BFF5BD" w:rsidR="00446481" w:rsidRPr="00446481" w:rsidRDefault="009D35D0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firstLine="426"/>
        <w:contextualSpacing/>
        <w:jc w:val="both"/>
        <w:rPr>
          <w:rFonts w:eastAsia="Times New Roman" w:cs="Times New Roman"/>
          <w:b/>
          <w:kern w:val="0"/>
          <w:u w:val="single"/>
          <w:lang w:eastAsia="cs-CZ" w:bidi="ar-SA"/>
        </w:rPr>
      </w:pPr>
      <w:r>
        <w:rPr>
          <w:rFonts w:eastAsia="Times New Roman" w:cs="Times New Roman"/>
          <w:b/>
          <w:kern w:val="0"/>
          <w:u w:val="single"/>
          <w:lang w:eastAsia="cs-CZ" w:bidi="ar-SA"/>
        </w:rPr>
        <w:t>Celková n</w:t>
      </w:r>
      <w:r w:rsidRPr="00446481">
        <w:rPr>
          <w:rFonts w:eastAsia="Times New Roman" w:cs="Times New Roman"/>
          <w:b/>
          <w:kern w:val="0"/>
          <w:u w:val="single"/>
          <w:lang w:eastAsia="cs-CZ" w:bidi="ar-SA"/>
        </w:rPr>
        <w:t xml:space="preserve">abídková </w:t>
      </w:r>
      <w:r w:rsidR="00446481" w:rsidRPr="00446481">
        <w:rPr>
          <w:rFonts w:eastAsia="Times New Roman" w:cs="Times New Roman"/>
          <w:b/>
          <w:kern w:val="0"/>
          <w:u w:val="single"/>
          <w:lang w:eastAsia="cs-CZ" w:bidi="ar-SA"/>
        </w:rPr>
        <w:t xml:space="preserve">cena </w:t>
      </w:r>
      <w:r>
        <w:rPr>
          <w:rFonts w:eastAsia="Times New Roman" w:cs="Times New Roman"/>
          <w:b/>
          <w:kern w:val="0"/>
          <w:u w:val="single"/>
          <w:lang w:eastAsia="cs-CZ" w:bidi="ar-SA"/>
        </w:rPr>
        <w:t xml:space="preserve">veřejné </w:t>
      </w:r>
      <w:r w:rsidR="00446481" w:rsidRPr="00446481">
        <w:rPr>
          <w:rFonts w:eastAsia="Times New Roman" w:cs="Times New Roman"/>
          <w:b/>
          <w:kern w:val="0"/>
          <w:u w:val="single"/>
          <w:lang w:eastAsia="cs-CZ" w:bidi="ar-SA"/>
        </w:rPr>
        <w:t>zakázky v Kč bez DPH – váha 85 %</w:t>
      </w:r>
    </w:p>
    <w:p w14:paraId="602996DB" w14:textId="77777777" w:rsidR="00446481" w:rsidRPr="00446481" w:rsidRDefault="00446481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426"/>
        <w:contextualSpacing/>
        <w:jc w:val="both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368D3CF4" w14:textId="77777777" w:rsidR="00446481" w:rsidRPr="00446481" w:rsidRDefault="00446481" w:rsidP="00446481">
      <w:pPr>
        <w:tabs>
          <w:tab w:val="right" w:pos="851"/>
          <w:tab w:val="right" w:pos="9356"/>
        </w:tabs>
        <w:suppressAutoHyphens w:val="0"/>
        <w:spacing w:after="80" w:line="100" w:lineRule="atLeast"/>
        <w:ind w:left="426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 w:rsidRPr="00446481">
        <w:rPr>
          <w:rFonts w:eastAsia="Times New Roman" w:cs="Times New Roman"/>
          <w:kern w:val="0"/>
          <w:lang w:eastAsia="cs-CZ" w:bidi="ar-SA"/>
        </w:rPr>
        <w:t>Při hodnocení nabídkové ceny v Kč je rozhodná její výše v Kč bez DPH. Za kritérium se přidělí číselné hodnocení, a to tak, že nabídka s nejnižší nabídkovou cenou obdrží hodnocení rovné číslu 100 a každá další nabídka obdrží hodnocení stanovené podle vztahu:</w:t>
      </w:r>
    </w:p>
    <w:p w14:paraId="63683DF8" w14:textId="77777777" w:rsidR="00446481" w:rsidRPr="00446481" w:rsidRDefault="00446481" w:rsidP="00446481">
      <w:pPr>
        <w:suppressAutoHyphens w:val="0"/>
        <w:ind w:left="426"/>
        <w:rPr>
          <w:rFonts w:eastAsia="Times New Roman" w:cs="Times New Roman"/>
          <w:bCs/>
          <w:kern w:val="0"/>
          <w:lang w:eastAsia="cs-CZ" w:bidi="ar-SA"/>
        </w:rPr>
      </w:pPr>
    </w:p>
    <w:p w14:paraId="311E516D" w14:textId="7A537762" w:rsidR="00446481" w:rsidRPr="00446481" w:rsidRDefault="009C46DB" w:rsidP="00446481">
      <w:pPr>
        <w:suppressAutoHyphens w:val="0"/>
        <w:autoSpaceDE w:val="0"/>
        <w:autoSpaceDN w:val="0"/>
        <w:adjustRightInd w:val="0"/>
        <w:ind w:left="426"/>
        <w:rPr>
          <w:rFonts w:eastAsia="Times New Roman" w:cs="Arial"/>
          <w:b/>
          <w:bCs/>
          <w:kern w:val="0"/>
          <w:szCs w:val="22"/>
          <w:lang w:eastAsia="cs-CZ" w:bidi="ar-SA"/>
        </w:rPr>
      </w:pP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446481"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Hodnota nejvýhodnější nabídky</w:t>
      </w:r>
    </w:p>
    <w:p w14:paraId="73267F83" w14:textId="58EB179B" w:rsidR="00446481" w:rsidRPr="00446481" w:rsidRDefault="009C46DB" w:rsidP="00446481">
      <w:pPr>
        <w:suppressAutoHyphens w:val="0"/>
        <w:autoSpaceDE w:val="0"/>
        <w:autoSpaceDN w:val="0"/>
        <w:adjustRightInd w:val="0"/>
        <w:ind w:left="426"/>
        <w:rPr>
          <w:rFonts w:eastAsia="Times New Roman" w:cs="Arial"/>
          <w:bCs/>
          <w:kern w:val="0"/>
          <w:szCs w:val="22"/>
          <w:lang w:eastAsia="cs-CZ" w:bidi="ar-SA"/>
        </w:rPr>
      </w:pP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>
        <w:rPr>
          <w:rFonts w:eastAsia="Times New Roman" w:cs="Arial"/>
          <w:bCs/>
          <w:kern w:val="0"/>
          <w:szCs w:val="22"/>
          <w:lang w:eastAsia="cs-CZ" w:bidi="ar-SA"/>
        </w:rPr>
        <w:tab/>
      </w:r>
      <w:r w:rsidR="00446481" w:rsidRPr="00446481">
        <w:rPr>
          <w:rFonts w:eastAsia="Times New Roman" w:cs="Arial"/>
          <w:bCs/>
          <w:kern w:val="0"/>
          <w:szCs w:val="22"/>
          <w:lang w:eastAsia="cs-CZ" w:bidi="ar-SA"/>
        </w:rPr>
        <w:t xml:space="preserve">(tj. nejnižší celkové </w:t>
      </w:r>
      <w:r w:rsidR="009D35D0">
        <w:rPr>
          <w:rFonts w:eastAsia="Times New Roman" w:cs="Arial"/>
          <w:bCs/>
          <w:kern w:val="0"/>
          <w:szCs w:val="22"/>
          <w:lang w:eastAsia="cs-CZ" w:bidi="ar-SA"/>
        </w:rPr>
        <w:t xml:space="preserve">nabídkové </w:t>
      </w:r>
      <w:r w:rsidR="00446481" w:rsidRPr="00446481">
        <w:rPr>
          <w:rFonts w:eastAsia="Times New Roman" w:cs="Arial"/>
          <w:bCs/>
          <w:kern w:val="0"/>
          <w:szCs w:val="22"/>
          <w:lang w:eastAsia="cs-CZ" w:bidi="ar-SA"/>
        </w:rPr>
        <w:t>ceny)</w:t>
      </w:r>
    </w:p>
    <w:p w14:paraId="26F6B848" w14:textId="5BB5D6DC" w:rsidR="00446481" w:rsidRPr="00446481" w:rsidRDefault="00446481" w:rsidP="00446481">
      <w:pPr>
        <w:suppressAutoHyphens w:val="0"/>
        <w:autoSpaceDE w:val="0"/>
        <w:autoSpaceDN w:val="0"/>
        <w:adjustRightInd w:val="0"/>
        <w:ind w:left="426"/>
        <w:rPr>
          <w:rFonts w:eastAsia="Times New Roman" w:cs="Arial"/>
          <w:b/>
          <w:bCs/>
          <w:kern w:val="0"/>
          <w:szCs w:val="22"/>
          <w:lang w:eastAsia="cs-CZ" w:bidi="ar-SA"/>
        </w:rPr>
      </w:pP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Hodnocení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  <w:t>=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--------------------------------------------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>------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x 100</w:t>
      </w:r>
    </w:p>
    <w:p w14:paraId="62086703" w14:textId="1A9CF555" w:rsidR="00446481" w:rsidRPr="00446481" w:rsidRDefault="00446481" w:rsidP="00446481">
      <w:pPr>
        <w:suppressAutoHyphens w:val="0"/>
        <w:spacing w:before="80" w:after="240" w:line="100" w:lineRule="atLeast"/>
        <w:ind w:left="3827" w:firstLine="142"/>
        <w:jc w:val="both"/>
        <w:rPr>
          <w:rFonts w:eastAsia="Times New Roman" w:cs="Arial"/>
          <w:kern w:val="0"/>
          <w:szCs w:val="22"/>
          <w:lang w:eastAsia="cs-CZ" w:bidi="ar-SA"/>
        </w:rPr>
      </w:pP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Hodnota hodnocené nabídky</w:t>
      </w:r>
      <w:r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kern w:val="0"/>
          <w:szCs w:val="22"/>
          <w:lang w:eastAsia="cs-CZ" w:bidi="ar-SA"/>
        </w:rPr>
        <w:br/>
        <w:t xml:space="preserve">(tj. celkové hodnocené </w:t>
      </w:r>
      <w:r w:rsidR="009D35D0">
        <w:rPr>
          <w:rFonts w:eastAsia="Times New Roman" w:cs="Arial"/>
          <w:kern w:val="0"/>
          <w:szCs w:val="22"/>
          <w:lang w:eastAsia="cs-CZ" w:bidi="ar-SA"/>
        </w:rPr>
        <w:t xml:space="preserve">nabídkové </w:t>
      </w:r>
      <w:r w:rsidRPr="00446481">
        <w:rPr>
          <w:rFonts w:eastAsia="Times New Roman" w:cs="Arial"/>
          <w:kern w:val="0"/>
          <w:szCs w:val="22"/>
          <w:lang w:eastAsia="cs-CZ" w:bidi="ar-SA"/>
        </w:rPr>
        <w:t>ceny)</w:t>
      </w:r>
    </w:p>
    <w:p w14:paraId="7764DB84" w14:textId="269EC409" w:rsidR="00446481" w:rsidRPr="00446481" w:rsidRDefault="009760ED" w:rsidP="00446481">
      <w:pPr>
        <w:suppressAutoHyphens w:val="0"/>
        <w:spacing w:before="80" w:after="80" w:line="100" w:lineRule="atLeast"/>
        <w:ind w:left="426"/>
        <w:jc w:val="both"/>
        <w:rPr>
          <w:rFonts w:eastAsia="Times New Roman" w:cs="Times New Roman"/>
          <w:kern w:val="0"/>
          <w:u w:val="single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Komise</w:t>
      </w:r>
      <w:r w:rsidRPr="00446481">
        <w:rPr>
          <w:rFonts w:eastAsia="Times New Roman" w:cs="Times New Roman"/>
          <w:kern w:val="0"/>
          <w:lang w:eastAsia="cs-CZ" w:bidi="ar-SA"/>
        </w:rPr>
        <w:t xml:space="preserve"> </w:t>
      </w:r>
      <w:r w:rsidR="00446481" w:rsidRPr="00446481">
        <w:rPr>
          <w:rFonts w:eastAsia="Times New Roman" w:cs="Times New Roman"/>
          <w:kern w:val="0"/>
          <w:lang w:eastAsia="cs-CZ" w:bidi="ar-SA"/>
        </w:rPr>
        <w:t xml:space="preserve">pak číselné ohodnocení nabídek dle tohoto dílčího kritéria vynásobí vahou kritéria, aby získala výsledný počet bodů, které nabídky obdržely s ohledem </w:t>
      </w:r>
      <w:r w:rsidR="00446481" w:rsidRPr="00446481">
        <w:rPr>
          <w:rFonts w:eastAsia="Times New Roman" w:cs="Times New Roman"/>
          <w:b/>
          <w:kern w:val="0"/>
          <w:u w:val="single"/>
          <w:lang w:eastAsia="cs-CZ" w:bidi="ar-SA"/>
        </w:rPr>
        <w:t>na váhu kritéria (85 %).</w:t>
      </w:r>
    </w:p>
    <w:p w14:paraId="734659B3" w14:textId="77777777" w:rsidR="00446481" w:rsidRPr="00446481" w:rsidRDefault="00446481" w:rsidP="00446481">
      <w:pPr>
        <w:suppressAutoHyphens w:val="0"/>
        <w:spacing w:before="80" w:after="80" w:line="100" w:lineRule="atLeast"/>
        <w:ind w:left="426"/>
        <w:rPr>
          <w:rFonts w:eastAsia="Times New Roman" w:cs="Times New Roman"/>
          <w:b/>
          <w:kern w:val="0"/>
          <w:u w:val="single"/>
          <w:lang w:eastAsia="cs-CZ" w:bidi="ar-SA"/>
        </w:rPr>
      </w:pPr>
    </w:p>
    <w:p w14:paraId="6CEC26E1" w14:textId="33D34ADD" w:rsidR="00446481" w:rsidRPr="00446481" w:rsidRDefault="009D35D0" w:rsidP="00446481">
      <w:pPr>
        <w:keepNext/>
        <w:suppressAutoHyphens w:val="0"/>
        <w:spacing w:before="80" w:after="80" w:line="100" w:lineRule="atLeast"/>
        <w:ind w:left="425"/>
        <w:rPr>
          <w:rFonts w:eastAsia="Times New Roman" w:cs="Times New Roman"/>
          <w:b/>
          <w:kern w:val="0"/>
          <w:u w:val="single"/>
          <w:lang w:eastAsia="cs-CZ" w:bidi="ar-SA"/>
        </w:rPr>
      </w:pPr>
      <w:r w:rsidRPr="009D35D0">
        <w:rPr>
          <w:rFonts w:eastAsia="Times New Roman" w:cs="Times New Roman"/>
          <w:b/>
          <w:kern w:val="0"/>
          <w:u w:val="single"/>
          <w:lang w:eastAsia="cs-CZ" w:bidi="ar-SA"/>
        </w:rPr>
        <w:lastRenderedPageBreak/>
        <w:t>Doba plnění</w:t>
      </w:r>
      <w:r>
        <w:rPr>
          <w:rFonts w:eastAsia="Times New Roman" w:cs="Times New Roman"/>
          <w:b/>
          <w:kern w:val="0"/>
          <w:u w:val="single"/>
          <w:lang w:eastAsia="cs-CZ" w:bidi="ar-SA"/>
        </w:rPr>
        <w:t xml:space="preserve"> předmětu</w:t>
      </w:r>
      <w:r w:rsidRPr="009D35D0">
        <w:rPr>
          <w:rFonts w:eastAsia="Times New Roman" w:cs="Times New Roman"/>
          <w:b/>
          <w:kern w:val="0"/>
          <w:u w:val="single"/>
          <w:lang w:eastAsia="cs-CZ" w:bidi="ar-SA"/>
        </w:rPr>
        <w:t xml:space="preserve"> veřejné zakázky v kalendářních dnech</w:t>
      </w:r>
      <w:r w:rsidRPr="009D35D0" w:rsidDel="009D35D0">
        <w:rPr>
          <w:rFonts w:eastAsia="Times New Roman" w:cs="Times New Roman"/>
          <w:b/>
          <w:kern w:val="0"/>
          <w:u w:val="single"/>
          <w:lang w:eastAsia="cs-CZ" w:bidi="ar-SA"/>
        </w:rPr>
        <w:t xml:space="preserve"> </w:t>
      </w:r>
      <w:r w:rsidR="00446481" w:rsidRPr="00446481">
        <w:rPr>
          <w:rFonts w:eastAsia="Times New Roman" w:cs="Times New Roman"/>
          <w:b/>
          <w:kern w:val="0"/>
          <w:u w:val="single"/>
          <w:lang w:eastAsia="cs-CZ" w:bidi="ar-SA"/>
        </w:rPr>
        <w:t>– (váha 15 %)</w:t>
      </w:r>
    </w:p>
    <w:p w14:paraId="2EC35283" w14:textId="649A3797" w:rsidR="009760ED" w:rsidRDefault="00446481" w:rsidP="009C46DB">
      <w:pPr>
        <w:suppressAutoHyphens w:val="0"/>
        <w:spacing w:before="80" w:after="80" w:line="100" w:lineRule="atLeast"/>
        <w:ind w:left="426"/>
        <w:jc w:val="both"/>
        <w:rPr>
          <w:rFonts w:eastAsia="Times New Roman" w:cs="Times New Roman"/>
          <w:kern w:val="0"/>
          <w:lang w:eastAsia="cs-CZ" w:bidi="ar-SA"/>
        </w:rPr>
      </w:pPr>
      <w:r w:rsidRPr="00446481">
        <w:rPr>
          <w:rFonts w:eastAsia="Times New Roman" w:cs="Times New Roman"/>
          <w:kern w:val="0"/>
          <w:lang w:eastAsia="cs-CZ" w:bidi="ar-SA"/>
        </w:rPr>
        <w:t xml:space="preserve">Za kritérium se přidělí číselné hodnocení, a to tak, že nabídka s nejkratší </w:t>
      </w:r>
      <w:r w:rsidR="009D35D0">
        <w:rPr>
          <w:rFonts w:eastAsia="Times New Roman" w:cs="Times New Roman"/>
          <w:kern w:val="0"/>
          <w:lang w:eastAsia="cs-CZ" w:bidi="ar-SA"/>
        </w:rPr>
        <w:t>dobou plnění</w:t>
      </w:r>
      <w:r w:rsidRPr="00446481">
        <w:rPr>
          <w:rFonts w:eastAsia="Times New Roman" w:cs="Times New Roman"/>
          <w:kern w:val="0"/>
          <w:lang w:eastAsia="cs-CZ" w:bidi="ar-SA"/>
        </w:rPr>
        <w:t xml:space="preserve"> předmětu veřejné zakázky, obdrží hodnocení rovné číslu 100 a každá další nabídka obdrží hodnocení stanovené podle vztahu:</w:t>
      </w:r>
    </w:p>
    <w:p w14:paraId="0B538FEC" w14:textId="77777777" w:rsidR="009C46DB" w:rsidRPr="009C46DB" w:rsidRDefault="009C46DB" w:rsidP="009C46DB">
      <w:pPr>
        <w:suppressAutoHyphens w:val="0"/>
        <w:spacing w:before="80" w:after="80" w:line="100" w:lineRule="atLeast"/>
        <w:ind w:left="426"/>
        <w:jc w:val="both"/>
        <w:rPr>
          <w:rFonts w:eastAsia="Times New Roman" w:cs="Times New Roman"/>
          <w:kern w:val="0"/>
          <w:lang w:eastAsia="cs-CZ" w:bidi="ar-SA"/>
        </w:rPr>
      </w:pPr>
    </w:p>
    <w:p w14:paraId="1F08201D" w14:textId="77C5F333" w:rsidR="00446481" w:rsidRPr="00446481" w:rsidRDefault="009760ED" w:rsidP="00446481">
      <w:pPr>
        <w:suppressAutoHyphens w:val="0"/>
        <w:ind w:left="1843"/>
        <w:rPr>
          <w:rFonts w:eastAsia="Times New Roman" w:cs="Times New Roman"/>
          <w:b/>
          <w:bCs/>
          <w:kern w:val="0"/>
          <w:lang w:eastAsia="cs-CZ" w:bidi="ar-SA"/>
        </w:rPr>
      </w:pP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>
        <w:rPr>
          <w:rFonts w:eastAsia="Times New Roman" w:cs="Times New Roman"/>
          <w:b/>
          <w:bCs/>
          <w:kern w:val="0"/>
          <w:lang w:eastAsia="cs-CZ" w:bidi="ar-SA"/>
        </w:rPr>
        <w:tab/>
      </w:r>
      <w:r w:rsidR="00446481" w:rsidRPr="00446481">
        <w:rPr>
          <w:rFonts w:eastAsia="Times New Roman" w:cs="Times New Roman"/>
          <w:b/>
          <w:bCs/>
          <w:kern w:val="0"/>
          <w:lang w:eastAsia="cs-CZ" w:bidi="ar-SA"/>
        </w:rPr>
        <w:t>Hodnota nejv</w:t>
      </w:r>
      <w:r w:rsidR="009C46DB">
        <w:rPr>
          <w:rFonts w:eastAsia="Times New Roman" w:cs="Times New Roman"/>
          <w:b/>
          <w:bCs/>
          <w:kern w:val="0"/>
          <w:lang w:eastAsia="cs-CZ" w:bidi="ar-SA"/>
        </w:rPr>
        <w:t>ýhodnější nabídky</w:t>
      </w:r>
    </w:p>
    <w:p w14:paraId="5D31BFCE" w14:textId="16E59D72" w:rsidR="009760ED" w:rsidRDefault="00446481" w:rsidP="009760ED">
      <w:pPr>
        <w:suppressAutoHyphens w:val="0"/>
        <w:ind w:left="1560"/>
        <w:rPr>
          <w:rFonts w:eastAsia="Times New Roman" w:cs="Arial"/>
          <w:b/>
          <w:bCs/>
          <w:kern w:val="0"/>
          <w:szCs w:val="22"/>
          <w:lang w:eastAsia="cs-CZ" w:bidi="ar-SA"/>
        </w:rPr>
      </w:pPr>
      <w:r w:rsidRPr="00446481">
        <w:rPr>
          <w:rFonts w:eastAsia="Times New Roman" w:cs="Times New Roman"/>
          <w:b/>
          <w:bCs/>
          <w:kern w:val="0"/>
          <w:lang w:eastAsia="cs-CZ" w:bidi="ar-SA"/>
        </w:rPr>
        <w:tab/>
      </w:r>
      <w:r w:rsidRPr="00446481">
        <w:rPr>
          <w:rFonts w:eastAsia="Times New Roman" w:cs="Times New Roman"/>
          <w:b/>
          <w:bCs/>
          <w:kern w:val="0"/>
          <w:lang w:eastAsia="cs-CZ" w:bidi="ar-SA"/>
        </w:rPr>
        <w:tab/>
      </w:r>
      <w:r w:rsidRPr="00446481">
        <w:rPr>
          <w:rFonts w:eastAsia="Times New Roman" w:cs="Times New Roman"/>
          <w:b/>
          <w:bCs/>
          <w:kern w:val="0"/>
          <w:lang w:eastAsia="cs-CZ" w:bidi="ar-SA"/>
        </w:rPr>
        <w:tab/>
      </w:r>
      <w:r w:rsidR="000333F2">
        <w:rPr>
          <w:rFonts w:eastAsia="Times New Roman" w:cs="Times New Roman"/>
          <w:b/>
          <w:bCs/>
          <w:kern w:val="0"/>
          <w:lang w:eastAsia="cs-CZ" w:bidi="ar-SA"/>
        </w:rPr>
        <w:t xml:space="preserve"> </w:t>
      </w:r>
      <w:r w:rsidR="009C46DB">
        <w:rPr>
          <w:rFonts w:eastAsia="Times New Roman" w:cs="Times New Roman"/>
          <w:b/>
          <w:bCs/>
          <w:kern w:val="0"/>
          <w:lang w:eastAsia="cs-CZ" w:bidi="ar-SA"/>
        </w:rPr>
        <w:tab/>
      </w:r>
      <w:r w:rsidR="009C46DB">
        <w:rPr>
          <w:rFonts w:eastAsia="Times New Roman" w:cs="Times New Roman"/>
          <w:b/>
          <w:bCs/>
          <w:kern w:val="0"/>
          <w:lang w:eastAsia="cs-CZ" w:bidi="ar-SA"/>
        </w:rPr>
        <w:tab/>
      </w:r>
      <w:r w:rsidRPr="00446481">
        <w:rPr>
          <w:rFonts w:eastAsia="Times New Roman" w:cs="Times New Roman"/>
          <w:bCs/>
          <w:kern w:val="0"/>
          <w:lang w:eastAsia="cs-CZ" w:bidi="ar-SA"/>
        </w:rPr>
        <w:t xml:space="preserve">(tj. </w:t>
      </w:r>
      <w:r w:rsidRPr="00446481">
        <w:rPr>
          <w:rFonts w:eastAsia="Times New Roman" w:cs="Times New Roman"/>
          <w:kern w:val="0"/>
          <w:lang w:eastAsia="cs-CZ" w:bidi="ar-SA"/>
        </w:rPr>
        <w:t xml:space="preserve">nejkratší </w:t>
      </w:r>
      <w:r w:rsidR="000333F2">
        <w:rPr>
          <w:rFonts w:eastAsia="Times New Roman" w:cs="Times New Roman"/>
          <w:kern w:val="0"/>
          <w:lang w:eastAsia="cs-CZ" w:bidi="ar-SA"/>
        </w:rPr>
        <w:t>doba plnění</w:t>
      </w:r>
      <w:r w:rsidRPr="00446481">
        <w:rPr>
          <w:rFonts w:eastAsia="Times New Roman" w:cs="Times New Roman"/>
          <w:kern w:val="0"/>
          <w:lang w:eastAsia="cs-CZ" w:bidi="ar-SA"/>
        </w:rPr>
        <w:t xml:space="preserve"> </w:t>
      </w:r>
      <w:r w:rsidR="009D35D0">
        <w:rPr>
          <w:rFonts w:eastAsia="Times New Roman" w:cs="Times New Roman"/>
          <w:kern w:val="0"/>
          <w:lang w:eastAsia="cs-CZ" w:bidi="ar-SA"/>
        </w:rPr>
        <w:t xml:space="preserve">předmětu </w:t>
      </w:r>
      <w:r w:rsidRPr="00446481">
        <w:rPr>
          <w:rFonts w:eastAsia="Times New Roman" w:cs="Times New Roman"/>
          <w:kern w:val="0"/>
          <w:lang w:eastAsia="cs-CZ" w:bidi="ar-SA"/>
        </w:rPr>
        <w:t>veřejné zakázky</w:t>
      </w:r>
      <w:r w:rsidRPr="00446481">
        <w:rPr>
          <w:rFonts w:eastAsia="Times New Roman" w:cs="Times New Roman"/>
          <w:bCs/>
          <w:kern w:val="0"/>
          <w:lang w:eastAsia="cs-CZ" w:bidi="ar-SA"/>
        </w:rPr>
        <w:t>)</w:t>
      </w:r>
    </w:p>
    <w:p w14:paraId="38747951" w14:textId="21E8EF34" w:rsidR="00446481" w:rsidRPr="00446481" w:rsidRDefault="00446481" w:rsidP="00446481">
      <w:pPr>
        <w:suppressAutoHyphens w:val="0"/>
        <w:autoSpaceDE w:val="0"/>
        <w:autoSpaceDN w:val="0"/>
        <w:adjustRightInd w:val="0"/>
        <w:ind w:left="426"/>
        <w:rPr>
          <w:rFonts w:eastAsia="Times New Roman" w:cs="Arial"/>
          <w:b/>
          <w:bCs/>
          <w:kern w:val="0"/>
          <w:szCs w:val="22"/>
          <w:lang w:eastAsia="cs-CZ" w:bidi="ar-SA"/>
        </w:rPr>
      </w:pP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Hodnocení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>=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 xml:space="preserve"> ---------------------------------------------</w:t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="009C46DB">
        <w:rPr>
          <w:rFonts w:eastAsia="Times New Roman" w:cs="Arial"/>
          <w:b/>
          <w:bCs/>
          <w:kern w:val="0"/>
          <w:szCs w:val="22"/>
          <w:lang w:eastAsia="cs-CZ" w:bidi="ar-SA"/>
        </w:rPr>
        <w:tab/>
      </w:r>
      <w:r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 xml:space="preserve"> x 100</w:t>
      </w:r>
    </w:p>
    <w:p w14:paraId="675EFAE1" w14:textId="4B304069" w:rsidR="00446481" w:rsidRPr="00446481" w:rsidRDefault="000333F2" w:rsidP="000333F2">
      <w:pPr>
        <w:suppressAutoHyphens w:val="0"/>
        <w:spacing w:before="80" w:after="80" w:line="100" w:lineRule="atLeast"/>
        <w:ind w:left="3408"/>
        <w:jc w:val="both"/>
        <w:rPr>
          <w:rFonts w:eastAsia="Times New Roman" w:cs="Arial"/>
          <w:kern w:val="0"/>
          <w:szCs w:val="22"/>
          <w:lang w:eastAsia="cs-CZ" w:bidi="ar-SA"/>
        </w:rPr>
      </w:pPr>
      <w:r>
        <w:rPr>
          <w:rFonts w:eastAsia="Times New Roman" w:cs="Arial"/>
          <w:b/>
          <w:bCs/>
          <w:kern w:val="0"/>
          <w:szCs w:val="22"/>
          <w:lang w:eastAsia="cs-CZ" w:bidi="ar-SA"/>
        </w:rPr>
        <w:t xml:space="preserve">    </w:t>
      </w:r>
      <w:r w:rsidR="00446481" w:rsidRPr="00446481">
        <w:rPr>
          <w:rFonts w:eastAsia="Times New Roman" w:cs="Arial"/>
          <w:b/>
          <w:bCs/>
          <w:kern w:val="0"/>
          <w:szCs w:val="22"/>
          <w:lang w:eastAsia="cs-CZ" w:bidi="ar-SA"/>
        </w:rPr>
        <w:t xml:space="preserve">Hodnota hodnocené nabídky </w:t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ab/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br/>
      </w:r>
      <w:r>
        <w:rPr>
          <w:rFonts w:eastAsia="Times New Roman" w:cs="Arial"/>
          <w:kern w:val="0"/>
          <w:szCs w:val="22"/>
          <w:lang w:eastAsia="cs-CZ" w:bidi="ar-SA"/>
        </w:rPr>
        <w:t xml:space="preserve">    </w:t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 xml:space="preserve">(tj. </w:t>
      </w:r>
      <w:r>
        <w:rPr>
          <w:rFonts w:eastAsia="Times New Roman" w:cs="Arial"/>
          <w:kern w:val="0"/>
          <w:szCs w:val="22"/>
          <w:lang w:eastAsia="cs-CZ" w:bidi="ar-SA"/>
        </w:rPr>
        <w:t>hodnocené doby plnění</w:t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 xml:space="preserve"> </w:t>
      </w:r>
      <w:r w:rsidR="009D35D0">
        <w:rPr>
          <w:rFonts w:eastAsia="Times New Roman" w:cs="Arial"/>
          <w:kern w:val="0"/>
          <w:szCs w:val="22"/>
          <w:lang w:eastAsia="cs-CZ" w:bidi="ar-SA"/>
        </w:rPr>
        <w:t xml:space="preserve">předmětu </w:t>
      </w:r>
      <w:r w:rsidR="00446481" w:rsidRPr="00446481">
        <w:rPr>
          <w:rFonts w:eastAsia="Times New Roman" w:cs="Arial"/>
          <w:kern w:val="0"/>
          <w:szCs w:val="22"/>
          <w:lang w:eastAsia="cs-CZ" w:bidi="ar-SA"/>
        </w:rPr>
        <w:t>veřejné zakázky)</w:t>
      </w:r>
    </w:p>
    <w:p w14:paraId="41CB7D81" w14:textId="77777777" w:rsidR="00446481" w:rsidRPr="00446481" w:rsidRDefault="00446481" w:rsidP="00446481">
      <w:pPr>
        <w:suppressAutoHyphens w:val="0"/>
        <w:ind w:left="426"/>
        <w:rPr>
          <w:rFonts w:eastAsia="Times New Roman" w:cs="Times New Roman"/>
          <w:bCs/>
          <w:kern w:val="0"/>
          <w:lang w:eastAsia="cs-CZ" w:bidi="ar-SA"/>
        </w:rPr>
      </w:pPr>
    </w:p>
    <w:p w14:paraId="369A89B1" w14:textId="2E223D14" w:rsidR="00446481" w:rsidRPr="00446481" w:rsidRDefault="009760ED" w:rsidP="00446481">
      <w:pPr>
        <w:suppressAutoHyphens w:val="0"/>
        <w:spacing w:before="80" w:after="80" w:line="100" w:lineRule="atLeast"/>
        <w:ind w:left="426"/>
        <w:jc w:val="both"/>
        <w:rPr>
          <w:rFonts w:eastAsia="Times New Roman" w:cs="Times New Roman"/>
          <w:b/>
          <w:kern w:val="0"/>
          <w:u w:val="single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K</w:t>
      </w:r>
      <w:r w:rsidRPr="00446481">
        <w:rPr>
          <w:rFonts w:eastAsia="Times New Roman" w:cs="Times New Roman"/>
          <w:kern w:val="0"/>
          <w:lang w:eastAsia="cs-CZ" w:bidi="ar-SA"/>
        </w:rPr>
        <w:t xml:space="preserve">omise </w:t>
      </w:r>
      <w:r w:rsidR="00446481" w:rsidRPr="00446481">
        <w:rPr>
          <w:rFonts w:eastAsia="Times New Roman" w:cs="Times New Roman"/>
          <w:kern w:val="0"/>
          <w:lang w:eastAsia="cs-CZ" w:bidi="ar-SA"/>
        </w:rPr>
        <w:t xml:space="preserve">pak číselné ohodnocení nabídek dle tohoto dílčího kritéria vynásobí vahou kritéria, aby získala výsledný počet bodů, které nabídky obdržely s ohledem na </w:t>
      </w:r>
      <w:r w:rsidR="00446481" w:rsidRPr="00446481">
        <w:rPr>
          <w:rFonts w:eastAsia="Times New Roman" w:cs="Times New Roman"/>
          <w:b/>
          <w:kern w:val="0"/>
          <w:u w:val="single"/>
          <w:lang w:eastAsia="cs-CZ" w:bidi="ar-SA"/>
        </w:rPr>
        <w:t>váhu kritéria (15 %).</w:t>
      </w:r>
    </w:p>
    <w:p w14:paraId="2E0CEDCD" w14:textId="729E752A" w:rsidR="004A7B01" w:rsidRDefault="00E81C96" w:rsidP="000333F2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Nabízené hodnoty </w:t>
      </w:r>
      <w:r w:rsidR="002F34FB">
        <w:rPr>
          <w:szCs w:val="22"/>
        </w:rPr>
        <w:t>účastníci</w:t>
      </w:r>
      <w:r w:rsidRPr="00082FF8">
        <w:rPr>
          <w:szCs w:val="22"/>
        </w:rPr>
        <w:t xml:space="preserve"> doplní do krycího listu, který je </w:t>
      </w:r>
      <w:hyperlink w:anchor="_Příloha_č._2_2" w:history="1">
        <w:r w:rsidRPr="00080672">
          <w:rPr>
            <w:rStyle w:val="Hypertextovodkaz"/>
          </w:rPr>
          <w:t>Přílohou č. 2</w:t>
        </w:r>
      </w:hyperlink>
      <w:r w:rsidRPr="00082FF8">
        <w:rPr>
          <w:szCs w:val="22"/>
        </w:rPr>
        <w:t xml:space="preserve"> </w:t>
      </w:r>
      <w:proofErr w:type="gramStart"/>
      <w:r w:rsidRPr="00082FF8">
        <w:rPr>
          <w:szCs w:val="22"/>
        </w:rPr>
        <w:t>této</w:t>
      </w:r>
      <w:proofErr w:type="gramEnd"/>
      <w:r w:rsidRPr="00082FF8">
        <w:rPr>
          <w:szCs w:val="22"/>
        </w:rPr>
        <w:t xml:space="preserve"> dokumentace.</w:t>
      </w:r>
      <w:r w:rsidR="00241D69">
        <w:rPr>
          <w:szCs w:val="22"/>
        </w:rPr>
        <w:t xml:space="preserve"> Nabídkovou cenu účastník uvede zaokrouhlenou na 2 (dvě) desetinn</w:t>
      </w:r>
      <w:r w:rsidR="00766E91">
        <w:rPr>
          <w:szCs w:val="22"/>
        </w:rPr>
        <w:t>á</w:t>
      </w:r>
      <w:r w:rsidR="00241D69">
        <w:rPr>
          <w:szCs w:val="22"/>
        </w:rPr>
        <w:t xml:space="preserve"> místa.</w:t>
      </w:r>
    </w:p>
    <w:p w14:paraId="410BAEC2" w14:textId="77777777" w:rsidR="009332ED" w:rsidRPr="009332ED" w:rsidRDefault="009332ED" w:rsidP="009332ED">
      <w:pPr>
        <w:spacing w:before="120"/>
        <w:jc w:val="both"/>
        <w:rPr>
          <w:szCs w:val="22"/>
        </w:rPr>
      </w:pPr>
    </w:p>
    <w:p w14:paraId="783C27C8" w14:textId="77777777" w:rsidR="002E7E98" w:rsidRPr="007D24C3" w:rsidRDefault="0015650F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301782375"/>
      <w:bookmarkStart w:id="52" w:name="_Toc50949382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1"/>
      <w:bookmarkEnd w:id="52"/>
    </w:p>
    <w:p w14:paraId="36CF25A8" w14:textId="499DC9AB" w:rsidR="00005115" w:rsidRPr="00073E15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</w:t>
      </w:r>
      <w:r w:rsidR="005868AB" w:rsidRPr="00073E15">
        <w:rPr>
          <w:szCs w:val="22"/>
        </w:rPr>
        <w:t>do </w:t>
      </w:r>
      <w:r w:rsidR="00D0596E" w:rsidRPr="00073E15">
        <w:rPr>
          <w:b/>
          <w:szCs w:val="22"/>
        </w:rPr>
        <w:t>15</w:t>
      </w:r>
      <w:r w:rsidR="007B613E" w:rsidRPr="00073E15">
        <w:rPr>
          <w:b/>
          <w:szCs w:val="22"/>
        </w:rPr>
        <w:t>.</w:t>
      </w:r>
      <w:r w:rsidR="00794D10" w:rsidRPr="00073E15">
        <w:rPr>
          <w:b/>
          <w:szCs w:val="22"/>
        </w:rPr>
        <w:t> </w:t>
      </w:r>
      <w:r w:rsidR="00D0596E" w:rsidRPr="00073E15">
        <w:rPr>
          <w:b/>
          <w:szCs w:val="22"/>
        </w:rPr>
        <w:t>5</w:t>
      </w:r>
      <w:r w:rsidR="009A24FF" w:rsidRPr="00073E15">
        <w:rPr>
          <w:b/>
          <w:szCs w:val="22"/>
        </w:rPr>
        <w:t>.</w:t>
      </w:r>
      <w:r w:rsidR="00794D10" w:rsidRPr="00073E15">
        <w:rPr>
          <w:b/>
          <w:szCs w:val="22"/>
        </w:rPr>
        <w:t xml:space="preserve"> </w:t>
      </w:r>
      <w:r w:rsidR="00DF14A1" w:rsidRPr="00073E15">
        <w:rPr>
          <w:b/>
          <w:szCs w:val="22"/>
        </w:rPr>
        <w:t>201</w:t>
      </w:r>
      <w:r w:rsidR="00F640EF" w:rsidRPr="00073E15">
        <w:rPr>
          <w:b/>
          <w:szCs w:val="22"/>
        </w:rPr>
        <w:t>8</w:t>
      </w:r>
      <w:r w:rsidRPr="00073E15">
        <w:rPr>
          <w:b/>
          <w:szCs w:val="22"/>
        </w:rPr>
        <w:t xml:space="preserve"> do </w:t>
      </w:r>
      <w:r w:rsidR="00D0596E" w:rsidRPr="00073E15">
        <w:rPr>
          <w:b/>
          <w:szCs w:val="22"/>
        </w:rPr>
        <w:t>14</w:t>
      </w:r>
      <w:r w:rsidRPr="00073E15">
        <w:rPr>
          <w:b/>
          <w:szCs w:val="22"/>
        </w:rPr>
        <w:t>:</w:t>
      </w:r>
      <w:r w:rsidR="00D0596E" w:rsidRPr="00073E15">
        <w:rPr>
          <w:b/>
          <w:szCs w:val="22"/>
        </w:rPr>
        <w:t>00</w:t>
      </w:r>
      <w:r w:rsidRPr="00073E15">
        <w:rPr>
          <w:b/>
          <w:szCs w:val="22"/>
        </w:rPr>
        <w:t xml:space="preserve"> hodin</w:t>
      </w:r>
      <w:r w:rsidR="00080672" w:rsidRPr="00073E15">
        <w:rPr>
          <w:b/>
          <w:szCs w:val="22"/>
        </w:rPr>
        <w:t>.</w:t>
      </w:r>
    </w:p>
    <w:p w14:paraId="43E47D91" w14:textId="555DA374" w:rsidR="00827711" w:rsidRPr="00073E15" w:rsidRDefault="0082771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073E15">
        <w:rPr>
          <w:szCs w:val="22"/>
        </w:rPr>
        <w:t xml:space="preserve">Otevírání nabídek se uskuteční </w:t>
      </w:r>
      <w:r w:rsidR="00D0596E" w:rsidRPr="00073E15">
        <w:rPr>
          <w:szCs w:val="22"/>
        </w:rPr>
        <w:t>15</w:t>
      </w:r>
      <w:r w:rsidRPr="00073E15">
        <w:rPr>
          <w:szCs w:val="22"/>
        </w:rPr>
        <w:t>.</w:t>
      </w:r>
      <w:r w:rsidR="00794D10" w:rsidRPr="00073E15">
        <w:rPr>
          <w:szCs w:val="22"/>
        </w:rPr>
        <w:t xml:space="preserve"> </w:t>
      </w:r>
      <w:r w:rsidR="00D0596E" w:rsidRPr="00073E15">
        <w:rPr>
          <w:szCs w:val="22"/>
        </w:rPr>
        <w:t>5</w:t>
      </w:r>
      <w:r w:rsidR="009A24FF" w:rsidRPr="00073E15">
        <w:rPr>
          <w:szCs w:val="22"/>
        </w:rPr>
        <w:t>.</w:t>
      </w:r>
      <w:r w:rsidR="00794D10" w:rsidRPr="00073E15">
        <w:rPr>
          <w:szCs w:val="22"/>
        </w:rPr>
        <w:t xml:space="preserve"> </w:t>
      </w:r>
      <w:r w:rsidR="00DF14A1" w:rsidRPr="00073E15">
        <w:rPr>
          <w:szCs w:val="22"/>
        </w:rPr>
        <w:t>201</w:t>
      </w:r>
      <w:r w:rsidR="00F640EF" w:rsidRPr="00073E15">
        <w:rPr>
          <w:szCs w:val="22"/>
        </w:rPr>
        <w:t>8</w:t>
      </w:r>
      <w:r w:rsidRPr="00073E15">
        <w:rPr>
          <w:szCs w:val="22"/>
        </w:rPr>
        <w:t xml:space="preserve"> v</w:t>
      </w:r>
      <w:r w:rsidR="007B613E" w:rsidRPr="00073E15">
        <w:rPr>
          <w:szCs w:val="22"/>
        </w:rPr>
        <w:t> </w:t>
      </w:r>
      <w:r w:rsidR="00D0596E" w:rsidRPr="00073E15">
        <w:rPr>
          <w:szCs w:val="22"/>
        </w:rPr>
        <w:t>14</w:t>
      </w:r>
      <w:r w:rsidRPr="00073E15">
        <w:rPr>
          <w:szCs w:val="22"/>
        </w:rPr>
        <w:t>:</w:t>
      </w:r>
      <w:r w:rsidR="00D0596E" w:rsidRPr="00073E15">
        <w:rPr>
          <w:szCs w:val="22"/>
        </w:rPr>
        <w:t>15</w:t>
      </w:r>
      <w:r w:rsidRPr="00073E15">
        <w:rPr>
          <w:szCs w:val="22"/>
        </w:rPr>
        <w:t xml:space="preserve"> hodin na adrese: Správa státních hmotných rezerv, Šeříková 616/1, 150 85 Praha 5 - Malá Strana a bude neveřejné.</w:t>
      </w:r>
    </w:p>
    <w:p w14:paraId="2FB1EDDB" w14:textId="77777777" w:rsidR="00005115" w:rsidRDefault="00005115" w:rsidP="00005115">
      <w:pPr>
        <w:spacing w:before="120"/>
        <w:jc w:val="both"/>
      </w:pPr>
    </w:p>
    <w:p w14:paraId="57FEBDA7" w14:textId="77777777" w:rsidR="004671E8" w:rsidRPr="007D24C3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3" w:name="_Toc509493826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3"/>
    </w:p>
    <w:p w14:paraId="62BE9A5D" w14:textId="77777777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4" w:name="_požadavky_na_prokázání"/>
      <w:bookmarkEnd w:id="54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247BC2" w:rsidRPr="00BE636F">
        <w:rPr>
          <w:rFonts w:cs="Arial"/>
          <w:b/>
          <w:szCs w:val="22"/>
        </w:rPr>
        <w:t>90</w:t>
      </w:r>
      <w:r w:rsidR="004671E8" w:rsidRPr="00BE636F">
        <w:rPr>
          <w:rFonts w:cs="Arial"/>
          <w:szCs w:val="22"/>
        </w:rPr>
        <w:t xml:space="preserve"> </w:t>
      </w:r>
      <w:r w:rsidR="002008E1" w:rsidRPr="00BE636F">
        <w:rPr>
          <w:rFonts w:cs="Arial"/>
          <w:b/>
          <w:szCs w:val="22"/>
        </w:rPr>
        <w:t>kalendářních dnů</w:t>
      </w:r>
      <w:r w:rsidR="002008E1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5" w:name="_požadavky_na_prokázání_1"/>
      <w:bookmarkEnd w:id="47"/>
      <w:bookmarkEnd w:id="55"/>
    </w:p>
    <w:p w14:paraId="4534D4C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16D48F59" w14:textId="77777777" w:rsidR="00F94F70" w:rsidRPr="007D24C3" w:rsidRDefault="00F94F70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6" w:name="_Závazná_struktura_nabídky"/>
      <w:bookmarkStart w:id="57" w:name="_Toc509493827"/>
      <w:bookmarkEnd w:id="56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7"/>
    </w:p>
    <w:p w14:paraId="738BF8C2" w14:textId="77777777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obchodní a platební podmínky jsou obsaženy v závazném návrhu smlouvy uvedené </w:t>
      </w:r>
      <w:r w:rsidR="00E964EE" w:rsidRPr="00080672">
        <w:rPr>
          <w:szCs w:val="22"/>
        </w:rPr>
        <w:t xml:space="preserve">   </w:t>
      </w:r>
      <w:r w:rsidRPr="00080672">
        <w:rPr>
          <w:szCs w:val="22"/>
        </w:rPr>
        <w:t>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5BD329DA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2A98BC41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77777777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27A4A07D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1E7B0A27" w14:textId="77777777" w:rsidR="00BE636F" w:rsidRDefault="00BE636F" w:rsidP="00BE636F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lastRenderedPageBreak/>
        <w:t>Kontaktní osoba zadavatele:</w:t>
      </w:r>
    </w:p>
    <w:p w14:paraId="714149E4" w14:textId="5F511ED3" w:rsidR="00BE636F" w:rsidRPr="00DC2113" w:rsidRDefault="00DC2113" w:rsidP="00BE636F">
      <w:pPr>
        <w:spacing w:before="120"/>
        <w:ind w:left="568"/>
        <w:jc w:val="both"/>
        <w:rPr>
          <w:szCs w:val="22"/>
        </w:rPr>
      </w:pPr>
      <w:r w:rsidRPr="00DC2113">
        <w:rPr>
          <w:szCs w:val="22"/>
        </w:rPr>
        <w:t>Ing. arch. Jiří Soukup</w:t>
      </w:r>
      <w:r w:rsidR="00BE636F" w:rsidRPr="00DC2113">
        <w:rPr>
          <w:szCs w:val="22"/>
        </w:rPr>
        <w:t>, specialista veřejných zakázek</w:t>
      </w:r>
    </w:p>
    <w:p w14:paraId="70BC93DB" w14:textId="4F517F22" w:rsidR="00BE636F" w:rsidRDefault="00DC2113" w:rsidP="00BE636F">
      <w:pPr>
        <w:spacing w:before="120"/>
        <w:ind w:left="567"/>
        <w:rPr>
          <w:color w:val="0000CC"/>
          <w:szCs w:val="22"/>
          <w:u w:val="single"/>
        </w:rPr>
      </w:pPr>
      <w:r w:rsidRPr="00DC2113">
        <w:rPr>
          <w:szCs w:val="22"/>
        </w:rPr>
        <w:t>tel.: 222 806 123</w:t>
      </w:r>
      <w:r w:rsidR="00BE636F" w:rsidRPr="00DC2113">
        <w:rPr>
          <w:szCs w:val="22"/>
        </w:rPr>
        <w:t>, e</w:t>
      </w:r>
      <w:r w:rsidR="00980DA5" w:rsidRPr="00DC2113">
        <w:rPr>
          <w:szCs w:val="22"/>
        </w:rPr>
        <w:t>-</w:t>
      </w:r>
      <w:r w:rsidR="00BE636F" w:rsidRPr="00DC2113">
        <w:rPr>
          <w:szCs w:val="22"/>
        </w:rPr>
        <w:t xml:space="preserve">mail: </w:t>
      </w:r>
      <w:r w:rsidRPr="00DC2113">
        <w:rPr>
          <w:color w:val="0000CC"/>
          <w:szCs w:val="22"/>
          <w:u w:val="single"/>
        </w:rPr>
        <w:t>jsoukup</w:t>
      </w:r>
      <w:r w:rsidR="00BE636F" w:rsidRPr="0057674D">
        <w:rPr>
          <w:color w:val="0000CC"/>
          <w:szCs w:val="22"/>
          <w:u w:val="single"/>
        </w:rPr>
        <w:t>@sshr.cz</w:t>
      </w:r>
    </w:p>
    <w:p w14:paraId="04870AB4" w14:textId="77777777" w:rsidR="009C46DB" w:rsidRPr="0057674D" w:rsidRDefault="009C46DB" w:rsidP="00BE636F">
      <w:pPr>
        <w:spacing w:before="120"/>
        <w:ind w:left="567"/>
        <w:rPr>
          <w:szCs w:val="22"/>
        </w:rPr>
      </w:pPr>
    </w:p>
    <w:p w14:paraId="40A1518A" w14:textId="77777777" w:rsidR="009E189B" w:rsidRPr="007D24C3" w:rsidRDefault="009E189B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8" w:name="_Toc301782378"/>
      <w:bookmarkStart w:id="59" w:name="_Toc509493828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8"/>
      <w:bookmarkEnd w:id="59"/>
    </w:p>
    <w:p w14:paraId="07C1F187" w14:textId="77777777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365B8C14" w14:textId="77777777" w:rsidR="00835509" w:rsidRPr="00080672" w:rsidRDefault="00590B44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01DE2324" w14:textId="77777777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0" w:name="_Přílohy"/>
      <w:bookmarkStart w:id="61" w:name="_Toc301782379"/>
      <w:bookmarkStart w:id="62" w:name="_Toc509493829"/>
      <w:bookmarkEnd w:id="60"/>
      <w:r w:rsidRPr="005024D8">
        <w:rPr>
          <w:rFonts w:cs="Arial"/>
          <w:caps w:val="0"/>
          <w:kern w:val="24"/>
          <w:szCs w:val="24"/>
        </w:rPr>
        <w:t>Přílohy</w:t>
      </w:r>
      <w:bookmarkEnd w:id="61"/>
      <w:bookmarkEnd w:id="62"/>
    </w:p>
    <w:p w14:paraId="41F6CA29" w14:textId="77777777" w:rsidR="003D6E98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E5011C">
        <w:rPr>
          <w:rStyle w:val="Hypertextovodkaz"/>
          <w:color w:val="auto"/>
          <w:u w:val="none"/>
        </w:rPr>
        <w:t xml:space="preserve">Příloha č. </w:t>
      </w:r>
      <w:r w:rsidR="009F227D" w:rsidRPr="00E5011C">
        <w:rPr>
          <w:rStyle w:val="Hypertextovodkaz"/>
          <w:color w:val="auto"/>
          <w:u w:val="none"/>
        </w:rPr>
        <w:t>1</w:t>
      </w:r>
      <w:r w:rsidR="003D6E98" w:rsidRPr="00E5011C">
        <w:rPr>
          <w:rStyle w:val="Hypertextovodkaz"/>
          <w:color w:val="auto"/>
          <w:u w:val="none"/>
        </w:rPr>
        <w:t xml:space="preserve"> </w:t>
      </w:r>
      <w:r w:rsidR="008D12E5" w:rsidRPr="00E5011C">
        <w:rPr>
          <w:rStyle w:val="Hypertextovodkaz"/>
          <w:color w:val="auto"/>
          <w:u w:val="none"/>
        </w:rPr>
        <w:tab/>
      </w:r>
      <w:r w:rsidR="003D6E98" w:rsidRPr="00E5011C">
        <w:rPr>
          <w:rStyle w:val="Hypertextovodkaz"/>
          <w:color w:val="auto"/>
          <w:u w:val="none"/>
        </w:rPr>
        <w:t xml:space="preserve">– </w:t>
      </w:r>
      <w:r w:rsidR="000D4C4A" w:rsidRPr="00E5011C">
        <w:rPr>
          <w:rStyle w:val="Hypertextovodkaz"/>
          <w:color w:val="auto"/>
          <w:u w:val="none"/>
        </w:rPr>
        <w:t>S</w:t>
      </w:r>
      <w:r w:rsidR="003D6E98" w:rsidRPr="00E5011C">
        <w:rPr>
          <w:rStyle w:val="Hypertextovodkaz"/>
          <w:color w:val="auto"/>
          <w:u w:val="none"/>
        </w:rPr>
        <w:t>mlouv</w:t>
      </w:r>
      <w:r w:rsidR="000D4C4A" w:rsidRPr="00E5011C">
        <w:rPr>
          <w:rStyle w:val="Hypertextovodkaz"/>
          <w:color w:val="auto"/>
          <w:u w:val="none"/>
        </w:rPr>
        <w:t>a</w:t>
      </w:r>
    </w:p>
    <w:p w14:paraId="33B65593" w14:textId="77777777" w:rsidR="00812750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12750" w:rsidRPr="00E5011C">
          <w:t xml:space="preserve"> </w:t>
        </w:r>
        <w:r w:rsidR="008D12E5" w:rsidRPr="00E5011C">
          <w:tab/>
        </w:r>
        <w:r w:rsidR="00812750" w:rsidRPr="00E5011C">
          <w:t>– Krycí list nabídky</w:t>
        </w:r>
      </w:hyperlink>
    </w:p>
    <w:p w14:paraId="74FDA83D" w14:textId="77777777" w:rsidR="00EC16D6" w:rsidRPr="00E5011C" w:rsidRDefault="00073E1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2F34FB">
          <w:t>účastníka</w:t>
        </w:r>
        <w:r w:rsidR="00A83879" w:rsidRPr="00E5011C">
          <w:t xml:space="preserve"> k nabídce</w:t>
        </w:r>
      </w:hyperlink>
    </w:p>
    <w:p w14:paraId="422C2312" w14:textId="33130294" w:rsidR="00EC16D6" w:rsidRPr="00E5011C" w:rsidRDefault="00073E1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BE636F">
        <w:t xml:space="preserve"> způsobilosti</w:t>
      </w:r>
    </w:p>
    <w:p w14:paraId="678EA052" w14:textId="7FE43719" w:rsidR="001A32E2" w:rsidRDefault="00073E15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51166D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7122A501" w14:textId="529909D4" w:rsidR="000E6374" w:rsidRPr="00E5011C" w:rsidRDefault="00073E15" w:rsidP="000E6374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0E6374" w:rsidRPr="00C260E8">
          <w:rPr>
            <w:szCs w:val="22"/>
          </w:rPr>
          <w:t xml:space="preserve">Příloha č. 3D </w:t>
        </w:r>
        <w:r w:rsidR="000E6374" w:rsidRPr="00C260E8">
          <w:rPr>
            <w:szCs w:val="22"/>
          </w:rPr>
          <w:tab/>
          <w:t>– Čestné prohlášení – § 4b zákona č. 159/2006 Sb., o střetu zájmů</w:t>
        </w:r>
      </w:hyperlink>
    </w:p>
    <w:p w14:paraId="12E89404" w14:textId="77777777" w:rsidR="00847FF9" w:rsidRDefault="00847FF9" w:rsidP="005D7CEE">
      <w:pPr>
        <w:pStyle w:val="Zkladntext"/>
        <w:keepNext/>
        <w:keepLines/>
        <w:spacing w:before="360"/>
        <w:rPr>
          <w:szCs w:val="22"/>
        </w:rPr>
      </w:pPr>
    </w:p>
    <w:p w14:paraId="2BC1F013" w14:textId="05AEEAE9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 xml:space="preserve">V Praze dne </w:t>
      </w:r>
      <w:r w:rsidR="00073E15">
        <w:rPr>
          <w:szCs w:val="22"/>
        </w:rPr>
        <w:t xml:space="preserve">17. </w:t>
      </w:r>
      <w:bookmarkStart w:id="63" w:name="_GoBack"/>
      <w:bookmarkEnd w:id="63"/>
      <w:r w:rsidR="00073E15">
        <w:rPr>
          <w:szCs w:val="22"/>
        </w:rPr>
        <w:t xml:space="preserve">4. </w:t>
      </w:r>
      <w:r w:rsidR="00F640EF" w:rsidRPr="001E244D">
        <w:rPr>
          <w:szCs w:val="22"/>
        </w:rPr>
        <w:t>2</w:t>
      </w:r>
      <w:r w:rsidR="00F640EF" w:rsidRPr="0001350E">
        <w:rPr>
          <w:szCs w:val="22"/>
        </w:rPr>
        <w:t>018</w:t>
      </w:r>
    </w:p>
    <w:p w14:paraId="4A23C213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77777777" w:rsidR="005D7CEE" w:rsidRDefault="0026714B" w:rsidP="0026714B">
      <w:pPr>
        <w:pStyle w:val="Zkladntext30"/>
        <w:shd w:val="clear" w:color="auto" w:fill="auto"/>
        <w:tabs>
          <w:tab w:val="left" w:pos="5387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  <w:t xml:space="preserve">    </w:t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77777777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509493830"/>
      <w:bookmarkStart w:id="66" w:name="_Toc378773426"/>
      <w:bookmarkStart w:id="67" w:name="_Toc384720771"/>
      <w:bookmarkEnd w:id="64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bookmarkEnd w:id="65"/>
    </w:p>
    <w:p w14:paraId="666E5068" w14:textId="77777777" w:rsidR="000221EF" w:rsidRPr="00863CB6" w:rsidRDefault="000221EF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310F9E44" w14:textId="5D6D3F12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4E4F5A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77777777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Toc509493831"/>
      <w:bookmarkEnd w:id="68"/>
      <w:bookmarkEnd w:id="69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6"/>
      <w:bookmarkEnd w:id="67"/>
      <w:bookmarkEnd w:id="70"/>
    </w:p>
    <w:p w14:paraId="502814A3" w14:textId="77777777" w:rsidR="00EC16D6" w:rsidRPr="00FC3CB8" w:rsidRDefault="00367888" w:rsidP="008B655A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6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2BDDA1D8" w:rsidR="00AE0000" w:rsidRPr="00AE0000" w:rsidRDefault="00AE0000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6C1A12" w:rsidRPr="00E81945">
        <w:rPr>
          <w:rFonts w:cs="Arial"/>
          <w:b/>
          <w:sz w:val="28"/>
          <w:szCs w:val="28"/>
        </w:rPr>
        <w:t>17-231 Projektová dokumentace</w:t>
      </w:r>
      <w:r w:rsidR="006C1A12">
        <w:rPr>
          <w:rFonts w:cs="Arial"/>
          <w:b/>
          <w:sz w:val="28"/>
          <w:szCs w:val="28"/>
        </w:rPr>
        <w:t xml:space="preserve"> – Heřmanův Městec – rekonstrukce nádrže H230.02</w:t>
      </w:r>
      <w:r w:rsidRPr="00DA1D8A">
        <w:rPr>
          <w:b/>
          <w:bCs/>
          <w:iCs/>
          <w:sz w:val="32"/>
          <w:szCs w:val="32"/>
        </w:rPr>
        <w:t>“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0333F2">
      <w:pPr>
        <w:widowControl w:val="0"/>
        <w:spacing w:after="12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1CD4E66C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397A5536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956D331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69764649" w:rsidR="001D611A" w:rsidRPr="009D7DAA" w:rsidRDefault="00203B55" w:rsidP="002B56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6BD7D099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236000C2" w:rsidR="001D611A" w:rsidRPr="009D7DAA" w:rsidRDefault="00203B55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4681A387" w14:textId="77777777" w:rsidR="00EC16D6" w:rsidRPr="00E47974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 xml:space="preserve">Nabídková </w:t>
      </w:r>
      <w:r w:rsidRPr="00E47974">
        <w:t>cena a další dílčí kritéria ekonomické výhodnosti</w:t>
      </w: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3207"/>
        <w:gridCol w:w="3065"/>
        <w:gridCol w:w="3226"/>
      </w:tblGrid>
      <w:tr w:rsidR="009D7DAA" w14:paraId="2E1D489A" w14:textId="77777777" w:rsidTr="00F05879">
        <w:trPr>
          <w:trHeight w:val="652"/>
        </w:trPr>
        <w:tc>
          <w:tcPr>
            <w:tcW w:w="3207" w:type="dxa"/>
            <w:vAlign w:val="center"/>
          </w:tcPr>
          <w:p w14:paraId="766B40A4" w14:textId="6C6DC8A8" w:rsidR="009D7DAA" w:rsidRPr="00407ABF" w:rsidRDefault="009D7DAA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</w:t>
            </w:r>
            <w:r w:rsidR="009D35D0">
              <w:rPr>
                <w:rFonts w:cs="Arial"/>
                <w:b/>
              </w:rPr>
              <w:t xml:space="preserve">nabídková </w:t>
            </w:r>
            <w:r>
              <w:rPr>
                <w:rFonts w:cs="Arial"/>
                <w:b/>
              </w:rPr>
              <w:t>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3065" w:type="dxa"/>
            <w:vAlign w:val="center"/>
          </w:tcPr>
          <w:p w14:paraId="0B9BC22D" w14:textId="77777777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</w:p>
        </w:tc>
        <w:tc>
          <w:tcPr>
            <w:tcW w:w="3226" w:type="dxa"/>
            <w:vAlign w:val="center"/>
          </w:tcPr>
          <w:p w14:paraId="7174EFB8" w14:textId="45C60295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</w:t>
            </w:r>
            <w:r w:rsidR="009D35D0">
              <w:rPr>
                <w:rFonts w:cs="Arial"/>
                <w:b/>
              </w:rPr>
              <w:t xml:space="preserve">nabídková </w:t>
            </w:r>
            <w:r>
              <w:rPr>
                <w:rFonts w:cs="Arial"/>
                <w:b/>
              </w:rPr>
              <w:t>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 xml:space="preserve">v Kč </w:t>
            </w:r>
            <w:r>
              <w:rPr>
                <w:rFonts w:cs="Arial"/>
                <w:b/>
              </w:rPr>
              <w:t>včetně DPH</w:t>
            </w:r>
          </w:p>
        </w:tc>
      </w:tr>
      <w:tr w:rsidR="009D7DAA" w14:paraId="5B9172E2" w14:textId="77777777" w:rsidTr="00F05879">
        <w:trPr>
          <w:trHeight w:val="397"/>
        </w:trPr>
        <w:tc>
          <w:tcPr>
            <w:tcW w:w="3207" w:type="dxa"/>
          </w:tcPr>
          <w:p w14:paraId="3476FF02" w14:textId="2AD71530" w:rsidR="009D7DAA" w:rsidRPr="005E3721" w:rsidRDefault="00203B55" w:rsidP="000333F2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065" w:type="dxa"/>
            <w:vAlign w:val="center"/>
          </w:tcPr>
          <w:p w14:paraId="5421B901" w14:textId="3B12445B" w:rsidR="009D7DAA" w:rsidRPr="0099307D" w:rsidRDefault="00203B55" w:rsidP="003D6E98">
            <w:pPr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226" w:type="dxa"/>
            <w:vAlign w:val="center"/>
          </w:tcPr>
          <w:p w14:paraId="2CC34DEE" w14:textId="324DC32A" w:rsidR="009D7DAA" w:rsidRPr="0099307D" w:rsidRDefault="00203B55" w:rsidP="003D6E98">
            <w:pPr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3F6E0114" w14:textId="77777777" w:rsidR="00E81C96" w:rsidRPr="00E47974" w:rsidRDefault="00E81C96" w:rsidP="00E47974">
      <w:pPr>
        <w:autoSpaceDE w:val="0"/>
        <w:autoSpaceDN w:val="0"/>
        <w:adjustRightInd w:val="0"/>
        <w:spacing w:before="600"/>
        <w:rPr>
          <w:rFonts w:cs="Arial"/>
          <w:szCs w:val="22"/>
        </w:rPr>
      </w:pPr>
    </w:p>
    <w:tbl>
      <w:tblPr>
        <w:tblStyle w:val="Mkatabulky"/>
        <w:tblW w:w="9527" w:type="dxa"/>
        <w:tblInd w:w="-34" w:type="dxa"/>
        <w:tblLook w:val="04A0" w:firstRow="1" w:lastRow="0" w:firstColumn="1" w:lastColumn="0" w:noHBand="0" w:noVBand="1"/>
      </w:tblPr>
      <w:tblGrid>
        <w:gridCol w:w="4729"/>
        <w:gridCol w:w="4798"/>
      </w:tblGrid>
      <w:tr w:rsidR="00E81C96" w:rsidRPr="00407ABF" w14:paraId="4571955F" w14:textId="77777777" w:rsidTr="000333F2">
        <w:trPr>
          <w:trHeight w:val="652"/>
        </w:trPr>
        <w:tc>
          <w:tcPr>
            <w:tcW w:w="4729" w:type="dxa"/>
          </w:tcPr>
          <w:p w14:paraId="09C90227" w14:textId="3F55DCDB" w:rsidR="00E81C96" w:rsidRPr="00E47974" w:rsidRDefault="00E81C96" w:rsidP="00E47974">
            <w:pPr>
              <w:jc w:val="center"/>
              <w:rPr>
                <w:rFonts w:cs="Arial"/>
                <w:b/>
                <w:highlight w:val="green"/>
              </w:rPr>
            </w:pPr>
          </w:p>
        </w:tc>
        <w:tc>
          <w:tcPr>
            <w:tcW w:w="4798" w:type="dxa"/>
            <w:vAlign w:val="center"/>
          </w:tcPr>
          <w:p w14:paraId="7F6449D6" w14:textId="6F0A1F71" w:rsidR="00E81C96" w:rsidRPr="00407ABF" w:rsidRDefault="00E47974" w:rsidP="00E81C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Nabízená hodnota </w:t>
            </w:r>
            <w:r w:rsidR="00E069B3" w:rsidRPr="00E069B3">
              <w:rPr>
                <w:rFonts w:cs="Arial"/>
                <w:b/>
              </w:rPr>
              <w:t>(v kalendářních dnech</w:t>
            </w:r>
            <w:r w:rsidR="00E81C96" w:rsidRPr="00E069B3">
              <w:rPr>
                <w:rFonts w:cs="Arial"/>
                <w:b/>
              </w:rPr>
              <w:t>)</w:t>
            </w:r>
            <w:r w:rsidR="00E81C96">
              <w:rPr>
                <w:rFonts w:cs="Arial"/>
                <w:b/>
              </w:rPr>
              <w:br/>
            </w:r>
          </w:p>
        </w:tc>
      </w:tr>
      <w:tr w:rsidR="00E81C96" w:rsidRPr="005E3721" w14:paraId="48127DDA" w14:textId="77777777" w:rsidTr="000333F2">
        <w:trPr>
          <w:trHeight w:val="397"/>
        </w:trPr>
        <w:tc>
          <w:tcPr>
            <w:tcW w:w="4729" w:type="dxa"/>
          </w:tcPr>
          <w:p w14:paraId="317C3674" w14:textId="42C00A90" w:rsidR="00E81C96" w:rsidRPr="005E3721" w:rsidRDefault="00081FA6" w:rsidP="00080672">
            <w:pPr>
              <w:spacing w:before="60" w:after="60"/>
              <w:rPr>
                <w:rFonts w:cs="Arial"/>
              </w:rPr>
            </w:pPr>
            <w:r w:rsidRPr="00E47974">
              <w:rPr>
                <w:rFonts w:cs="Arial"/>
                <w:b/>
              </w:rPr>
              <w:t xml:space="preserve">Doba plnění </w:t>
            </w:r>
            <w:r>
              <w:rPr>
                <w:rFonts w:cs="Arial"/>
                <w:b/>
              </w:rPr>
              <w:t xml:space="preserve">předmětu </w:t>
            </w:r>
            <w:r w:rsidRPr="00E47974">
              <w:rPr>
                <w:rFonts w:cs="Arial"/>
                <w:b/>
              </w:rPr>
              <w:t>veřejné zakázky</w:t>
            </w:r>
          </w:p>
        </w:tc>
        <w:tc>
          <w:tcPr>
            <w:tcW w:w="4798" w:type="dxa"/>
          </w:tcPr>
          <w:p w14:paraId="0541CAEC" w14:textId="1D99D0B1" w:rsidR="00E81C96" w:rsidRPr="005E3721" w:rsidRDefault="009D35D0" w:rsidP="002B56CB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5BCF9E52" w14:textId="4AD9F64A" w:rsidR="001670F9" w:rsidRPr="007C1397" w:rsidRDefault="001670F9" w:rsidP="006C1A12">
      <w:pPr>
        <w:autoSpaceDE w:val="0"/>
        <w:autoSpaceDN w:val="0"/>
        <w:adjustRightInd w:val="0"/>
        <w:spacing w:before="6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  <w:r w:rsidR="006C1A12">
        <w:rPr>
          <w:rFonts w:cs="Arial"/>
          <w:szCs w:val="22"/>
          <w:highlight w:val="yellow"/>
        </w:rPr>
        <w:t xml:space="preserve">                    </w:t>
      </w: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6F99FCF" w14:textId="77777777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2F34FB">
        <w:rPr>
          <w:rFonts w:cs="Arial"/>
          <w:szCs w:val="22"/>
        </w:rPr>
        <w:t>účastníka</w:t>
      </w:r>
    </w:p>
    <w:p w14:paraId="1FE6E8EC" w14:textId="77777777" w:rsidR="00EC16D6" w:rsidRPr="00FC3CB8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3"/>
      <w:bookmarkStart w:id="72" w:name="_Příloha_č._2"/>
      <w:bookmarkStart w:id="73" w:name="_Toc378773427"/>
      <w:bookmarkStart w:id="74" w:name="_Toc384720772"/>
      <w:bookmarkStart w:id="75" w:name="_Toc509493832"/>
      <w:bookmarkEnd w:id="71"/>
      <w:bookmarkEnd w:id="72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73"/>
      <w:bookmarkEnd w:id="74"/>
      <w:r w:rsidR="002F34FB">
        <w:rPr>
          <w:sz w:val="22"/>
          <w:szCs w:val="22"/>
        </w:rPr>
        <w:t>účastníka</w:t>
      </w:r>
      <w:r w:rsidR="00A83879">
        <w:rPr>
          <w:sz w:val="22"/>
          <w:szCs w:val="22"/>
        </w:rPr>
        <w:t xml:space="preserve"> k nabídce</w:t>
      </w:r>
      <w:bookmarkEnd w:id="75"/>
    </w:p>
    <w:p w14:paraId="78826FD6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6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6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5BBCADE4" w14:textId="45C047D6" w:rsidR="00784E45" w:rsidRPr="00AE0000" w:rsidRDefault="00784E45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6C1A12" w:rsidRPr="00E81945">
        <w:rPr>
          <w:rFonts w:cs="Arial"/>
          <w:b/>
          <w:sz w:val="28"/>
          <w:szCs w:val="28"/>
        </w:rPr>
        <w:t>17-231 Projektová dokumentace</w:t>
      </w:r>
      <w:r w:rsidR="006C1A12">
        <w:rPr>
          <w:rFonts w:cs="Arial"/>
          <w:b/>
          <w:sz w:val="28"/>
          <w:szCs w:val="28"/>
        </w:rPr>
        <w:t xml:space="preserve"> – Heřmanův Městec – rekonstrukce nádrže H230.02</w:t>
      </w:r>
      <w:r w:rsidRPr="00DA1D8A">
        <w:rPr>
          <w:b/>
          <w:bCs/>
          <w:iCs/>
          <w:sz w:val="32"/>
          <w:szCs w:val="32"/>
        </w:rPr>
        <w:t>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5A7CE2">
        <w:rPr>
          <w:rFonts w:cs="Arial"/>
          <w:noProof/>
          <w:sz w:val="22"/>
          <w:szCs w:val="22"/>
          <w:highlight w:val="yellow"/>
        </w:rPr>
        <w:t>………………………………………………………………….……..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E2EA7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E2EA7">
        <w:rPr>
          <w:rFonts w:cs="Arial"/>
          <w:szCs w:val="22"/>
          <w:highlight w:val="yellow"/>
        </w:rPr>
        <w:t>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………………………………………</w:t>
      </w:r>
    </w:p>
    <w:p w14:paraId="463188D1" w14:textId="77777777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386A16">
        <w:rPr>
          <w:rFonts w:cs="Arial"/>
          <w:szCs w:val="22"/>
        </w:rPr>
        <w:t>dodavatele</w:t>
      </w:r>
    </w:p>
    <w:p w14:paraId="2C401645" w14:textId="6985D47C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7" w:name="_Příloha_č._4"/>
      <w:bookmarkStart w:id="78" w:name="_Příloha_č._3B"/>
      <w:bookmarkStart w:id="79" w:name="_Toc378773428"/>
      <w:bookmarkStart w:id="80" w:name="_Toc384720773"/>
      <w:bookmarkStart w:id="81" w:name="_Toc509493833"/>
      <w:bookmarkEnd w:id="77"/>
      <w:bookmarkEnd w:id="78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79"/>
      <w:bookmarkEnd w:id="80"/>
      <w:r w:rsidR="00F3414A">
        <w:rPr>
          <w:sz w:val="22"/>
          <w:szCs w:val="22"/>
        </w:rPr>
        <w:t xml:space="preserve"> způsobilosti</w:t>
      </w:r>
      <w:bookmarkEnd w:id="81"/>
    </w:p>
    <w:p w14:paraId="31A31189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3670238A" w14:textId="77777777" w:rsidR="00F3414A" w:rsidRDefault="00F3414A" w:rsidP="003D6E98">
      <w:pPr>
        <w:pStyle w:val="Nzev"/>
        <w:rPr>
          <w:sz w:val="28"/>
          <w:szCs w:val="28"/>
        </w:rPr>
      </w:pPr>
    </w:p>
    <w:p w14:paraId="57E47EA6" w14:textId="3B9C615C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2D208E0F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553DFF03" w14:textId="4D1B588A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466CF553" w14:textId="01E883F5" w:rsidR="00F3414A" w:rsidRDefault="00F3414A" w:rsidP="00F3414A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6C1A12" w:rsidRPr="00E81945">
        <w:rPr>
          <w:rFonts w:cs="Arial"/>
          <w:b/>
          <w:sz w:val="28"/>
          <w:szCs w:val="28"/>
        </w:rPr>
        <w:t>17-231 Projektová dokumentace</w:t>
      </w:r>
      <w:r w:rsidR="006C1A12">
        <w:rPr>
          <w:rFonts w:cs="Arial"/>
          <w:b/>
          <w:sz w:val="28"/>
          <w:szCs w:val="28"/>
        </w:rPr>
        <w:t xml:space="preserve"> – Heřmanův Městec – rekonstrukce nádrže H230.02</w:t>
      </w:r>
      <w:r w:rsidRPr="00DA1D8A">
        <w:rPr>
          <w:b/>
          <w:bCs/>
          <w:iCs/>
          <w:sz w:val="32"/>
          <w:szCs w:val="32"/>
        </w:rPr>
        <w:t>“</w:t>
      </w:r>
    </w:p>
    <w:p w14:paraId="6828397B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320C82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DB83E3" w14:textId="192A6E41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386A16">
        <w:rPr>
          <w:rFonts w:cs="Arial"/>
          <w:noProof/>
          <w:szCs w:val="22"/>
        </w:rPr>
        <w:t>dodavatel</w:t>
      </w:r>
      <w:r w:rsidR="009E2EA7">
        <w:rPr>
          <w:rFonts w:cs="Arial"/>
          <w:noProof/>
          <w:szCs w:val="22"/>
        </w:rPr>
        <w:t xml:space="preserve"> </w:t>
      </w:r>
      <w:r w:rsidRPr="009E2EA7">
        <w:rPr>
          <w:rFonts w:cs="Arial"/>
          <w:noProof/>
          <w:szCs w:val="22"/>
          <w:highlight w:val="yellow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77777777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5DF01846" w14:textId="77777777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 w:rsidRPr="006E1D47">
        <w:rPr>
          <w:rFonts w:cs="Arial"/>
        </w:rPr>
        <w:t xml:space="preserve"> </w:t>
      </w:r>
      <w:r>
        <w:rPr>
          <w:rFonts w:cs="Arial"/>
        </w:rPr>
        <w:t>není 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0B438E1A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9E2EA7">
        <w:rPr>
          <w:rFonts w:cs="Arial"/>
          <w:highlight w:val="yellow"/>
        </w:rPr>
        <w:t>……………………</w:t>
      </w:r>
      <w:r w:rsidR="00FF358A" w:rsidRPr="009D7DAA">
        <w:rPr>
          <w:rFonts w:cs="Arial"/>
        </w:rPr>
        <w:t xml:space="preserve"> dne </w:t>
      </w:r>
      <w:r w:rsidR="00FF358A" w:rsidRPr="009E2EA7">
        <w:rPr>
          <w:rFonts w:cs="Arial"/>
          <w:highlight w:val="yellow"/>
        </w:rPr>
        <w:t>……………………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E2EA7">
        <w:rPr>
          <w:rFonts w:cs="Arial"/>
          <w:sz w:val="20"/>
          <w:szCs w:val="20"/>
          <w:highlight w:val="yellow"/>
        </w:rPr>
        <w:t>…………………………………………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77777777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F315B3" w:rsidRPr="00E92AC0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386A16">
        <w:rPr>
          <w:rFonts w:cs="Arial"/>
          <w:sz w:val="20"/>
          <w:szCs w:val="20"/>
        </w:rPr>
        <w:t>dodavatele</w:t>
      </w:r>
      <w:r w:rsidR="00367888" w:rsidRPr="00FC3CB8">
        <w:br w:type="page"/>
      </w:r>
    </w:p>
    <w:p w14:paraId="3F95998F" w14:textId="578CE503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2" w:name="_Příloha_č._5"/>
      <w:bookmarkStart w:id="83" w:name="_Příloha_č._3C"/>
      <w:bookmarkStart w:id="84" w:name="_Příloha_č._3D"/>
      <w:bookmarkStart w:id="85" w:name="_Toc428881723"/>
      <w:bookmarkStart w:id="86" w:name="_Toc431909489"/>
      <w:bookmarkStart w:id="87" w:name="_Toc432601075"/>
      <w:bookmarkStart w:id="88" w:name="_Toc432768177"/>
      <w:bookmarkStart w:id="89" w:name="_Toc509493834"/>
      <w:bookmarkEnd w:id="82"/>
      <w:bookmarkEnd w:id="83"/>
      <w:bookmarkEnd w:id="84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85"/>
      <w:bookmarkEnd w:id="86"/>
      <w:bookmarkEnd w:id="87"/>
      <w:bookmarkEnd w:id="88"/>
      <w:bookmarkEnd w:id="89"/>
    </w:p>
    <w:p w14:paraId="6930D884" w14:textId="68E247B3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4BE59F6E" w14:textId="4FBAFA4A" w:rsidR="00784E45" w:rsidRDefault="00784E45" w:rsidP="00784E45">
      <w:pPr>
        <w:pStyle w:val="Podnadpis"/>
      </w:pPr>
    </w:p>
    <w:p w14:paraId="69062BEF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2CD05F9F" w14:textId="15015EE9" w:rsidR="00784E45" w:rsidRPr="00AE0000" w:rsidRDefault="00784E45" w:rsidP="00784E4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6C1A12" w:rsidRPr="00E81945">
        <w:rPr>
          <w:rFonts w:cs="Arial"/>
          <w:b/>
          <w:sz w:val="28"/>
          <w:szCs w:val="28"/>
        </w:rPr>
        <w:t>17-231 Projektová dokumentace</w:t>
      </w:r>
      <w:r w:rsidR="006C1A12">
        <w:rPr>
          <w:rFonts w:cs="Arial"/>
          <w:b/>
          <w:sz w:val="28"/>
          <w:szCs w:val="28"/>
        </w:rPr>
        <w:t xml:space="preserve"> – Heřmanův Městec – rekonstrukce nádrže H230.02</w:t>
      </w:r>
      <w:r w:rsidRPr="00DA1D8A">
        <w:rPr>
          <w:b/>
          <w:bCs/>
          <w:iCs/>
          <w:sz w:val="32"/>
          <w:szCs w:val="32"/>
        </w:rPr>
        <w:t>“</w:t>
      </w:r>
    </w:p>
    <w:p w14:paraId="50F1218A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320BD07" w14:textId="4DA08F9C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1EF2A6E" w14:textId="49A46D4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3557E1">
        <w:rPr>
          <w:rFonts w:cs="Arial"/>
          <w:szCs w:val="22"/>
        </w:rPr>
        <w:t>dodavatel</w:t>
      </w:r>
      <w:r w:rsidR="00DA1D8A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…………………………………………....................</w:t>
      </w:r>
      <w:r w:rsidRPr="00C009B5">
        <w:rPr>
          <w:rFonts w:cs="Arial"/>
          <w:szCs w:val="22"/>
        </w:rPr>
        <w:t xml:space="preserve"> 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71F7FFD" w14:textId="1CDEB698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E7DE195" w14:textId="77777777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777777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........…………………………………...</w:t>
      </w:r>
    </w:p>
    <w:p w14:paraId="204F8C36" w14:textId="2913ADEB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9E2EA7">
        <w:rPr>
          <w:rFonts w:cs="Arial"/>
          <w:szCs w:val="22"/>
        </w:rPr>
        <w:t xml:space="preserve"> a podpis osoby</w:t>
      </w:r>
    </w:p>
    <w:p w14:paraId="26C2C657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3557E1">
        <w:rPr>
          <w:rFonts w:cs="Arial"/>
          <w:szCs w:val="22"/>
        </w:rPr>
        <w:t>dodavatele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CCBD433" w14:textId="1006D24A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  <w:bookmarkStart w:id="90" w:name="_Příloha_č._4_1"/>
      <w:bookmarkStart w:id="91" w:name="_Toc509493835"/>
      <w:bookmarkEnd w:id="90"/>
      <w:r w:rsidRPr="00C72752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91"/>
    </w:p>
    <w:p w14:paraId="7F753D3D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14B4876E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0639909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792A7AC6" w14:textId="77777777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</w:p>
    <w:p w14:paraId="2D86C417" w14:textId="77777777" w:rsidR="00C72752" w:rsidRPr="005263FE" w:rsidRDefault="00C72752" w:rsidP="00C72752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>ČESTNÉ PROHLÁŠENÍ DODAVATELE</w:t>
      </w:r>
    </w:p>
    <w:p w14:paraId="261D6153" w14:textId="77777777" w:rsidR="00C72752" w:rsidRDefault="00C72752" w:rsidP="00C72752">
      <w:pPr>
        <w:pStyle w:val="Nzev"/>
        <w:widowControl w:val="0"/>
        <w:rPr>
          <w:color w:val="000000"/>
          <w:sz w:val="28"/>
          <w:szCs w:val="28"/>
        </w:rPr>
      </w:pPr>
    </w:p>
    <w:p w14:paraId="502B851E" w14:textId="77777777" w:rsidR="00C72752" w:rsidRPr="00FC3CB8" w:rsidRDefault="00C72752" w:rsidP="00C7275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309EB32E" w14:textId="40AAAE9D" w:rsidR="00C72752" w:rsidRPr="00AE0000" w:rsidRDefault="00C72752" w:rsidP="00C7275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6C1A12" w:rsidRPr="00E81945">
        <w:rPr>
          <w:rFonts w:cs="Arial"/>
          <w:b/>
          <w:sz w:val="28"/>
          <w:szCs w:val="28"/>
        </w:rPr>
        <w:t>17-231 Projektová dokumentace</w:t>
      </w:r>
      <w:r w:rsidR="006C1A12">
        <w:rPr>
          <w:rFonts w:cs="Arial"/>
          <w:b/>
          <w:sz w:val="28"/>
          <w:szCs w:val="28"/>
        </w:rPr>
        <w:t xml:space="preserve"> – Heřmanův Městec – rekonstrukce nádrže H230.02</w:t>
      </w:r>
      <w:r w:rsidRPr="00DA1D8A">
        <w:rPr>
          <w:b/>
          <w:bCs/>
          <w:iCs/>
          <w:sz w:val="32"/>
          <w:szCs w:val="32"/>
        </w:rPr>
        <w:t>“</w:t>
      </w:r>
    </w:p>
    <w:p w14:paraId="534CB909" w14:textId="77777777" w:rsidR="00C72752" w:rsidRPr="00FC3CB8" w:rsidRDefault="00C72752" w:rsidP="00C7275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4163797E" w14:textId="77777777" w:rsidR="00C72752" w:rsidRDefault="00C72752" w:rsidP="00C7275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2038ADD8" w14:textId="77777777" w:rsidR="00C72752" w:rsidRPr="0035363D" w:rsidRDefault="00C72752" w:rsidP="00C72752">
      <w:pPr>
        <w:keepNext/>
        <w:jc w:val="center"/>
        <w:rPr>
          <w:rFonts w:cs="Arial"/>
          <w:b/>
          <w:sz w:val="28"/>
          <w:szCs w:val="22"/>
        </w:rPr>
      </w:pPr>
    </w:p>
    <w:p w14:paraId="3971ED7E" w14:textId="77777777" w:rsidR="00C72752" w:rsidRPr="00C448AA" w:rsidRDefault="00C72752" w:rsidP="00C72752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ust.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62B0D330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34A2BF2A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628C8938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447916D0" w14:textId="77777777" w:rsidR="00C72752" w:rsidRDefault="00C72752" w:rsidP="00C72752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746D11DC" w14:textId="77777777" w:rsidR="00C72752" w:rsidRDefault="00C72752" w:rsidP="00C72752">
      <w:pPr>
        <w:keepNext/>
        <w:rPr>
          <w:rFonts w:cs="Arial"/>
          <w:szCs w:val="22"/>
        </w:rPr>
      </w:pPr>
    </w:p>
    <w:p w14:paraId="17531F22" w14:textId="77777777" w:rsidR="00C72752" w:rsidRDefault="00C72752" w:rsidP="00C72752">
      <w:pPr>
        <w:keepNext/>
        <w:rPr>
          <w:rFonts w:cs="Arial"/>
          <w:szCs w:val="22"/>
        </w:rPr>
      </w:pPr>
    </w:p>
    <w:p w14:paraId="6ADE18B7" w14:textId="77777777" w:rsidR="00C72752" w:rsidRDefault="00C72752" w:rsidP="00C72752">
      <w:pPr>
        <w:keepNext/>
        <w:rPr>
          <w:rFonts w:cs="Arial"/>
          <w:szCs w:val="22"/>
        </w:rPr>
      </w:pPr>
    </w:p>
    <w:p w14:paraId="65671B9D" w14:textId="77777777" w:rsidR="00C72752" w:rsidRPr="00C009B5" w:rsidRDefault="00C72752" w:rsidP="00C7275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E2EA7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9E2EA7">
        <w:rPr>
          <w:rFonts w:cs="Arial"/>
          <w:szCs w:val="22"/>
          <w:highlight w:val="yellow"/>
        </w:rPr>
        <w:t>……………………..</w:t>
      </w:r>
    </w:p>
    <w:p w14:paraId="3F9B4F0B" w14:textId="77777777" w:rsidR="00C72752" w:rsidRDefault="00C72752" w:rsidP="00C72752">
      <w:pPr>
        <w:keepNext/>
        <w:rPr>
          <w:rFonts w:cs="Arial"/>
          <w:szCs w:val="22"/>
        </w:rPr>
      </w:pPr>
    </w:p>
    <w:p w14:paraId="4434403F" w14:textId="77777777" w:rsidR="00C72752" w:rsidRDefault="00C72752" w:rsidP="00C72752">
      <w:pPr>
        <w:keepNext/>
        <w:rPr>
          <w:rFonts w:cs="Arial"/>
          <w:szCs w:val="22"/>
        </w:rPr>
      </w:pPr>
    </w:p>
    <w:p w14:paraId="23919644" w14:textId="77777777" w:rsidR="00C72752" w:rsidRDefault="00C72752" w:rsidP="00C72752">
      <w:pPr>
        <w:keepNext/>
        <w:rPr>
          <w:rFonts w:cs="Arial"/>
          <w:szCs w:val="22"/>
        </w:rPr>
      </w:pPr>
    </w:p>
    <w:p w14:paraId="233E7F54" w14:textId="77777777" w:rsidR="00C72752" w:rsidRDefault="00C72752" w:rsidP="00C72752">
      <w:pPr>
        <w:keepNext/>
        <w:rPr>
          <w:rFonts w:cs="Arial"/>
          <w:szCs w:val="22"/>
        </w:rPr>
      </w:pPr>
    </w:p>
    <w:p w14:paraId="2FA77E14" w14:textId="77777777" w:rsidR="00C72752" w:rsidRDefault="00C72752" w:rsidP="00C72752">
      <w:pPr>
        <w:keepNext/>
        <w:rPr>
          <w:rFonts w:cs="Arial"/>
          <w:szCs w:val="22"/>
        </w:rPr>
      </w:pPr>
    </w:p>
    <w:p w14:paraId="479C8075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9E2EA7">
        <w:rPr>
          <w:rFonts w:cs="Arial"/>
          <w:szCs w:val="22"/>
          <w:highlight w:val="yellow"/>
        </w:rPr>
        <w:t>........……………………………….</w:t>
      </w:r>
    </w:p>
    <w:p w14:paraId="59F8F560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dodavatele</w:t>
      </w:r>
    </w:p>
    <w:p w14:paraId="3EEA3ACB" w14:textId="77777777" w:rsidR="00C72752" w:rsidRDefault="00C72752" w:rsidP="00C72752">
      <w:pPr>
        <w:pStyle w:val="Zkladntext"/>
      </w:pPr>
    </w:p>
    <w:p w14:paraId="1178322A" w14:textId="560305E4" w:rsidR="007E3E2F" w:rsidRPr="008B655A" w:rsidRDefault="007E3E2F" w:rsidP="008B655A">
      <w:pPr>
        <w:spacing w:before="240"/>
        <w:jc w:val="both"/>
        <w:rPr>
          <w:szCs w:val="20"/>
        </w:rPr>
      </w:pPr>
    </w:p>
    <w:sectPr w:rsidR="007E3E2F" w:rsidRPr="008B655A" w:rsidSect="003E737B">
      <w:headerReference w:type="default" r:id="rId15"/>
      <w:footerReference w:type="default" r:id="rId16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8C5" w14:textId="77777777" w:rsidR="009C46DB" w:rsidRDefault="009C46DB">
      <w:r>
        <w:separator/>
      </w:r>
    </w:p>
  </w:endnote>
  <w:endnote w:type="continuationSeparator" w:id="0">
    <w:p w14:paraId="272A77CC" w14:textId="77777777" w:rsidR="009C46DB" w:rsidRDefault="009C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063CCF58" w:rsidR="009C46DB" w:rsidRDefault="009C46DB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73E15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fldSimple w:instr=" NUMPAGES \*Arabic ">
      <w:r w:rsidR="00073E15">
        <w:rPr>
          <w:noProof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60A9BF39" w14:textId="77777777" w:rsidR="009C46DB" w:rsidRDefault="00073E15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6B19C991" w14:textId="77777777" w:rsidR="009C46DB" w:rsidRDefault="009C46DB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4C7E6949" w:rsidR="009C46DB" w:rsidRPr="00E33766" w:rsidRDefault="009C46DB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073E15">
          <w:rPr>
            <w:noProof/>
            <w:sz w:val="20"/>
            <w:szCs w:val="20"/>
          </w:rPr>
          <w:t>15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073E15">
          <w:rPr>
            <w:noProof/>
            <w:sz w:val="20"/>
            <w:szCs w:val="20"/>
          </w:rPr>
          <w:t>15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9C46DB" w:rsidRPr="00E33766" w:rsidRDefault="009C46DB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F745" w14:textId="77777777" w:rsidR="009C46DB" w:rsidRDefault="009C46DB">
      <w:r>
        <w:separator/>
      </w:r>
    </w:p>
  </w:footnote>
  <w:footnote w:type="continuationSeparator" w:id="0">
    <w:p w14:paraId="129609B4" w14:textId="77777777" w:rsidR="009C46DB" w:rsidRDefault="009C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4501545D" w:rsidR="009C46DB" w:rsidRPr="008B491C" w:rsidRDefault="009C46DB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  <w:r>
      <w:tab/>
    </w:r>
    <w:r>
      <w:tab/>
    </w:r>
  </w:p>
  <w:p w14:paraId="6D4F0CD5" w14:textId="09318730" w:rsidR="009C46DB" w:rsidRDefault="009C46DB" w:rsidP="0026714B">
    <w:pPr>
      <w:pStyle w:val="Zhlav"/>
      <w:pBdr>
        <w:bottom w:val="single" w:sz="6" w:space="1" w:color="auto"/>
      </w:pBdr>
    </w:pPr>
    <w:r w:rsidRPr="007F727A">
      <w:t>17-231 Projektová dokumentace – Heřmanův Městec – rekonstrukce nádrže H230.02</w:t>
    </w:r>
    <w:r>
      <w:tab/>
    </w:r>
  </w:p>
  <w:p w14:paraId="3C1D040A" w14:textId="331CA768" w:rsidR="009C46DB" w:rsidRPr="00C06A69" w:rsidRDefault="009C46DB" w:rsidP="007F727A">
    <w:pPr>
      <w:pStyle w:val="Zhlav"/>
      <w:pBdr>
        <w:bottom w:val="single" w:sz="6" w:space="1" w:color="auto"/>
      </w:pBdr>
      <w:jc w:val="right"/>
    </w:pPr>
    <w:r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03450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4030C142" w14:textId="77777777" w:rsidR="009C46DB" w:rsidRPr="0026714B" w:rsidRDefault="009C46DB" w:rsidP="0026714B">
    <w:pPr>
      <w:pStyle w:val="Zhlav"/>
    </w:pPr>
  </w:p>
  <w:p w14:paraId="2972E1B6" w14:textId="77777777" w:rsidR="009C46DB" w:rsidRPr="00581B8A" w:rsidRDefault="009C46DB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170B0B03" w:rsidR="009C46DB" w:rsidRPr="008B491C" w:rsidRDefault="009C46DB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</w:r>
  </w:p>
  <w:p w14:paraId="6A71C6A2" w14:textId="052CACFA" w:rsidR="009C46DB" w:rsidRDefault="009C46DB" w:rsidP="0026714B">
    <w:pPr>
      <w:pStyle w:val="Zhlav"/>
      <w:pBdr>
        <w:bottom w:val="single" w:sz="6" w:space="1" w:color="auto"/>
      </w:pBdr>
    </w:pPr>
    <w:r w:rsidRPr="007F727A">
      <w:t>17-231 Projektová dokumentace – Heřmanův Městec – rekonstrukce nádrže H230.02</w:t>
    </w:r>
    <w:r>
      <w:tab/>
    </w:r>
  </w:p>
  <w:p w14:paraId="65300FE2" w14:textId="0261511F" w:rsidR="009C46DB" w:rsidRPr="00C06A69" w:rsidRDefault="009C46DB" w:rsidP="007F727A">
    <w:pPr>
      <w:pStyle w:val="Zhlav"/>
      <w:pBdr>
        <w:bottom w:val="single" w:sz="6" w:space="1" w:color="auto"/>
      </w:pBdr>
      <w:jc w:val="right"/>
    </w:pPr>
    <w:r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7F727A">
      <w:rPr>
        <w:rFonts w:cs="Arial"/>
      </w:rPr>
      <w:t>03450</w:t>
    </w:r>
    <w:r w:rsidRPr="007F727A"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8</w:t>
    </w:r>
    <w:r w:rsidRPr="00642F32">
      <w:rPr>
        <w:rFonts w:cs="Arial"/>
        <w:szCs w:val="22"/>
      </w:rPr>
      <w:t>-SSHR</w:t>
    </w:r>
  </w:p>
  <w:p w14:paraId="7FDE44DD" w14:textId="77777777" w:rsidR="009C46DB" w:rsidRPr="0026714B" w:rsidRDefault="009C46DB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1E32F02A" w:rsidR="009C46DB" w:rsidRPr="008B491C" w:rsidRDefault="009C46DB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</w:r>
  </w:p>
  <w:p w14:paraId="0F891758" w14:textId="2BD8D58B" w:rsidR="009C46DB" w:rsidRDefault="009C46DB" w:rsidP="0026714B">
    <w:pPr>
      <w:pStyle w:val="Zhlav"/>
      <w:pBdr>
        <w:bottom w:val="single" w:sz="6" w:space="1" w:color="auto"/>
      </w:pBdr>
    </w:pPr>
    <w:r w:rsidRPr="007F727A">
      <w:t>17-231 Projektová dokumentace – Heřmanův Městec – rekonstrukce nádrže H230.02</w:t>
    </w:r>
    <w:r>
      <w:tab/>
    </w:r>
  </w:p>
  <w:p w14:paraId="0CD7C078" w14:textId="49670073" w:rsidR="009C46DB" w:rsidRPr="00C06A69" w:rsidRDefault="009C46DB" w:rsidP="007F727A">
    <w:pPr>
      <w:pStyle w:val="Zhlav"/>
      <w:pBdr>
        <w:bottom w:val="single" w:sz="6" w:space="1" w:color="auto"/>
      </w:pBdr>
      <w:jc w:val="right"/>
    </w:pPr>
    <w:r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7F727A">
      <w:rPr>
        <w:rFonts w:cs="Arial"/>
      </w:rPr>
      <w:t>03450</w:t>
    </w:r>
    <w:r w:rsidRPr="007F727A">
      <w:rPr>
        <w:rFonts w:cs="Arial"/>
        <w:szCs w:val="22"/>
      </w:rPr>
      <w:t>/18-SSHR</w:t>
    </w:r>
  </w:p>
  <w:p w14:paraId="4BFF6A20" w14:textId="77777777" w:rsidR="009C46DB" w:rsidRPr="0026714B" w:rsidRDefault="009C46DB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13C6F7C"/>
    <w:multiLevelType w:val="hybridMultilevel"/>
    <w:tmpl w:val="213E8816"/>
    <w:lvl w:ilvl="0" w:tplc="334AF9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0" w15:restartNumberingAfterBreak="0">
    <w:nsid w:val="49E06505"/>
    <w:multiLevelType w:val="hybridMultilevel"/>
    <w:tmpl w:val="75E8C5DE"/>
    <w:lvl w:ilvl="0" w:tplc="3384B9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9"/>
  </w:num>
  <w:num w:numId="3">
    <w:abstractNumId w:val="34"/>
  </w:num>
  <w:num w:numId="4">
    <w:abstractNumId w:val="59"/>
  </w:num>
  <w:num w:numId="5">
    <w:abstractNumId w:val="25"/>
  </w:num>
  <w:num w:numId="6">
    <w:abstractNumId w:val="42"/>
  </w:num>
  <w:num w:numId="7">
    <w:abstractNumId w:val="36"/>
  </w:num>
  <w:num w:numId="8">
    <w:abstractNumId w:val="60"/>
  </w:num>
  <w:num w:numId="9">
    <w:abstractNumId w:val="27"/>
  </w:num>
  <w:num w:numId="10">
    <w:abstractNumId w:val="38"/>
  </w:num>
  <w:num w:numId="11">
    <w:abstractNumId w:val="56"/>
  </w:num>
  <w:num w:numId="12">
    <w:abstractNumId w:val="53"/>
  </w:num>
  <w:num w:numId="13">
    <w:abstractNumId w:val="35"/>
  </w:num>
  <w:num w:numId="14">
    <w:abstractNumId w:val="58"/>
  </w:num>
  <w:num w:numId="15">
    <w:abstractNumId w:val="62"/>
  </w:num>
  <w:num w:numId="16">
    <w:abstractNumId w:val="33"/>
  </w:num>
  <w:num w:numId="17">
    <w:abstractNumId w:val="31"/>
  </w:num>
  <w:num w:numId="18">
    <w:abstractNumId w:val="26"/>
  </w:num>
  <w:num w:numId="19">
    <w:abstractNumId w:val="45"/>
  </w:num>
  <w:num w:numId="20">
    <w:abstractNumId w:val="51"/>
  </w:num>
  <w:num w:numId="21">
    <w:abstractNumId w:val="46"/>
  </w:num>
  <w:num w:numId="22">
    <w:abstractNumId w:val="40"/>
  </w:num>
  <w:num w:numId="23">
    <w:abstractNumId w:val="47"/>
  </w:num>
  <w:num w:numId="24">
    <w:abstractNumId w:val="37"/>
  </w:num>
  <w:num w:numId="25">
    <w:abstractNumId w:val="44"/>
  </w:num>
  <w:num w:numId="26">
    <w:abstractNumId w:val="61"/>
  </w:num>
  <w:num w:numId="27">
    <w:abstractNumId w:val="52"/>
  </w:num>
  <w:num w:numId="28">
    <w:abstractNumId w:val="29"/>
  </w:num>
  <w:num w:numId="29">
    <w:abstractNumId w:val="54"/>
  </w:num>
  <w:num w:numId="30">
    <w:abstractNumId w:val="39"/>
  </w:num>
  <w:num w:numId="31">
    <w:abstractNumId w:val="43"/>
  </w:num>
  <w:num w:numId="32">
    <w:abstractNumId w:val="41"/>
  </w:num>
  <w:num w:numId="33">
    <w:abstractNumId w:val="57"/>
  </w:num>
  <w:num w:numId="34">
    <w:abstractNumId w:val="48"/>
  </w:num>
  <w:num w:numId="35">
    <w:abstractNumId w:val="32"/>
  </w:num>
  <w:num w:numId="36">
    <w:abstractNumId w:val="30"/>
  </w:num>
  <w:num w:numId="37">
    <w:abstractNumId w:val="55"/>
  </w:num>
  <w:num w:numId="38">
    <w:abstractNumId w:val="50"/>
  </w:num>
  <w:num w:numId="39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50E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68A"/>
    <w:rsid w:val="00026922"/>
    <w:rsid w:val="00031655"/>
    <w:rsid w:val="0003205F"/>
    <w:rsid w:val="000330A0"/>
    <w:rsid w:val="00033286"/>
    <w:rsid w:val="000333F2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4E1E"/>
    <w:rsid w:val="00055777"/>
    <w:rsid w:val="000565F7"/>
    <w:rsid w:val="00057F8B"/>
    <w:rsid w:val="000607F3"/>
    <w:rsid w:val="00060C74"/>
    <w:rsid w:val="00060DFF"/>
    <w:rsid w:val="0006106A"/>
    <w:rsid w:val="00061A18"/>
    <w:rsid w:val="0006281A"/>
    <w:rsid w:val="00064C16"/>
    <w:rsid w:val="000654F0"/>
    <w:rsid w:val="00073E15"/>
    <w:rsid w:val="000748F7"/>
    <w:rsid w:val="00074E2F"/>
    <w:rsid w:val="000750A0"/>
    <w:rsid w:val="000752B1"/>
    <w:rsid w:val="000761F6"/>
    <w:rsid w:val="00076731"/>
    <w:rsid w:val="00076D36"/>
    <w:rsid w:val="00080335"/>
    <w:rsid w:val="00080672"/>
    <w:rsid w:val="00081FA6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413"/>
    <w:rsid w:val="000B3725"/>
    <w:rsid w:val="000B663D"/>
    <w:rsid w:val="000C04EE"/>
    <w:rsid w:val="000C1D3B"/>
    <w:rsid w:val="000C1F70"/>
    <w:rsid w:val="000C31A2"/>
    <w:rsid w:val="000C37AC"/>
    <w:rsid w:val="000C3B35"/>
    <w:rsid w:val="000C3F91"/>
    <w:rsid w:val="000C599F"/>
    <w:rsid w:val="000C6FE3"/>
    <w:rsid w:val="000D0B91"/>
    <w:rsid w:val="000D14B7"/>
    <w:rsid w:val="000D2373"/>
    <w:rsid w:val="000D2E94"/>
    <w:rsid w:val="000D4C4A"/>
    <w:rsid w:val="000D57EC"/>
    <w:rsid w:val="000D6154"/>
    <w:rsid w:val="000D7713"/>
    <w:rsid w:val="000E4434"/>
    <w:rsid w:val="000E6374"/>
    <w:rsid w:val="000E6D82"/>
    <w:rsid w:val="000F1650"/>
    <w:rsid w:val="000F3269"/>
    <w:rsid w:val="000F67EF"/>
    <w:rsid w:val="000F7C57"/>
    <w:rsid w:val="001003D1"/>
    <w:rsid w:val="00101865"/>
    <w:rsid w:val="001032DE"/>
    <w:rsid w:val="00103EBE"/>
    <w:rsid w:val="001063EF"/>
    <w:rsid w:val="0010748E"/>
    <w:rsid w:val="00107882"/>
    <w:rsid w:val="00110321"/>
    <w:rsid w:val="00110388"/>
    <w:rsid w:val="001152D8"/>
    <w:rsid w:val="00115A63"/>
    <w:rsid w:val="001161B0"/>
    <w:rsid w:val="00124497"/>
    <w:rsid w:val="0013580E"/>
    <w:rsid w:val="00137517"/>
    <w:rsid w:val="001376DE"/>
    <w:rsid w:val="00140A62"/>
    <w:rsid w:val="001449A5"/>
    <w:rsid w:val="00144E15"/>
    <w:rsid w:val="00150D97"/>
    <w:rsid w:val="00151487"/>
    <w:rsid w:val="00153364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124"/>
    <w:rsid w:val="00167D39"/>
    <w:rsid w:val="00167ED6"/>
    <w:rsid w:val="0017046A"/>
    <w:rsid w:val="00173052"/>
    <w:rsid w:val="001752CE"/>
    <w:rsid w:val="00176114"/>
    <w:rsid w:val="00177201"/>
    <w:rsid w:val="001803D6"/>
    <w:rsid w:val="001836C1"/>
    <w:rsid w:val="00183F57"/>
    <w:rsid w:val="00184BA5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B064D"/>
    <w:rsid w:val="001B1D9D"/>
    <w:rsid w:val="001B21F9"/>
    <w:rsid w:val="001B5888"/>
    <w:rsid w:val="001B5F87"/>
    <w:rsid w:val="001B6541"/>
    <w:rsid w:val="001B6E3F"/>
    <w:rsid w:val="001B718E"/>
    <w:rsid w:val="001B74F2"/>
    <w:rsid w:val="001C19C9"/>
    <w:rsid w:val="001C26E3"/>
    <w:rsid w:val="001C2C89"/>
    <w:rsid w:val="001D611A"/>
    <w:rsid w:val="001D6B83"/>
    <w:rsid w:val="001D7A45"/>
    <w:rsid w:val="001E0951"/>
    <w:rsid w:val="001E213B"/>
    <w:rsid w:val="001E244D"/>
    <w:rsid w:val="001E24AE"/>
    <w:rsid w:val="001E3F69"/>
    <w:rsid w:val="001E54D7"/>
    <w:rsid w:val="001E5D32"/>
    <w:rsid w:val="001E71F6"/>
    <w:rsid w:val="001E72EB"/>
    <w:rsid w:val="001F1FA0"/>
    <w:rsid w:val="001F2624"/>
    <w:rsid w:val="001F4D56"/>
    <w:rsid w:val="001F6BF1"/>
    <w:rsid w:val="001F71B8"/>
    <w:rsid w:val="002008E1"/>
    <w:rsid w:val="00202B26"/>
    <w:rsid w:val="00203394"/>
    <w:rsid w:val="00203B55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25027"/>
    <w:rsid w:val="002257F9"/>
    <w:rsid w:val="00231953"/>
    <w:rsid w:val="00232136"/>
    <w:rsid w:val="0023370E"/>
    <w:rsid w:val="00235704"/>
    <w:rsid w:val="002409FC"/>
    <w:rsid w:val="00241A42"/>
    <w:rsid w:val="00241C6A"/>
    <w:rsid w:val="00241D69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6BE4"/>
    <w:rsid w:val="00257039"/>
    <w:rsid w:val="00257516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5604"/>
    <w:rsid w:val="00291C4E"/>
    <w:rsid w:val="0029673D"/>
    <w:rsid w:val="00296CCC"/>
    <w:rsid w:val="00296F2F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6CB"/>
    <w:rsid w:val="002B5C78"/>
    <w:rsid w:val="002B6D18"/>
    <w:rsid w:val="002C070D"/>
    <w:rsid w:val="002C1052"/>
    <w:rsid w:val="002C1E3A"/>
    <w:rsid w:val="002C299F"/>
    <w:rsid w:val="002C3357"/>
    <w:rsid w:val="002C37F9"/>
    <w:rsid w:val="002C60BA"/>
    <w:rsid w:val="002C639A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A5"/>
    <w:rsid w:val="002E7836"/>
    <w:rsid w:val="002E7E98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8D9"/>
    <w:rsid w:val="00323EE2"/>
    <w:rsid w:val="003276EB"/>
    <w:rsid w:val="003327FE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0995"/>
    <w:rsid w:val="00372B10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083"/>
    <w:rsid w:val="003A72D1"/>
    <w:rsid w:val="003A7478"/>
    <w:rsid w:val="003B243F"/>
    <w:rsid w:val="003B30B3"/>
    <w:rsid w:val="003B50FC"/>
    <w:rsid w:val="003B7AED"/>
    <w:rsid w:val="003C1CD1"/>
    <w:rsid w:val="003C79B3"/>
    <w:rsid w:val="003D0B2C"/>
    <w:rsid w:val="003D13B2"/>
    <w:rsid w:val="003D321E"/>
    <w:rsid w:val="003D36A0"/>
    <w:rsid w:val="003D36FC"/>
    <w:rsid w:val="003D6E98"/>
    <w:rsid w:val="003E224D"/>
    <w:rsid w:val="003E729B"/>
    <w:rsid w:val="003E737B"/>
    <w:rsid w:val="003F050C"/>
    <w:rsid w:val="003F1B64"/>
    <w:rsid w:val="003F3A36"/>
    <w:rsid w:val="003F45CC"/>
    <w:rsid w:val="003F5D06"/>
    <w:rsid w:val="003F6B81"/>
    <w:rsid w:val="003F7209"/>
    <w:rsid w:val="00403879"/>
    <w:rsid w:val="004106B0"/>
    <w:rsid w:val="00411E46"/>
    <w:rsid w:val="00412DCC"/>
    <w:rsid w:val="00416283"/>
    <w:rsid w:val="004166B2"/>
    <w:rsid w:val="00416C3E"/>
    <w:rsid w:val="00421D21"/>
    <w:rsid w:val="00422B09"/>
    <w:rsid w:val="00422D30"/>
    <w:rsid w:val="00425052"/>
    <w:rsid w:val="0043096C"/>
    <w:rsid w:val="00430AFB"/>
    <w:rsid w:val="00431DD9"/>
    <w:rsid w:val="00432CC5"/>
    <w:rsid w:val="00432FA5"/>
    <w:rsid w:val="00433024"/>
    <w:rsid w:val="0043306A"/>
    <w:rsid w:val="00433AC7"/>
    <w:rsid w:val="00433DA6"/>
    <w:rsid w:val="00435786"/>
    <w:rsid w:val="00436422"/>
    <w:rsid w:val="004404A4"/>
    <w:rsid w:val="00441D62"/>
    <w:rsid w:val="00442133"/>
    <w:rsid w:val="0044620C"/>
    <w:rsid w:val="00446481"/>
    <w:rsid w:val="00452440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18FC"/>
    <w:rsid w:val="00473966"/>
    <w:rsid w:val="00474AE4"/>
    <w:rsid w:val="00476416"/>
    <w:rsid w:val="00476907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7B01"/>
    <w:rsid w:val="004A7E60"/>
    <w:rsid w:val="004B14C4"/>
    <w:rsid w:val="004B325A"/>
    <w:rsid w:val="004B4250"/>
    <w:rsid w:val="004B6F7E"/>
    <w:rsid w:val="004B7618"/>
    <w:rsid w:val="004C0728"/>
    <w:rsid w:val="004C340E"/>
    <w:rsid w:val="004C4040"/>
    <w:rsid w:val="004C653B"/>
    <w:rsid w:val="004C6CCF"/>
    <w:rsid w:val="004D098F"/>
    <w:rsid w:val="004D1A24"/>
    <w:rsid w:val="004D2BBD"/>
    <w:rsid w:val="004D76B5"/>
    <w:rsid w:val="004E105B"/>
    <w:rsid w:val="004E1626"/>
    <w:rsid w:val="004E4F5A"/>
    <w:rsid w:val="004F1905"/>
    <w:rsid w:val="004F1D58"/>
    <w:rsid w:val="004F2AD8"/>
    <w:rsid w:val="004F346A"/>
    <w:rsid w:val="005003E8"/>
    <w:rsid w:val="005024D8"/>
    <w:rsid w:val="0050279C"/>
    <w:rsid w:val="00503842"/>
    <w:rsid w:val="005061D9"/>
    <w:rsid w:val="00506A05"/>
    <w:rsid w:val="00510C3F"/>
    <w:rsid w:val="00511464"/>
    <w:rsid w:val="0051166D"/>
    <w:rsid w:val="00512425"/>
    <w:rsid w:val="005127F5"/>
    <w:rsid w:val="00513206"/>
    <w:rsid w:val="00513D84"/>
    <w:rsid w:val="005143AB"/>
    <w:rsid w:val="00515322"/>
    <w:rsid w:val="00516E58"/>
    <w:rsid w:val="00517040"/>
    <w:rsid w:val="00517C67"/>
    <w:rsid w:val="00517DD7"/>
    <w:rsid w:val="00520607"/>
    <w:rsid w:val="00522D7A"/>
    <w:rsid w:val="005267FB"/>
    <w:rsid w:val="005314FE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55C1"/>
    <w:rsid w:val="005868AB"/>
    <w:rsid w:val="0058776B"/>
    <w:rsid w:val="00590B44"/>
    <w:rsid w:val="0059180D"/>
    <w:rsid w:val="00591998"/>
    <w:rsid w:val="005938F6"/>
    <w:rsid w:val="0059500A"/>
    <w:rsid w:val="00595F32"/>
    <w:rsid w:val="005A10DC"/>
    <w:rsid w:val="005A1F07"/>
    <w:rsid w:val="005A1FCD"/>
    <w:rsid w:val="005A27F7"/>
    <w:rsid w:val="005A372E"/>
    <w:rsid w:val="005A3934"/>
    <w:rsid w:val="005A3DA6"/>
    <w:rsid w:val="005A551B"/>
    <w:rsid w:val="005A7CE2"/>
    <w:rsid w:val="005B01C5"/>
    <w:rsid w:val="005B10C8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6EDE"/>
    <w:rsid w:val="005C73E8"/>
    <w:rsid w:val="005D0081"/>
    <w:rsid w:val="005D6CF3"/>
    <w:rsid w:val="005D7CEE"/>
    <w:rsid w:val="005E2623"/>
    <w:rsid w:val="005E442F"/>
    <w:rsid w:val="005E6D55"/>
    <w:rsid w:val="005F0ACC"/>
    <w:rsid w:val="005F1CBB"/>
    <w:rsid w:val="005F2513"/>
    <w:rsid w:val="005F35B4"/>
    <w:rsid w:val="005F4A86"/>
    <w:rsid w:val="005F6C41"/>
    <w:rsid w:val="005F79E8"/>
    <w:rsid w:val="00601F61"/>
    <w:rsid w:val="00602411"/>
    <w:rsid w:val="006047DB"/>
    <w:rsid w:val="006051BD"/>
    <w:rsid w:val="00606120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3094"/>
    <w:rsid w:val="00673B2E"/>
    <w:rsid w:val="00674150"/>
    <w:rsid w:val="00675DC8"/>
    <w:rsid w:val="00676827"/>
    <w:rsid w:val="00676940"/>
    <w:rsid w:val="0067755D"/>
    <w:rsid w:val="006775C7"/>
    <w:rsid w:val="0068000B"/>
    <w:rsid w:val="00681061"/>
    <w:rsid w:val="006833A2"/>
    <w:rsid w:val="006840D5"/>
    <w:rsid w:val="00684881"/>
    <w:rsid w:val="006918BF"/>
    <w:rsid w:val="00693D0D"/>
    <w:rsid w:val="006944FE"/>
    <w:rsid w:val="006966EC"/>
    <w:rsid w:val="0069708F"/>
    <w:rsid w:val="00697C83"/>
    <w:rsid w:val="006A12C2"/>
    <w:rsid w:val="006A31BC"/>
    <w:rsid w:val="006A3778"/>
    <w:rsid w:val="006A388B"/>
    <w:rsid w:val="006B2214"/>
    <w:rsid w:val="006B33E2"/>
    <w:rsid w:val="006B618D"/>
    <w:rsid w:val="006B62C0"/>
    <w:rsid w:val="006B7859"/>
    <w:rsid w:val="006B79AF"/>
    <w:rsid w:val="006C0D7E"/>
    <w:rsid w:val="006C1A12"/>
    <w:rsid w:val="006C2128"/>
    <w:rsid w:val="006C2E61"/>
    <w:rsid w:val="006C300E"/>
    <w:rsid w:val="006C4A43"/>
    <w:rsid w:val="006D31B4"/>
    <w:rsid w:val="006D31DB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451D6"/>
    <w:rsid w:val="0074753F"/>
    <w:rsid w:val="00750A77"/>
    <w:rsid w:val="00750C97"/>
    <w:rsid w:val="00751C77"/>
    <w:rsid w:val="00754EF1"/>
    <w:rsid w:val="00756196"/>
    <w:rsid w:val="007568B1"/>
    <w:rsid w:val="00760E45"/>
    <w:rsid w:val="00765AA1"/>
    <w:rsid w:val="00766E91"/>
    <w:rsid w:val="007674F0"/>
    <w:rsid w:val="00767C95"/>
    <w:rsid w:val="00770970"/>
    <w:rsid w:val="00770E4C"/>
    <w:rsid w:val="007713BD"/>
    <w:rsid w:val="007744C1"/>
    <w:rsid w:val="00774E6D"/>
    <w:rsid w:val="00775AE3"/>
    <w:rsid w:val="007814E7"/>
    <w:rsid w:val="00782BC0"/>
    <w:rsid w:val="00782D3E"/>
    <w:rsid w:val="00784E45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54D0"/>
    <w:rsid w:val="007A6DAA"/>
    <w:rsid w:val="007B2B32"/>
    <w:rsid w:val="007B2E8D"/>
    <w:rsid w:val="007B423E"/>
    <w:rsid w:val="007B613E"/>
    <w:rsid w:val="007B70F1"/>
    <w:rsid w:val="007C0DF4"/>
    <w:rsid w:val="007C1365"/>
    <w:rsid w:val="007C514F"/>
    <w:rsid w:val="007C729C"/>
    <w:rsid w:val="007D0183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BBD"/>
    <w:rsid w:val="007F67B8"/>
    <w:rsid w:val="007F7120"/>
    <w:rsid w:val="007F727A"/>
    <w:rsid w:val="00800AB6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47FF9"/>
    <w:rsid w:val="008508FB"/>
    <w:rsid w:val="0085296F"/>
    <w:rsid w:val="00855B75"/>
    <w:rsid w:val="00856098"/>
    <w:rsid w:val="008614AA"/>
    <w:rsid w:val="0086388E"/>
    <w:rsid w:val="008639A1"/>
    <w:rsid w:val="0086513A"/>
    <w:rsid w:val="008659AE"/>
    <w:rsid w:val="008670C5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4313"/>
    <w:rsid w:val="008944FA"/>
    <w:rsid w:val="00895938"/>
    <w:rsid w:val="00895AF9"/>
    <w:rsid w:val="008A1E4B"/>
    <w:rsid w:val="008A53BC"/>
    <w:rsid w:val="008A5537"/>
    <w:rsid w:val="008A79BE"/>
    <w:rsid w:val="008B1358"/>
    <w:rsid w:val="008B15A7"/>
    <w:rsid w:val="008B1C97"/>
    <w:rsid w:val="008B373B"/>
    <w:rsid w:val="008B57B9"/>
    <w:rsid w:val="008B655A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3D55"/>
    <w:rsid w:val="008D3F9D"/>
    <w:rsid w:val="008D4D6C"/>
    <w:rsid w:val="008D52C6"/>
    <w:rsid w:val="008D6224"/>
    <w:rsid w:val="008E3BAF"/>
    <w:rsid w:val="008E6380"/>
    <w:rsid w:val="008E6ED2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7021"/>
    <w:rsid w:val="00917E89"/>
    <w:rsid w:val="009201F3"/>
    <w:rsid w:val="00922E39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16E1"/>
    <w:rsid w:val="00942E0F"/>
    <w:rsid w:val="009441AB"/>
    <w:rsid w:val="00946E8D"/>
    <w:rsid w:val="00946EDF"/>
    <w:rsid w:val="00947D4C"/>
    <w:rsid w:val="009506E4"/>
    <w:rsid w:val="00950A8A"/>
    <w:rsid w:val="00954E1C"/>
    <w:rsid w:val="00955421"/>
    <w:rsid w:val="00955FD8"/>
    <w:rsid w:val="009560EB"/>
    <w:rsid w:val="00956461"/>
    <w:rsid w:val="00956D4C"/>
    <w:rsid w:val="009636F9"/>
    <w:rsid w:val="00965264"/>
    <w:rsid w:val="00966934"/>
    <w:rsid w:val="0096737C"/>
    <w:rsid w:val="009676A4"/>
    <w:rsid w:val="00967A15"/>
    <w:rsid w:val="009760ED"/>
    <w:rsid w:val="00977A72"/>
    <w:rsid w:val="00980083"/>
    <w:rsid w:val="00980DA5"/>
    <w:rsid w:val="00981107"/>
    <w:rsid w:val="0098145E"/>
    <w:rsid w:val="00981BC8"/>
    <w:rsid w:val="00982CA7"/>
    <w:rsid w:val="00987219"/>
    <w:rsid w:val="00990403"/>
    <w:rsid w:val="0099167D"/>
    <w:rsid w:val="00992F26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C22"/>
    <w:rsid w:val="009B266D"/>
    <w:rsid w:val="009B43A8"/>
    <w:rsid w:val="009C06DE"/>
    <w:rsid w:val="009C0CD8"/>
    <w:rsid w:val="009C28E3"/>
    <w:rsid w:val="009C46DB"/>
    <w:rsid w:val="009C5690"/>
    <w:rsid w:val="009C6EF1"/>
    <w:rsid w:val="009D2641"/>
    <w:rsid w:val="009D3182"/>
    <w:rsid w:val="009D35D0"/>
    <w:rsid w:val="009D56E5"/>
    <w:rsid w:val="009D7BC7"/>
    <w:rsid w:val="009D7DAA"/>
    <w:rsid w:val="009E053C"/>
    <w:rsid w:val="009E189B"/>
    <w:rsid w:val="009E2EA7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35C"/>
    <w:rsid w:val="009F154F"/>
    <w:rsid w:val="009F227D"/>
    <w:rsid w:val="009F2C0D"/>
    <w:rsid w:val="009F48E4"/>
    <w:rsid w:val="009F6A7F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6713"/>
    <w:rsid w:val="00A41886"/>
    <w:rsid w:val="00A42236"/>
    <w:rsid w:val="00A4309B"/>
    <w:rsid w:val="00A44AE7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818A7"/>
    <w:rsid w:val="00A830BE"/>
    <w:rsid w:val="00A83879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30BA"/>
    <w:rsid w:val="00AD65F9"/>
    <w:rsid w:val="00AE0000"/>
    <w:rsid w:val="00AE23E9"/>
    <w:rsid w:val="00AE715F"/>
    <w:rsid w:val="00AF08BC"/>
    <w:rsid w:val="00AF186B"/>
    <w:rsid w:val="00AF284D"/>
    <w:rsid w:val="00AF7307"/>
    <w:rsid w:val="00B005D1"/>
    <w:rsid w:val="00B04FC2"/>
    <w:rsid w:val="00B06BFD"/>
    <w:rsid w:val="00B11CFB"/>
    <w:rsid w:val="00B128C0"/>
    <w:rsid w:val="00B15AE7"/>
    <w:rsid w:val="00B16321"/>
    <w:rsid w:val="00B17411"/>
    <w:rsid w:val="00B17F81"/>
    <w:rsid w:val="00B2193D"/>
    <w:rsid w:val="00B230C6"/>
    <w:rsid w:val="00B256B4"/>
    <w:rsid w:val="00B25B58"/>
    <w:rsid w:val="00B262C9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7742"/>
    <w:rsid w:val="00B61C65"/>
    <w:rsid w:val="00B61DD3"/>
    <w:rsid w:val="00B64725"/>
    <w:rsid w:val="00B65BE2"/>
    <w:rsid w:val="00B65F31"/>
    <w:rsid w:val="00B66158"/>
    <w:rsid w:val="00B66C98"/>
    <w:rsid w:val="00B67589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37D3"/>
    <w:rsid w:val="00B94240"/>
    <w:rsid w:val="00B9502A"/>
    <w:rsid w:val="00BA1935"/>
    <w:rsid w:val="00BA5A82"/>
    <w:rsid w:val="00BB16AF"/>
    <w:rsid w:val="00BB2668"/>
    <w:rsid w:val="00BB3471"/>
    <w:rsid w:val="00BB3E2D"/>
    <w:rsid w:val="00BB47D2"/>
    <w:rsid w:val="00BB69C6"/>
    <w:rsid w:val="00BB7836"/>
    <w:rsid w:val="00BC12DD"/>
    <w:rsid w:val="00BC31A9"/>
    <w:rsid w:val="00BC6F3F"/>
    <w:rsid w:val="00BC71D7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F14E6"/>
    <w:rsid w:val="00BF17FF"/>
    <w:rsid w:val="00BF1ED0"/>
    <w:rsid w:val="00BF4D6C"/>
    <w:rsid w:val="00BF62AF"/>
    <w:rsid w:val="00BF6ADE"/>
    <w:rsid w:val="00BF6D86"/>
    <w:rsid w:val="00C00552"/>
    <w:rsid w:val="00C02040"/>
    <w:rsid w:val="00C0297E"/>
    <w:rsid w:val="00C05727"/>
    <w:rsid w:val="00C0749A"/>
    <w:rsid w:val="00C108E6"/>
    <w:rsid w:val="00C119BA"/>
    <w:rsid w:val="00C133C1"/>
    <w:rsid w:val="00C1423F"/>
    <w:rsid w:val="00C169FF"/>
    <w:rsid w:val="00C175E3"/>
    <w:rsid w:val="00C23491"/>
    <w:rsid w:val="00C23BCD"/>
    <w:rsid w:val="00C2540B"/>
    <w:rsid w:val="00C2595E"/>
    <w:rsid w:val="00C26F98"/>
    <w:rsid w:val="00C31F5B"/>
    <w:rsid w:val="00C35609"/>
    <w:rsid w:val="00C3742E"/>
    <w:rsid w:val="00C37638"/>
    <w:rsid w:val="00C4034A"/>
    <w:rsid w:val="00C41BE3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25FD"/>
    <w:rsid w:val="00C72752"/>
    <w:rsid w:val="00C73698"/>
    <w:rsid w:val="00C741F2"/>
    <w:rsid w:val="00C75F37"/>
    <w:rsid w:val="00C7700D"/>
    <w:rsid w:val="00C770E3"/>
    <w:rsid w:val="00C837DC"/>
    <w:rsid w:val="00C84C4B"/>
    <w:rsid w:val="00C87EBB"/>
    <w:rsid w:val="00C90494"/>
    <w:rsid w:val="00C9092D"/>
    <w:rsid w:val="00C9277E"/>
    <w:rsid w:val="00C94152"/>
    <w:rsid w:val="00C943F9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FF"/>
    <w:rsid w:val="00CB7440"/>
    <w:rsid w:val="00CB7BBC"/>
    <w:rsid w:val="00CC2B8B"/>
    <w:rsid w:val="00CC3B64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4F"/>
    <w:rsid w:val="00CE015A"/>
    <w:rsid w:val="00CE17B1"/>
    <w:rsid w:val="00CE2B0C"/>
    <w:rsid w:val="00CE44A4"/>
    <w:rsid w:val="00CE4C56"/>
    <w:rsid w:val="00CE57B0"/>
    <w:rsid w:val="00CF3A5D"/>
    <w:rsid w:val="00CF5E2A"/>
    <w:rsid w:val="00D05095"/>
    <w:rsid w:val="00D0596E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60FA2"/>
    <w:rsid w:val="00D61EAD"/>
    <w:rsid w:val="00D634F6"/>
    <w:rsid w:val="00D63F73"/>
    <w:rsid w:val="00D65B15"/>
    <w:rsid w:val="00D6606F"/>
    <w:rsid w:val="00D66297"/>
    <w:rsid w:val="00D66B80"/>
    <w:rsid w:val="00D66C36"/>
    <w:rsid w:val="00D70416"/>
    <w:rsid w:val="00D70D39"/>
    <w:rsid w:val="00D7249C"/>
    <w:rsid w:val="00D72523"/>
    <w:rsid w:val="00D759E4"/>
    <w:rsid w:val="00D76224"/>
    <w:rsid w:val="00D76522"/>
    <w:rsid w:val="00D76D53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1829"/>
    <w:rsid w:val="00DA1D8A"/>
    <w:rsid w:val="00DA24B5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2113"/>
    <w:rsid w:val="00DC6216"/>
    <w:rsid w:val="00DC7BD8"/>
    <w:rsid w:val="00DD3C02"/>
    <w:rsid w:val="00DD6376"/>
    <w:rsid w:val="00DD6737"/>
    <w:rsid w:val="00DD6CD4"/>
    <w:rsid w:val="00DD7991"/>
    <w:rsid w:val="00DD7DD0"/>
    <w:rsid w:val="00DE0A15"/>
    <w:rsid w:val="00DE4B17"/>
    <w:rsid w:val="00DF14A1"/>
    <w:rsid w:val="00DF4698"/>
    <w:rsid w:val="00DF5128"/>
    <w:rsid w:val="00DF5558"/>
    <w:rsid w:val="00DF6E29"/>
    <w:rsid w:val="00E02DE9"/>
    <w:rsid w:val="00E03F06"/>
    <w:rsid w:val="00E04E25"/>
    <w:rsid w:val="00E05FF7"/>
    <w:rsid w:val="00E069B3"/>
    <w:rsid w:val="00E12156"/>
    <w:rsid w:val="00E146D5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09D"/>
    <w:rsid w:val="00E342A7"/>
    <w:rsid w:val="00E34D1B"/>
    <w:rsid w:val="00E34E33"/>
    <w:rsid w:val="00E366E0"/>
    <w:rsid w:val="00E36962"/>
    <w:rsid w:val="00E40919"/>
    <w:rsid w:val="00E42C89"/>
    <w:rsid w:val="00E434A7"/>
    <w:rsid w:val="00E43C97"/>
    <w:rsid w:val="00E45819"/>
    <w:rsid w:val="00E45ADB"/>
    <w:rsid w:val="00E466C8"/>
    <w:rsid w:val="00E46BBA"/>
    <w:rsid w:val="00E47974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4848"/>
    <w:rsid w:val="00E74E8A"/>
    <w:rsid w:val="00E76B77"/>
    <w:rsid w:val="00E76D41"/>
    <w:rsid w:val="00E81945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694A"/>
    <w:rsid w:val="00E97954"/>
    <w:rsid w:val="00EA19E5"/>
    <w:rsid w:val="00EA2A1A"/>
    <w:rsid w:val="00EA7020"/>
    <w:rsid w:val="00EB097D"/>
    <w:rsid w:val="00EB2A54"/>
    <w:rsid w:val="00EB5B9E"/>
    <w:rsid w:val="00EB5BF3"/>
    <w:rsid w:val="00EB667F"/>
    <w:rsid w:val="00EC00B9"/>
    <w:rsid w:val="00EC16D6"/>
    <w:rsid w:val="00EC3079"/>
    <w:rsid w:val="00EC47BF"/>
    <w:rsid w:val="00EC5D52"/>
    <w:rsid w:val="00EC69E2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A54"/>
    <w:rsid w:val="00EE3E57"/>
    <w:rsid w:val="00EE50A9"/>
    <w:rsid w:val="00EE6835"/>
    <w:rsid w:val="00EE6B4F"/>
    <w:rsid w:val="00EE6EE4"/>
    <w:rsid w:val="00EF24E2"/>
    <w:rsid w:val="00EF304B"/>
    <w:rsid w:val="00EF4C6F"/>
    <w:rsid w:val="00EF5033"/>
    <w:rsid w:val="00EF5E39"/>
    <w:rsid w:val="00F0089B"/>
    <w:rsid w:val="00F00F53"/>
    <w:rsid w:val="00F04776"/>
    <w:rsid w:val="00F05879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48F9"/>
    <w:rsid w:val="00F550B1"/>
    <w:rsid w:val="00F57403"/>
    <w:rsid w:val="00F57425"/>
    <w:rsid w:val="00F57619"/>
    <w:rsid w:val="00F6119F"/>
    <w:rsid w:val="00F627AB"/>
    <w:rsid w:val="00F62969"/>
    <w:rsid w:val="00F63C5B"/>
    <w:rsid w:val="00F640EF"/>
    <w:rsid w:val="00F64724"/>
    <w:rsid w:val="00F66378"/>
    <w:rsid w:val="00F66B29"/>
    <w:rsid w:val="00F67223"/>
    <w:rsid w:val="00F7004E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9059A"/>
    <w:rsid w:val="00F90DEF"/>
    <w:rsid w:val="00F9276C"/>
    <w:rsid w:val="00F92BFD"/>
    <w:rsid w:val="00F9350D"/>
    <w:rsid w:val="00F93B97"/>
    <w:rsid w:val="00F94F70"/>
    <w:rsid w:val="00F96678"/>
    <w:rsid w:val="00FB0097"/>
    <w:rsid w:val="00FB0467"/>
    <w:rsid w:val="00FB1B1F"/>
    <w:rsid w:val="00FB2094"/>
    <w:rsid w:val="00FB53A5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5AFB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brozman@ssh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801A-E5D2-4042-BCF9-8C67174D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3577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24634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Soukup Jiří</cp:lastModifiedBy>
  <cp:revision>6</cp:revision>
  <cp:lastPrinted>2015-09-09T05:56:00Z</cp:lastPrinted>
  <dcterms:created xsi:type="dcterms:W3CDTF">2018-04-04T07:03:00Z</dcterms:created>
  <dcterms:modified xsi:type="dcterms:W3CDTF">2018-04-17T11:31:00Z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