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54E412A" w14:textId="593A80A4" w:rsidR="0026714B" w:rsidRPr="00B17D55" w:rsidRDefault="00606131" w:rsidP="0060613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„17-129 Servis tiskáren“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310C3128" w14:textId="43C075E4" w:rsidR="006E4F69" w:rsidRPr="00FC3CB8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 xml:space="preserve">Tato veřejná zakázka </w:t>
      </w:r>
      <w:r w:rsidR="00706B42" w:rsidRPr="00CB1352">
        <w:t xml:space="preserve">(dále také „VZ“) </w:t>
      </w:r>
      <w:r w:rsidRPr="00CB1352">
        <w:t>je veřejnou zakázkou malého rozsahu (dále také „VZMR“)</w:t>
      </w:r>
      <w:r w:rsidR="00C65693">
        <w:t xml:space="preserve"> která není zadávána v zadávacím řízení podle zákona č. 134/201</w:t>
      </w:r>
      <w:r w:rsidR="00706B42" w:rsidRPr="00CB1352">
        <w:t xml:space="preserve">6 Sb., o </w:t>
      </w:r>
      <w:r w:rsidR="00C65693">
        <w:t>zadávání veřejných zakázek</w:t>
      </w:r>
      <w:r w:rsidR="00512425">
        <w:t>, ve znění pozdějších předpisů</w:t>
      </w:r>
      <w:r w:rsidR="00C65693">
        <w:t xml:space="preserve"> (dále jen „zákon“)</w:t>
      </w:r>
      <w:r w:rsidR="006E4F69" w:rsidRPr="00E86545">
        <w:rPr>
          <w:color w:val="000000"/>
        </w:rPr>
        <w:t>.</w:t>
      </w:r>
      <w:r w:rsidR="00433AC7">
        <w:rPr>
          <w:color w:val="000000"/>
        </w:rPr>
        <w:t xml:space="preserve"> Z</w:t>
      </w:r>
      <w:r w:rsidR="00C65693">
        <w:rPr>
          <w:color w:val="000000"/>
        </w:rPr>
        <w:t xml:space="preserve">veřejnění </w:t>
      </w:r>
      <w:r w:rsidR="00903189">
        <w:rPr>
          <w:color w:val="000000"/>
        </w:rPr>
        <w:t>této</w:t>
      </w:r>
      <w:r w:rsidR="00C65693">
        <w:rPr>
          <w:color w:val="000000"/>
        </w:rPr>
        <w:t xml:space="preserve">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2BA7E2F8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D40BB5">
        <w:rPr>
          <w:rFonts w:cs="Arial"/>
          <w:spacing w:val="100"/>
          <w:szCs w:val="22"/>
        </w:rPr>
        <w:t>7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EndPr/>
      <w:sdtContent>
        <w:p w14:paraId="51CFB8F7" w14:textId="77777777" w:rsidR="001E71F6" w:rsidRPr="00DB1156" w:rsidRDefault="009F7CBF" w:rsidP="003D6E98">
          <w:pPr>
            <w:pStyle w:val="Nadpisobsahu"/>
            <w:spacing w:line="24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DB1156">
            <w:rPr>
              <w:rFonts w:ascii="Arial" w:hAnsi="Arial" w:cs="Arial"/>
              <w:color w:val="auto"/>
              <w:sz w:val="24"/>
              <w:szCs w:val="24"/>
            </w:rPr>
            <w:t>Obsah</w:t>
          </w:r>
        </w:p>
        <w:p w14:paraId="6B6F8A15" w14:textId="30EB6F33" w:rsidR="003E2F4F" w:rsidRPr="003E2F4F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 w:rsidRPr="00DB1156">
            <w:rPr>
              <w:rFonts w:ascii="Arial" w:hAnsi="Arial" w:cs="Arial"/>
            </w:rPr>
            <w:fldChar w:fldCharType="begin"/>
          </w:r>
          <w:r w:rsidR="00372B10" w:rsidRPr="00DB1156">
            <w:rPr>
              <w:rFonts w:ascii="Arial" w:hAnsi="Arial" w:cs="Arial"/>
            </w:rPr>
            <w:instrText xml:space="preserve"> TOC \o "1-1" \h \z \t "Nadpis 3;2" </w:instrText>
          </w:r>
          <w:r w:rsidRPr="00DB1156">
            <w:rPr>
              <w:rFonts w:ascii="Arial" w:hAnsi="Arial" w:cs="Arial"/>
            </w:rPr>
            <w:fldChar w:fldCharType="separate"/>
          </w:r>
          <w:hyperlink w:anchor="_Toc481571035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Vymezení předmětu veřejné zakázky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_Toc481571035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113B78" w14:textId="44AF3F99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36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2.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Místo a doba plnění veřejné zakázky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_Toc481571036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233D89" w14:textId="26A9543A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37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3.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kvalifikační předpoklady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_Toc481571037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FCB3E5" w14:textId="638AE894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38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4.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zpracování nabídkové ceny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_Toc481571038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8E2D3C" w14:textId="401B505B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39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5.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zpracování nabídky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_Toc481571039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6A36DB" w14:textId="58DD6B5A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0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6.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Vysvětlení zadávací dokumentace a komunikace se zadavatelem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_Toc481571040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C74428" w14:textId="03AC4BD1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1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7.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Hodnotící kritéria pro zadání veřejné zakázky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_Toc481571041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E68C7" w14:textId="4FC9AE7E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2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8.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Lhůta pro podání nabídek a otevírání nabídek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_Toc481571042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6879D" w14:textId="7575BDDB" w:rsidR="003E2F4F" w:rsidRPr="003E2F4F" w:rsidRDefault="00FA5DD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3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9.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Lhůta pro platnost nabídky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_Toc481571043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9D6C67" w14:textId="0DF5344F" w:rsidR="003E2F4F" w:rsidRPr="003E2F4F" w:rsidRDefault="00FA5DD5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4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10.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Další podmínky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_Toc481571044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546124" w14:textId="11D0AD89" w:rsidR="003E2F4F" w:rsidRPr="003E2F4F" w:rsidRDefault="00FA5DD5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5" w:history="1"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11.</w:t>
            </w:r>
            <w:r w:rsidR="003E2F4F" w:rsidRPr="003E2F4F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3E2F4F" w:rsidRPr="003E2F4F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Prohlášení zadavatele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_Toc481571045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1F84FB" w14:textId="065D7FDA" w:rsidR="003E2F4F" w:rsidRPr="003E2F4F" w:rsidRDefault="00FA5DD5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6" w:history="1">
            <w:r w:rsidR="003E2F4F" w:rsidRPr="003E2F4F">
              <w:rPr>
                <w:rStyle w:val="Hypertextovodkaz"/>
                <w:rFonts w:ascii="Arial" w:hAnsi="Arial" w:cs="Arial"/>
                <w:noProof/>
                <w:kern w:val="24"/>
                <w:sz w:val="22"/>
                <w:szCs w:val="22"/>
              </w:rPr>
              <w:t>Přílohy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_Toc481571046 \h </w:instrTex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E2F4F" w:rsidRPr="003E2F4F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3D8865" w14:textId="20859CBE" w:rsidR="003E2F4F" w:rsidRPr="003E2F4F" w:rsidRDefault="00FA5DD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7" w:history="1">
            <w:r w:rsidR="003E2F4F" w:rsidRPr="003E2F4F">
              <w:rPr>
                <w:rStyle w:val="Hypertextovodkaz"/>
                <w:rFonts w:ascii="Arial" w:hAnsi="Arial" w:cs="Arial"/>
                <w:noProof/>
              </w:rPr>
              <w:t>Příloha č. 1 – Rámcová smlouva</w:t>
            </w:r>
            <w:r w:rsidR="003E2F4F" w:rsidRPr="003E2F4F">
              <w:rPr>
                <w:rFonts w:ascii="Arial" w:hAnsi="Arial" w:cs="Arial"/>
                <w:noProof/>
                <w:webHidden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</w:rPr>
              <w:instrText xml:space="preserve"> PAGEREF _Toc481571047 \h </w:instrText>
            </w:r>
            <w:r w:rsidR="003E2F4F" w:rsidRPr="003E2F4F">
              <w:rPr>
                <w:rFonts w:ascii="Arial" w:hAnsi="Arial" w:cs="Arial"/>
                <w:noProof/>
                <w:webHidden/>
              </w:rPr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</w:rPr>
              <w:t>8</w:t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66428" w14:textId="29047DA4" w:rsidR="003E2F4F" w:rsidRPr="003E2F4F" w:rsidRDefault="00FA5DD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8" w:history="1">
            <w:r w:rsidR="003E2F4F" w:rsidRPr="003E2F4F">
              <w:rPr>
                <w:rStyle w:val="Hypertextovodkaz"/>
                <w:rFonts w:ascii="Arial" w:hAnsi="Arial" w:cs="Arial"/>
                <w:noProof/>
              </w:rPr>
              <w:t>Příloha č. 2 – Krycí list nabídky</w:t>
            </w:r>
            <w:r w:rsidR="003E2F4F" w:rsidRPr="003E2F4F">
              <w:rPr>
                <w:rFonts w:ascii="Arial" w:hAnsi="Arial" w:cs="Arial"/>
                <w:noProof/>
                <w:webHidden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</w:rPr>
              <w:instrText xml:space="preserve"> PAGEREF _Toc481571048 \h </w:instrText>
            </w:r>
            <w:r w:rsidR="003E2F4F" w:rsidRPr="003E2F4F">
              <w:rPr>
                <w:rFonts w:ascii="Arial" w:hAnsi="Arial" w:cs="Arial"/>
                <w:noProof/>
                <w:webHidden/>
              </w:rPr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</w:rPr>
              <w:t>9</w:t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5D27BA" w14:textId="65BCEE14" w:rsidR="003E2F4F" w:rsidRPr="003E2F4F" w:rsidRDefault="00FA5DD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49" w:history="1">
            <w:r w:rsidR="003E2F4F" w:rsidRPr="003E2F4F">
              <w:rPr>
                <w:rStyle w:val="Hypertextovodkaz"/>
                <w:rFonts w:ascii="Arial" w:hAnsi="Arial" w:cs="Arial"/>
                <w:noProof/>
              </w:rPr>
              <w:t>Příloha č. 3B – Čestné prohlášení o splnění základní způsobilosti</w:t>
            </w:r>
            <w:r w:rsidR="003E2F4F" w:rsidRPr="003E2F4F">
              <w:rPr>
                <w:rFonts w:ascii="Arial" w:hAnsi="Arial" w:cs="Arial"/>
                <w:noProof/>
                <w:webHidden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</w:rPr>
              <w:instrText xml:space="preserve"> PAGEREF _Toc481571049 \h </w:instrText>
            </w:r>
            <w:r w:rsidR="003E2F4F" w:rsidRPr="003E2F4F">
              <w:rPr>
                <w:rFonts w:ascii="Arial" w:hAnsi="Arial" w:cs="Arial"/>
                <w:noProof/>
                <w:webHidden/>
              </w:rPr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</w:rPr>
              <w:t>12</w:t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C9D234" w14:textId="33FFFC0F" w:rsidR="003E2F4F" w:rsidRPr="003E2F4F" w:rsidRDefault="00FA5DD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50" w:history="1">
            <w:r w:rsidR="003E2F4F" w:rsidRPr="003E2F4F">
              <w:rPr>
                <w:rStyle w:val="Hypertextovodkaz"/>
                <w:rFonts w:ascii="Arial" w:hAnsi="Arial" w:cs="Arial"/>
                <w:noProof/>
              </w:rPr>
              <w:t>Příloha č. 3C – Čestné prohlášení účastníka – další předpoklady</w:t>
            </w:r>
            <w:r w:rsidR="003E2F4F" w:rsidRPr="003E2F4F">
              <w:rPr>
                <w:rFonts w:ascii="Arial" w:hAnsi="Arial" w:cs="Arial"/>
                <w:noProof/>
                <w:webHidden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</w:rPr>
              <w:instrText xml:space="preserve"> PAGEREF _Toc481571050 \h </w:instrText>
            </w:r>
            <w:r w:rsidR="003E2F4F" w:rsidRPr="003E2F4F">
              <w:rPr>
                <w:rFonts w:ascii="Arial" w:hAnsi="Arial" w:cs="Arial"/>
                <w:noProof/>
                <w:webHidden/>
              </w:rPr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</w:rPr>
              <w:t>13</w:t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91E13F" w14:textId="12D8ACD6" w:rsidR="003E2F4F" w:rsidRPr="003E2F4F" w:rsidRDefault="00FA5DD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51" w:history="1">
            <w:r w:rsidR="003E2F4F" w:rsidRPr="003E2F4F">
              <w:rPr>
                <w:rStyle w:val="Hypertextovodkaz"/>
                <w:rFonts w:ascii="Arial" w:hAnsi="Arial" w:cs="Arial"/>
                <w:noProof/>
              </w:rPr>
              <w:t>Příloha č. 3D – Čestné prohlášení – § 4b zákona č. 159/2006 Sb., o střetu zájmů</w:t>
            </w:r>
            <w:r w:rsidR="003E2F4F" w:rsidRPr="003E2F4F">
              <w:rPr>
                <w:rFonts w:ascii="Arial" w:hAnsi="Arial" w:cs="Arial"/>
                <w:noProof/>
                <w:webHidden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</w:rPr>
              <w:instrText xml:space="preserve"> PAGEREF _Toc481571051 \h </w:instrText>
            </w:r>
            <w:r w:rsidR="003E2F4F" w:rsidRPr="003E2F4F">
              <w:rPr>
                <w:rFonts w:ascii="Arial" w:hAnsi="Arial" w:cs="Arial"/>
                <w:noProof/>
                <w:webHidden/>
              </w:rPr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</w:rPr>
              <w:t>14</w:t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7AE4E3" w14:textId="6C879080" w:rsidR="003E2F4F" w:rsidRDefault="00FA5DD5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71052" w:history="1">
            <w:r w:rsidR="003E2F4F" w:rsidRPr="003E2F4F">
              <w:rPr>
                <w:rStyle w:val="Hypertextovodkaz"/>
                <w:rFonts w:ascii="Arial" w:hAnsi="Arial" w:cs="Arial"/>
                <w:noProof/>
              </w:rPr>
              <w:t>Příloha č. 4 – Technické podmínky předmětu zakázky</w:t>
            </w:r>
            <w:r w:rsidR="003E2F4F" w:rsidRPr="003E2F4F">
              <w:rPr>
                <w:rFonts w:ascii="Arial" w:hAnsi="Arial" w:cs="Arial"/>
                <w:noProof/>
                <w:webHidden/>
              </w:rPr>
              <w:tab/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begin"/>
            </w:r>
            <w:r w:rsidR="003E2F4F" w:rsidRPr="003E2F4F">
              <w:rPr>
                <w:rFonts w:ascii="Arial" w:hAnsi="Arial" w:cs="Arial"/>
                <w:noProof/>
                <w:webHidden/>
              </w:rPr>
              <w:instrText xml:space="preserve"> PAGEREF _Toc481571052 \h </w:instrText>
            </w:r>
            <w:r w:rsidR="003E2F4F" w:rsidRPr="003E2F4F">
              <w:rPr>
                <w:rFonts w:ascii="Arial" w:hAnsi="Arial" w:cs="Arial"/>
                <w:noProof/>
                <w:webHidden/>
              </w:rPr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66A">
              <w:rPr>
                <w:rFonts w:ascii="Arial" w:hAnsi="Arial" w:cs="Arial"/>
                <w:noProof/>
                <w:webHidden/>
              </w:rPr>
              <w:t>15</w:t>
            </w:r>
            <w:r w:rsidR="003E2F4F" w:rsidRPr="003E2F4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50F982" w14:textId="43CB5B04" w:rsidR="00CA2BFC" w:rsidRPr="00DB1156" w:rsidRDefault="00A3334B" w:rsidP="003D6E98">
          <w:pPr>
            <w:tabs>
              <w:tab w:val="left" w:pos="426"/>
            </w:tabs>
            <w:rPr>
              <w:rFonts w:cs="Arial"/>
              <w:noProof/>
              <w:sz w:val="20"/>
              <w:szCs w:val="20"/>
            </w:rPr>
          </w:pPr>
          <w:r w:rsidRPr="00DB1156">
            <w:rPr>
              <w:rFonts w:cs="Arial"/>
              <w:sz w:val="20"/>
              <w:szCs w:val="20"/>
            </w:rPr>
            <w:fldChar w:fldCharType="end"/>
          </w:r>
          <w:r w:rsidRPr="00DB1156">
            <w:rPr>
              <w:rFonts w:cs="Arial"/>
              <w:sz w:val="20"/>
              <w:szCs w:val="20"/>
            </w:rPr>
            <w:fldChar w:fldCharType="begin"/>
          </w:r>
          <w:r w:rsidR="00CA2BFC" w:rsidRPr="00DB1156">
            <w:rPr>
              <w:rFonts w:cs="Arial"/>
              <w:sz w:val="20"/>
              <w:szCs w:val="20"/>
            </w:rPr>
            <w:instrText xml:space="preserve"> TOC \t "Nadpis 3;1" </w:instrText>
          </w:r>
          <w:r w:rsidRPr="00DB1156">
            <w:rPr>
              <w:rFonts w:cs="Arial"/>
              <w:sz w:val="20"/>
              <w:szCs w:val="20"/>
            </w:rPr>
            <w:fldChar w:fldCharType="separate"/>
          </w:r>
        </w:p>
        <w:p w14:paraId="6880B89B" w14:textId="77777777" w:rsidR="00F53377" w:rsidRPr="00FC3CB8" w:rsidRDefault="00A3334B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DB1156">
            <w:rPr>
              <w:rFonts w:cs="Arial"/>
              <w:sz w:val="20"/>
              <w:szCs w:val="20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lastRenderedPageBreak/>
        <w:br w:type="page"/>
      </w:r>
    </w:p>
    <w:p w14:paraId="31BA60B3" w14:textId="77777777" w:rsidR="00F4031A" w:rsidRPr="00DB2351" w:rsidRDefault="00F4031A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481571035"/>
      <w:bookmarkStart w:id="7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561C76B0" w14:textId="77777777" w:rsidR="009E189B" w:rsidRPr="00FC03F8" w:rsidRDefault="006E4F69" w:rsidP="00CD092C">
      <w:pPr>
        <w:pStyle w:val="Odstavecseseznamem"/>
        <w:keepNext/>
        <w:numPr>
          <w:ilvl w:val="1"/>
          <w:numId w:val="21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7"/>
    </w:p>
    <w:p w14:paraId="1D02189A" w14:textId="167616AF" w:rsidR="00DA1829" w:rsidRDefault="006E4F69" w:rsidP="00080672">
      <w:pPr>
        <w:pStyle w:val="Zkladntext"/>
        <w:spacing w:before="120"/>
        <w:ind w:left="426"/>
      </w:pPr>
      <w:r w:rsidRPr="001803D6">
        <w:t>Účelem veřejné zakázky je</w:t>
      </w:r>
      <w:r w:rsidR="0069708F" w:rsidRPr="001803D6">
        <w:t xml:space="preserve"> </w:t>
      </w:r>
      <w:r w:rsidR="00903189" w:rsidRPr="00606131">
        <w:t xml:space="preserve">poskytnutí služeb spočívajících v </w:t>
      </w:r>
      <w:r w:rsidR="00606131">
        <w:t xml:space="preserve">zajištění servisu tiskáren </w:t>
      </w:r>
      <w:r w:rsidR="00606131">
        <w:br/>
        <w:t>a multifunkčních zařízení</w:t>
      </w:r>
      <w:r w:rsidR="00CD2F97" w:rsidRPr="001803D6">
        <w:t xml:space="preserve"> </w:t>
      </w:r>
      <w:r w:rsidR="00DA1829">
        <w:rPr>
          <w:rFonts w:cs="Arial"/>
          <w:szCs w:val="22"/>
          <w:lang w:eastAsia="en-US"/>
        </w:rPr>
        <w:t>pro účely a k zajištění zákonné působnosti zada</w:t>
      </w:r>
      <w:r w:rsidR="007D24C3">
        <w:rPr>
          <w:rFonts w:cs="Arial"/>
          <w:szCs w:val="22"/>
          <w:lang w:eastAsia="en-US"/>
        </w:rPr>
        <w:t>vatele vyplývající ze zákona č. </w:t>
      </w:r>
      <w:r w:rsidR="00DA1829">
        <w:rPr>
          <w:rFonts w:cs="Arial"/>
          <w:szCs w:val="22"/>
          <w:lang w:eastAsia="en-US"/>
        </w:rPr>
        <w:t xml:space="preserve">97/1993Sb., o působnosti Správy státních hmotných rezerv </w:t>
      </w:r>
      <w:r w:rsidR="00DA1829">
        <w:t>(dále též „Správa“ nebo „zadavatel“)</w:t>
      </w:r>
      <w:r w:rsidR="00DA1829">
        <w:rPr>
          <w:rFonts w:cs="Arial"/>
          <w:szCs w:val="22"/>
          <w:lang w:eastAsia="en-US"/>
        </w:rPr>
        <w:t>, ve znění pozdějších předpisů</w:t>
      </w:r>
      <w:r w:rsidR="00DA1829" w:rsidRPr="006F5AB7">
        <w:t>.</w:t>
      </w:r>
    </w:p>
    <w:p w14:paraId="74769D8A" w14:textId="77777777" w:rsidR="009E189B" w:rsidRPr="005C3913" w:rsidRDefault="00F4031A" w:rsidP="00CD092C">
      <w:pPr>
        <w:pStyle w:val="Odstavecseseznamem"/>
        <w:keepNext/>
        <w:numPr>
          <w:ilvl w:val="1"/>
          <w:numId w:val="21"/>
        </w:numPr>
        <w:spacing w:before="240"/>
        <w:ind w:left="425" w:hanging="431"/>
        <w:contextualSpacing w:val="0"/>
        <w:rPr>
          <w:b/>
          <w:szCs w:val="22"/>
        </w:rPr>
      </w:pPr>
      <w:bookmarkStart w:id="8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8"/>
    </w:p>
    <w:p w14:paraId="0586AFEC" w14:textId="77761AC6" w:rsidR="000C31A2" w:rsidRPr="001803D6" w:rsidRDefault="006E4F69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1803D6">
        <w:rPr>
          <w:b w:val="0"/>
          <w:sz w:val="22"/>
          <w:szCs w:val="22"/>
        </w:rPr>
        <w:t xml:space="preserve">Předmětem veřejné zakázky je </w:t>
      </w:r>
      <w:r w:rsidR="00903189" w:rsidRPr="00606131">
        <w:rPr>
          <w:b w:val="0"/>
          <w:sz w:val="22"/>
          <w:szCs w:val="22"/>
        </w:rPr>
        <w:t>poskytnutí služeb spočívajících v</w:t>
      </w:r>
      <w:r w:rsidR="00606131">
        <w:rPr>
          <w:b w:val="0"/>
          <w:sz w:val="22"/>
          <w:szCs w:val="22"/>
        </w:rPr>
        <w:t> zajištění servisu tiskáren a multifunkčních zařízení</w:t>
      </w:r>
      <w:r w:rsidR="00903189" w:rsidRPr="00606131">
        <w:rPr>
          <w:b w:val="0"/>
          <w:sz w:val="22"/>
          <w:szCs w:val="22"/>
        </w:rPr>
        <w:t xml:space="preserve"> dle rozsahu a čet</w:t>
      </w:r>
      <w:r w:rsidR="00441D62" w:rsidRPr="00606131">
        <w:rPr>
          <w:b w:val="0"/>
          <w:sz w:val="22"/>
          <w:szCs w:val="22"/>
        </w:rPr>
        <w:t>n</w:t>
      </w:r>
      <w:r w:rsidR="00903189" w:rsidRPr="00606131">
        <w:rPr>
          <w:b w:val="0"/>
          <w:sz w:val="22"/>
          <w:szCs w:val="22"/>
        </w:rPr>
        <w:t>osti uvedené v </w:t>
      </w:r>
      <w:hyperlink w:anchor="_Příloha_č._4_2" w:history="1">
        <w:r w:rsidR="00903189" w:rsidRPr="00606131">
          <w:rPr>
            <w:rStyle w:val="Hypertextovodkaz"/>
            <w:b w:val="0"/>
            <w:sz w:val="22"/>
            <w:szCs w:val="22"/>
          </w:rPr>
          <w:t>Příloze č. 4</w:t>
        </w:r>
      </w:hyperlink>
      <w:r w:rsidR="000B1B25">
        <w:rPr>
          <w:rStyle w:val="Hypertextovodkaz"/>
          <w:b w:val="0"/>
          <w:sz w:val="22"/>
          <w:szCs w:val="22"/>
          <w:u w:val="none"/>
        </w:rPr>
        <w:t xml:space="preserve"> </w:t>
      </w:r>
      <w:r w:rsidR="00606131" w:rsidRPr="00606131">
        <w:rPr>
          <w:rStyle w:val="Hypertextovodkaz"/>
          <w:b w:val="0"/>
          <w:color w:val="auto"/>
          <w:sz w:val="22"/>
          <w:szCs w:val="22"/>
          <w:u w:val="none"/>
        </w:rPr>
        <w:t>(Technické podmínky předmětu zakázky)</w:t>
      </w:r>
      <w:r w:rsidR="00242C62" w:rsidRPr="00BD2258">
        <w:rPr>
          <w:b w:val="0"/>
          <w:sz w:val="22"/>
          <w:szCs w:val="22"/>
        </w:rPr>
        <w:t>,</w:t>
      </w:r>
      <w:r w:rsidR="00242C62" w:rsidRPr="001803D6">
        <w:rPr>
          <w:b w:val="0"/>
          <w:sz w:val="22"/>
          <w:szCs w:val="22"/>
        </w:rPr>
        <w:t xml:space="preserve"> která je nedílnou součástí této </w:t>
      </w:r>
      <w:r w:rsidR="006F5AB7" w:rsidRPr="001803D6">
        <w:rPr>
          <w:b w:val="0"/>
          <w:sz w:val="22"/>
          <w:szCs w:val="22"/>
        </w:rPr>
        <w:t xml:space="preserve">zadávací dokumentace (dále též </w:t>
      </w:r>
      <w:r w:rsidR="00606131">
        <w:rPr>
          <w:b w:val="0"/>
          <w:sz w:val="22"/>
          <w:szCs w:val="22"/>
        </w:rPr>
        <w:t>„</w:t>
      </w:r>
      <w:r w:rsidR="006F5AB7" w:rsidRPr="001803D6">
        <w:rPr>
          <w:b w:val="0"/>
          <w:sz w:val="22"/>
          <w:szCs w:val="22"/>
        </w:rPr>
        <w:t>ZD</w:t>
      </w:r>
      <w:r w:rsidR="00606131">
        <w:rPr>
          <w:b w:val="0"/>
          <w:sz w:val="22"/>
          <w:szCs w:val="22"/>
        </w:rPr>
        <w:t>“</w:t>
      </w:r>
      <w:r w:rsidR="006F5AB7" w:rsidRPr="001803D6">
        <w:rPr>
          <w:b w:val="0"/>
          <w:sz w:val="22"/>
          <w:szCs w:val="22"/>
        </w:rPr>
        <w:t>)</w:t>
      </w:r>
      <w:r w:rsidR="00A54F0E" w:rsidRPr="001803D6">
        <w:rPr>
          <w:b w:val="0"/>
          <w:sz w:val="22"/>
          <w:szCs w:val="22"/>
        </w:rPr>
        <w:t>.</w:t>
      </w:r>
    </w:p>
    <w:p w14:paraId="1B179CB8" w14:textId="77777777" w:rsidR="002B5C78" w:rsidRPr="00FC03F8" w:rsidRDefault="002B5C78" w:rsidP="00CD092C">
      <w:pPr>
        <w:pStyle w:val="Odstavecseseznamem"/>
        <w:keepNext/>
        <w:numPr>
          <w:ilvl w:val="1"/>
          <w:numId w:val="21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73E40A38" w14:textId="34FF40E0" w:rsidR="00344A95" w:rsidRDefault="000B1B25" w:rsidP="00D70D39">
      <w:pPr>
        <w:spacing w:before="120"/>
        <w:ind w:left="426"/>
        <w:jc w:val="both"/>
      </w:pPr>
      <w:r>
        <w:rPr>
          <w:rStyle w:val="detail"/>
        </w:rPr>
        <w:t xml:space="preserve">50313000-2 </w:t>
      </w:r>
      <w:r w:rsidRPr="000B1B25">
        <w:t>Opravy a údržba reprografické techniky</w:t>
      </w:r>
    </w:p>
    <w:p w14:paraId="3F68B3FB" w14:textId="77777777" w:rsidR="00B43D03" w:rsidRDefault="00B43D03" w:rsidP="00D70D39">
      <w:pPr>
        <w:spacing w:before="120"/>
        <w:ind w:left="426"/>
        <w:jc w:val="both"/>
        <w:rPr>
          <w:rStyle w:val="detail"/>
        </w:rPr>
      </w:pPr>
    </w:p>
    <w:p w14:paraId="6CA04C73" w14:textId="77777777" w:rsidR="005855C1" w:rsidRPr="00F4031A" w:rsidRDefault="00B7231D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481571036"/>
      <w:bookmarkStart w:id="24" w:name="_Toc32627413"/>
      <w:bookmarkStart w:id="25" w:name="_Toc123534351"/>
      <w:bookmarkStart w:id="26" w:name="_Toc301437999"/>
      <w:bookmarkStart w:id="27" w:name="_Toc123551137"/>
      <w:bookmarkEnd w:id="9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A1D7C1" w14:textId="77777777" w:rsidR="00F4031A" w:rsidRPr="00C577A5" w:rsidRDefault="00F4031A" w:rsidP="00CD092C">
      <w:pPr>
        <w:pStyle w:val="Odstavecseseznamem"/>
        <w:keepNext/>
        <w:numPr>
          <w:ilvl w:val="1"/>
          <w:numId w:val="24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 xml:space="preserve">Místo plnění veřejné zakázky </w:t>
      </w:r>
    </w:p>
    <w:p w14:paraId="782D514B" w14:textId="59E7926B" w:rsidR="00061305" w:rsidRDefault="000B1B25" w:rsidP="00903189">
      <w:pPr>
        <w:pStyle w:val="Zkladntext"/>
        <w:spacing w:before="120"/>
        <w:ind w:left="425"/>
      </w:pPr>
      <w:bookmarkStart w:id="28" w:name="_Toc301782365"/>
      <w:r w:rsidRPr="00FC3CB8">
        <w:t xml:space="preserve">Místem plnění </w:t>
      </w:r>
      <w:r>
        <w:t xml:space="preserve">předmětu </w:t>
      </w:r>
      <w:r w:rsidRPr="00FC3CB8">
        <w:t>veřejné zak</w:t>
      </w:r>
      <w:r>
        <w:t xml:space="preserve">ázky jsou prostory zadavatele, které se nachází </w:t>
      </w:r>
      <w:r w:rsidR="00FD703A">
        <w:t xml:space="preserve">jednak </w:t>
      </w:r>
      <w:r>
        <w:t>v</w:t>
      </w:r>
      <w:r w:rsidR="00FD703A">
        <w:t> </w:t>
      </w:r>
      <w:r>
        <w:t>Praze</w:t>
      </w:r>
      <w:r w:rsidR="00FD703A">
        <w:t>, jednak v mimopražských lokalitách ve skladovacích kapacitách zadavatele</w:t>
      </w:r>
      <w:r w:rsidR="004644EF">
        <w:t xml:space="preserve"> v</w:t>
      </w:r>
      <w:r w:rsidR="00061305">
        <w:t> </w:t>
      </w:r>
      <w:r w:rsidR="004644EF">
        <w:t>okresech</w:t>
      </w:r>
      <w:r w:rsidR="00061305">
        <w:t xml:space="preserve"> </w:t>
      </w:r>
      <w:r w:rsidR="00061305" w:rsidRPr="00337F70">
        <w:t>Praha</w:t>
      </w:r>
      <w:r w:rsidR="003C7BB1">
        <w:t>-v</w:t>
      </w:r>
      <w:r w:rsidR="00061305" w:rsidRPr="00337F70">
        <w:t>ýchod, Jičín, Náchod, Opava, Žďár n</w:t>
      </w:r>
      <w:r w:rsidR="00061305">
        <w:t>ad</w:t>
      </w:r>
      <w:r w:rsidR="00061305" w:rsidRPr="00337F70">
        <w:t xml:space="preserve"> Sázavou, Frýdek-Místek, Tábor, Trutnov, Jičín, Uherské Hradiště, Česká Lípa, Prostějov, Příbram, Děčín</w:t>
      </w:r>
      <w:r w:rsidR="003C7BB1">
        <w:t>, Nový Jičín</w:t>
      </w:r>
      <w:r>
        <w:t xml:space="preserve">. </w:t>
      </w:r>
    </w:p>
    <w:p w14:paraId="47DEEA3E" w14:textId="73479B9D" w:rsidR="00903189" w:rsidRDefault="000B1B25" w:rsidP="00903189">
      <w:pPr>
        <w:pStyle w:val="Zkladntext"/>
        <w:spacing w:before="120"/>
        <w:ind w:left="425"/>
      </w:pPr>
      <w:r>
        <w:t xml:space="preserve">Konkrétní adresa </w:t>
      </w:r>
      <w:r w:rsidR="00014488">
        <w:t xml:space="preserve">místa plnění </w:t>
      </w:r>
      <w:r>
        <w:t>bude uvedena na jednotlivých objednávkách.</w:t>
      </w:r>
    </w:p>
    <w:p w14:paraId="540E9AE5" w14:textId="77777777" w:rsidR="003C79B3" w:rsidRPr="00C577A5" w:rsidRDefault="003C79B3" w:rsidP="00CD092C">
      <w:pPr>
        <w:pStyle w:val="Odstavecseseznamem"/>
        <w:keepNext/>
        <w:numPr>
          <w:ilvl w:val="1"/>
          <w:numId w:val="24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zakázky</w:t>
      </w:r>
      <w:bookmarkEnd w:id="24"/>
      <w:bookmarkEnd w:id="25"/>
      <w:bookmarkEnd w:id="26"/>
      <w:bookmarkEnd w:id="28"/>
      <w:r w:rsidRPr="00C577A5">
        <w:rPr>
          <w:b/>
          <w:szCs w:val="22"/>
        </w:rPr>
        <w:t xml:space="preserve"> </w:t>
      </w:r>
      <w:bookmarkEnd w:id="27"/>
    </w:p>
    <w:p w14:paraId="4F591982" w14:textId="4B735731" w:rsidR="00BE6624" w:rsidRDefault="00AD5713" w:rsidP="00D70D39">
      <w:pPr>
        <w:pStyle w:val="nadsazen"/>
        <w:keepLines w:val="0"/>
        <w:spacing w:before="120"/>
        <w:ind w:left="425" w:firstLine="0"/>
      </w:pPr>
      <w:bookmarkStart w:id="29" w:name="_Toc301782366"/>
      <w:r w:rsidRPr="00FC3CB8">
        <w:t xml:space="preserve">Doba plnění veřejné zakázky je zadavatelem </w:t>
      </w:r>
      <w:r w:rsidRPr="00CC5FEE">
        <w:t xml:space="preserve">požadována </w:t>
      </w:r>
      <w:r w:rsidRPr="00E25C94">
        <w:t xml:space="preserve">po dobu </w:t>
      </w:r>
      <w:r w:rsidRPr="00E42C5E">
        <w:rPr>
          <w:b/>
        </w:rPr>
        <w:t>4</w:t>
      </w:r>
      <w:r>
        <w:rPr>
          <w:b/>
        </w:rPr>
        <w:t>8</w:t>
      </w:r>
      <w:r w:rsidRPr="00E42C5E">
        <w:rPr>
          <w:b/>
        </w:rPr>
        <w:t xml:space="preserve"> </w:t>
      </w:r>
      <w:r>
        <w:rPr>
          <w:b/>
        </w:rPr>
        <w:t>měsíců</w:t>
      </w:r>
      <w:r w:rsidRPr="00E42C5E">
        <w:rPr>
          <w:b/>
        </w:rPr>
        <w:t xml:space="preserve"> </w:t>
      </w:r>
      <w:r w:rsidR="000B1B25" w:rsidRPr="00F31210">
        <w:t>od</w:t>
      </w:r>
      <w:r w:rsidR="000B1B25">
        <w:t>e dne</w:t>
      </w:r>
      <w:r w:rsidR="000B1B25" w:rsidRPr="009D7DAA">
        <w:t xml:space="preserve"> nabytí účinnosti </w:t>
      </w:r>
      <w:r w:rsidR="00B94AC2">
        <w:t xml:space="preserve">rámcové </w:t>
      </w:r>
      <w:r w:rsidR="0054716C">
        <w:t>smlouvy</w:t>
      </w:r>
      <w:r w:rsidR="000B1B25">
        <w:t xml:space="preserve"> nebo do vyčerpání finančního limitu, který je zadavatelem stanoven ve výši </w:t>
      </w:r>
      <w:r w:rsidR="000B1B25" w:rsidRPr="00E42C5E">
        <w:rPr>
          <w:b/>
        </w:rPr>
        <w:t>1.900.000 Kč bez DPH</w:t>
      </w:r>
      <w:r w:rsidR="000B1B25">
        <w:t>.</w:t>
      </w:r>
    </w:p>
    <w:p w14:paraId="772AB09F" w14:textId="77777777" w:rsidR="00B43D03" w:rsidRDefault="00B43D03" w:rsidP="00D70D39">
      <w:pPr>
        <w:pStyle w:val="nadsazen"/>
        <w:keepLines w:val="0"/>
        <w:spacing w:before="120"/>
        <w:ind w:left="425" w:firstLine="0"/>
      </w:pPr>
    </w:p>
    <w:p w14:paraId="7F45CF4A" w14:textId="77777777" w:rsidR="00AC4A23" w:rsidRPr="002E65A5" w:rsidRDefault="002E65A5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481571037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1"/>
    </w:p>
    <w:p w14:paraId="342E533A" w14:textId="77777777" w:rsidR="00AC4A23" w:rsidRPr="007D24C3" w:rsidRDefault="00AC4A23" w:rsidP="00CD092C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bookmarkStart w:id="32" w:name="_Toc301782369"/>
      <w:bookmarkStart w:id="33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2"/>
      <w:bookmarkEnd w:id="33"/>
      <w:r w:rsidR="00662099" w:rsidRPr="00C577A5">
        <w:rPr>
          <w:b/>
          <w:szCs w:val="22"/>
        </w:rPr>
        <w:t>způsobilost</w:t>
      </w:r>
    </w:p>
    <w:p w14:paraId="703BAFF5" w14:textId="77777777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CD092C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bookmarkStart w:id="34" w:name="_Toc367429002"/>
      <w:bookmarkStart w:id="35" w:name="_Toc301782370"/>
      <w:r w:rsidRPr="00C577A5">
        <w:rPr>
          <w:b/>
          <w:szCs w:val="22"/>
        </w:rPr>
        <w:t xml:space="preserve">Profesní </w:t>
      </w:r>
      <w:bookmarkEnd w:id="34"/>
      <w:r w:rsidR="00662099" w:rsidRPr="00C577A5">
        <w:rPr>
          <w:b/>
          <w:szCs w:val="22"/>
        </w:rPr>
        <w:t>způsobilost</w:t>
      </w:r>
    </w:p>
    <w:p w14:paraId="1DBC80A9" w14:textId="77777777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63A097E1" w14:textId="38E2E77D" w:rsidR="00937146" w:rsidRPr="00A11CA1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oprávnění, či licenci</w:t>
      </w:r>
      <w:r w:rsidR="00C60B44" w:rsidRPr="00A11CA1">
        <w:rPr>
          <w:rFonts w:ascii="Arial" w:hAnsi="Arial" w:cs="Arial"/>
          <w:sz w:val="22"/>
          <w:szCs w:val="22"/>
        </w:rPr>
        <w:t>.</w:t>
      </w:r>
    </w:p>
    <w:p w14:paraId="5CB60319" w14:textId="77777777" w:rsidR="00AB6CD5" w:rsidRPr="00C577A5" w:rsidRDefault="00AB6CD5" w:rsidP="00CD092C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bookmarkStart w:id="36" w:name="_Toc428881704"/>
      <w:bookmarkStart w:id="37" w:name="_Toc432601057"/>
      <w:bookmarkEnd w:id="35"/>
      <w:r w:rsidRPr="00C577A5">
        <w:rPr>
          <w:b/>
          <w:szCs w:val="22"/>
        </w:rPr>
        <w:t>Další předpoklady</w:t>
      </w:r>
      <w:bookmarkEnd w:id="36"/>
      <w:bookmarkEnd w:id="37"/>
    </w:p>
    <w:p w14:paraId="4DA1AEDF" w14:textId="77777777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2F34FB">
        <w:rPr>
          <w:rFonts w:cs="Arial"/>
        </w:rPr>
        <w:t>účastníka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7DE31EB3" w14:textId="21FB04BB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odmítl v uplynulých </w:t>
      </w:r>
      <w:r w:rsidR="00E146D5">
        <w:rPr>
          <w:rFonts w:cs="Arial"/>
        </w:rPr>
        <w:t xml:space="preserve">36 </w:t>
      </w:r>
      <w:r w:rsidR="00AB6CD5" w:rsidRPr="008B5B40">
        <w:rPr>
          <w:rFonts w:cs="Arial"/>
        </w:rPr>
        <w:t>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>
        <w:rPr>
          <w:rFonts w:cs="Arial"/>
        </w:rPr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0D1DA860" w14:textId="324D886F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lastRenderedPageBreak/>
        <w:t>účastník</w:t>
      </w:r>
      <w:r w:rsidR="00AB6CD5" w:rsidRPr="008B5B40">
        <w:rPr>
          <w:rFonts w:cs="Arial"/>
        </w:rPr>
        <w:t xml:space="preserve"> v minulosti řádně nespln</w:t>
      </w:r>
      <w:r w:rsidR="00D85B0B">
        <w:rPr>
          <w:rFonts w:cs="Arial"/>
        </w:rPr>
        <w:t>il veřejnou zakázku vůči Správě;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7F1D1565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2F34FB">
        <w:rPr>
          <w:rFonts w:cs="Arial"/>
        </w:rPr>
        <w:t>účastník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51166D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19CACBB0" w14:textId="0A14F59B" w:rsidR="0059427F" w:rsidRPr="0059427F" w:rsidRDefault="0059427F" w:rsidP="00CD092C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</w:pPr>
      <w:r w:rsidRPr="0059427F">
        <w:rPr>
          <w:b/>
        </w:rPr>
        <w:t>Další p</w:t>
      </w:r>
      <w:r>
        <w:rPr>
          <w:b/>
        </w:rPr>
        <w:t>ožadavky zadavatele</w:t>
      </w:r>
    </w:p>
    <w:p w14:paraId="7464C21A" w14:textId="0578B5BA" w:rsidR="0059427F" w:rsidRDefault="0059427F" w:rsidP="0059427F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Pr="00762E37">
          <w:rPr>
            <w:rStyle w:val="Hypertextovodkaz"/>
            <w:color w:val="auto"/>
            <w:u w:val="none"/>
          </w:rPr>
          <w:t xml:space="preserve"> </w:t>
        </w:r>
        <w:r w:rsidR="00FE1F5F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>. Zadavatel upozorňuje, že po vybraném dodavateli (pokud je právnickou osobou) bude před podpisem smlouvy požadovat předložení dokladů k prokázání skutečností dle tohoto čestného prohlášení. Těmito doklady mohou být např.:</w:t>
      </w:r>
    </w:p>
    <w:p w14:paraId="58774951" w14:textId="77777777" w:rsidR="0059427F" w:rsidRDefault="0059427F" w:rsidP="0059427F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73449B96" w14:textId="77777777" w:rsidR="0059427F" w:rsidRDefault="0059427F" w:rsidP="0059427F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2A11D0AA" w14:textId="77777777" w:rsidR="0059427F" w:rsidRDefault="0059427F" w:rsidP="0059427F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087ED750" w14:textId="77777777" w:rsidR="0059427F" w:rsidRPr="00FC3CB8" w:rsidRDefault="0059427F" w:rsidP="0059427F">
      <w:pPr>
        <w:spacing w:before="120"/>
        <w:ind w:left="426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CD092C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4B3A9B40" w14:textId="03D243A8" w:rsidR="000D57EC" w:rsidRDefault="002F34FB" w:rsidP="00D70D39">
      <w:pPr>
        <w:spacing w:before="120"/>
        <w:ind w:left="426"/>
        <w:jc w:val="both"/>
      </w:pPr>
      <w:r>
        <w:t>Účastník</w:t>
      </w:r>
      <w:r w:rsidR="000D57EC" w:rsidRPr="00FC3CB8">
        <w:t xml:space="preserve"> předloží doklady požadované zadavatelem v prosté kopii. </w:t>
      </w:r>
      <w:r w:rsidR="000D0B91">
        <w:t xml:space="preserve">Doklady prokazující profesní způsobilost musí prokazovat splnění požadovaného kritéria způsobilosti nejpozději v době 3 měsíců přede dnem zahájení </w:t>
      </w:r>
      <w:r w:rsidR="00296F2F">
        <w:t>výběrového</w:t>
      </w:r>
      <w:r w:rsidR="000D0B91">
        <w:t xml:space="preserve"> řízení. Z</w:t>
      </w:r>
      <w:r w:rsidR="000D57EC" w:rsidRPr="00FC3CB8">
        <w:t xml:space="preserve">adavatel je oprávněn po </w:t>
      </w:r>
      <w:r>
        <w:t>účastníkovi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t xml:space="preserve">před uzavřením smlouvy. Nesplnění této podmínky ze strany </w:t>
      </w:r>
      <w:r>
        <w:t>účastníka</w:t>
      </w:r>
      <w:r w:rsidR="000D57EC" w:rsidRPr="00FC3CB8">
        <w:t xml:space="preserve"> se považuje za neposkytnutí součinnosti k uzavření smlouvy.</w:t>
      </w:r>
    </w:p>
    <w:p w14:paraId="2262BC6B" w14:textId="77777777" w:rsidR="00C577A5" w:rsidRPr="00FC3CB8" w:rsidRDefault="00C577A5" w:rsidP="00D70D39">
      <w:pPr>
        <w:spacing w:before="120"/>
        <w:ind w:left="426"/>
        <w:jc w:val="both"/>
      </w:pPr>
    </w:p>
    <w:p w14:paraId="40E32A5D" w14:textId="77777777" w:rsidR="002A5F35" w:rsidRPr="007D24C3" w:rsidRDefault="002A5F35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8" w:name="_Toc431909476"/>
      <w:bookmarkStart w:id="39" w:name="_Toc432601059"/>
      <w:bookmarkStart w:id="40" w:name="_Toc432768162"/>
      <w:bookmarkStart w:id="41" w:name="_Toc481571038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8"/>
      <w:bookmarkEnd w:id="39"/>
      <w:bookmarkEnd w:id="40"/>
      <w:bookmarkEnd w:id="41"/>
    </w:p>
    <w:p w14:paraId="65DD154A" w14:textId="4A5D9136" w:rsidR="00725909" w:rsidRPr="00080672" w:rsidRDefault="002A5F35" w:rsidP="00CD092C">
      <w:pPr>
        <w:pStyle w:val="Odstavecseseznamem"/>
        <w:numPr>
          <w:ilvl w:val="1"/>
          <w:numId w:val="26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>, cla, poplatky a ostatní další výdaje a náklady spojené s realizací veřejné zakázky</w:t>
      </w:r>
      <w:r w:rsidR="0054716C">
        <w:rPr>
          <w:szCs w:val="22"/>
        </w:rPr>
        <w:t>.</w:t>
      </w:r>
    </w:p>
    <w:p w14:paraId="272FF41D" w14:textId="5DE2F125" w:rsidR="009F135C" w:rsidRPr="009F135C" w:rsidRDefault="002A5F35" w:rsidP="00CD092C">
      <w:pPr>
        <w:pStyle w:val="Odstavecseseznamem"/>
        <w:numPr>
          <w:ilvl w:val="1"/>
          <w:numId w:val="26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2F34FB">
        <w:rPr>
          <w:szCs w:val="22"/>
        </w:rPr>
        <w:t>účastníka</w:t>
      </w:r>
      <w:r w:rsidRPr="007D24C3">
        <w:rPr>
          <w:szCs w:val="22"/>
        </w:rPr>
        <w:t>, a to ve struktuře uvedené v </w:t>
      </w:r>
      <w:hyperlink w:anchor="_Příloha_č._2_2" w:history="1">
        <w:r w:rsidRPr="007D24C3">
          <w:rPr>
            <w:rStyle w:val="Hypertextovodkaz"/>
            <w:rFonts w:cs="Arial"/>
          </w:rPr>
          <w:t xml:space="preserve">Příloze č. </w:t>
        </w:r>
        <w:r w:rsidR="00C64F92" w:rsidRPr="007D24C3">
          <w:rPr>
            <w:rStyle w:val="Hypertextovodkaz"/>
            <w:rFonts w:cs="Arial"/>
          </w:rPr>
          <w:t>2</w:t>
        </w:r>
      </w:hyperlink>
      <w:r w:rsidRPr="007D24C3">
        <w:rPr>
          <w:szCs w:val="22"/>
        </w:rPr>
        <w:t xml:space="preserve"> (Krycí list nabídky) této ZD a v návrhu smlouvy</w:t>
      </w:r>
      <w:r w:rsidR="00014488">
        <w:rPr>
          <w:szCs w:val="22"/>
        </w:rPr>
        <w:t xml:space="preserve"> (Příloha č. 3 smlouvy)</w:t>
      </w:r>
      <w:r w:rsidRPr="007D24C3">
        <w:rPr>
          <w:szCs w:val="22"/>
        </w:rPr>
        <w:t>.</w:t>
      </w:r>
      <w:r w:rsidR="009F135C">
        <w:rPr>
          <w:szCs w:val="22"/>
        </w:rPr>
        <w:t xml:space="preserve"> </w:t>
      </w:r>
      <w:r w:rsidR="009F135C" w:rsidRPr="009F135C">
        <w:rPr>
          <w:szCs w:val="22"/>
        </w:rPr>
        <w:t>Účastník zaokrouhlí nabídkovou cenu na 2 (dvě) desetinná místa.</w:t>
      </w:r>
    </w:p>
    <w:p w14:paraId="5FD32965" w14:textId="77777777" w:rsidR="002A5F35" w:rsidRPr="007D24C3" w:rsidRDefault="00663170" w:rsidP="00CD092C">
      <w:pPr>
        <w:pStyle w:val="Odstavecseseznamem"/>
        <w:numPr>
          <w:ilvl w:val="1"/>
          <w:numId w:val="26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42E7E008" w14:textId="77777777" w:rsidR="00C577A5" w:rsidRDefault="00C577A5" w:rsidP="009332ED">
      <w:pPr>
        <w:tabs>
          <w:tab w:val="left" w:pos="426"/>
        </w:tabs>
        <w:spacing w:before="120"/>
      </w:pPr>
    </w:p>
    <w:p w14:paraId="548A72AA" w14:textId="77777777" w:rsidR="00C41BE3" w:rsidRPr="007D24C3" w:rsidRDefault="00F74D81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2" w:name="_Toc382814519"/>
      <w:bookmarkStart w:id="43" w:name="_Toc481571039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nabídky</w:t>
      </w:r>
      <w:bookmarkEnd w:id="42"/>
      <w:bookmarkEnd w:id="43"/>
    </w:p>
    <w:p w14:paraId="5E5DC2D7" w14:textId="77777777" w:rsidR="00C41BE3" w:rsidRPr="007D24C3" w:rsidRDefault="00C41BE3" w:rsidP="00CD092C">
      <w:pPr>
        <w:pStyle w:val="Odstavecseseznamem"/>
        <w:keepNext/>
        <w:numPr>
          <w:ilvl w:val="1"/>
          <w:numId w:val="27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7777777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 xml:space="preserve">adavatel požaduje, aby nabídka </w:t>
      </w:r>
      <w:r w:rsidR="002F34FB">
        <w:t>účastníka</w:t>
      </w:r>
      <w:r>
        <w:t xml:space="preserve"> byla předložena v následující struktuře:</w:t>
      </w:r>
    </w:p>
    <w:p w14:paraId="3BD0535A" w14:textId="05034279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_2" w:history="1">
        <w:r w:rsidR="00040353" w:rsidRPr="00C97EFB">
          <w:rPr>
            <w:rStyle w:val="Hypertextovodkaz"/>
          </w:rPr>
          <w:t>Přílohy č. 2</w:t>
        </w:r>
      </w:hyperlink>
      <w:r w:rsidR="00040353" w:rsidRPr="00FC3CB8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2F34FB">
        <w:t>účastníka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21A65C8" w14:textId="5F2230B8" w:rsidR="00C41BE3" w:rsidRPr="00B516B1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C3742E">
        <w:rPr>
          <w:rFonts w:cs="Arial"/>
          <w:noProof/>
          <w:szCs w:val="22"/>
          <w:lang w:val="en-US"/>
        </w:rPr>
        <w:t>;</w:t>
      </w:r>
      <w:r w:rsidRPr="00FC3CB8">
        <w:t xml:space="preserve"> </w:t>
      </w:r>
    </w:p>
    <w:p w14:paraId="08C76652" w14:textId="5CBF532A" w:rsidR="00B516B1" w:rsidRPr="00FC3CB8" w:rsidRDefault="00B516B1" w:rsidP="00B516B1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59427F">
        <w:rPr>
          <w:szCs w:val="22"/>
        </w:rPr>
        <w:t>,</w:t>
      </w:r>
      <w:r w:rsidRPr="00D14C39">
        <w:rPr>
          <w:szCs w:val="22"/>
        </w:rPr>
        <w:t xml:space="preserve"> 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Pr="00D14C39">
        <w:rPr>
          <w:b/>
          <w:szCs w:val="22"/>
        </w:rPr>
        <w:t xml:space="preserve"> </w:t>
      </w:r>
      <w:r w:rsidR="0059427F">
        <w:rPr>
          <w:b/>
          <w:szCs w:val="22"/>
        </w:rPr>
        <w:t xml:space="preserve"> </w:t>
      </w:r>
      <w:r w:rsidR="0059427F" w:rsidRPr="00287965">
        <w:rPr>
          <w:szCs w:val="22"/>
        </w:rPr>
        <w:t xml:space="preserve">a </w:t>
      </w:r>
      <w:hyperlink w:anchor="_Příloha_č._4_1" w:history="1">
        <w:r w:rsidR="0059427F" w:rsidRPr="00287965">
          <w:rPr>
            <w:rStyle w:val="Hypertextovodkaz"/>
            <w:szCs w:val="22"/>
          </w:rPr>
          <w:t>Přílohy 3D</w:t>
        </w:r>
      </w:hyperlink>
      <w:r w:rsidR="0059427F">
        <w:rPr>
          <w:b/>
          <w:szCs w:val="22"/>
        </w:rPr>
        <w:t xml:space="preserve"> </w:t>
      </w:r>
      <w:r w:rsidRPr="00D14C39">
        <w:rPr>
          <w:szCs w:val="22"/>
        </w:rPr>
        <w:t>této ZD;</w:t>
      </w:r>
    </w:p>
    <w:p w14:paraId="09BF8B71" w14:textId="352A00D9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</w:t>
      </w:r>
      <w:r w:rsidR="00B94AC2">
        <w:rPr>
          <w:b/>
        </w:rPr>
        <w:t xml:space="preserve">rámcové </w:t>
      </w:r>
      <w:r w:rsidR="0054716C">
        <w:rPr>
          <w:b/>
        </w:rPr>
        <w:t>smlouvy</w:t>
      </w:r>
      <w:r w:rsidR="00B94AC2">
        <w:rPr>
          <w:b/>
        </w:rPr>
        <w:t xml:space="preserve"> (dále též „smlouva“)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F27738" w:rsidRPr="00C97EFB">
          <w:rPr>
            <w:rStyle w:val="Hypertextovodkaz"/>
          </w:rPr>
          <w:t xml:space="preserve">Příloha č. </w:t>
        </w:r>
        <w:r w:rsidR="006334B6" w:rsidRPr="00C97EF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 xml:space="preserve">s přílohami tvořícími její nedílnou součást, podepsaný osobou </w:t>
      </w:r>
      <w:r w:rsidR="00F27738">
        <w:lastRenderedPageBreak/>
        <w:t>oprávněn</w:t>
      </w:r>
      <w:r w:rsidR="00040353">
        <w:t xml:space="preserve">ou jednat jménem či za </w:t>
      </w:r>
      <w:r w:rsidR="002F34FB">
        <w:t>účastníka</w:t>
      </w:r>
      <w:r w:rsidR="00040353">
        <w:t xml:space="preserve">. Do návrhu smlouvy doplní </w:t>
      </w:r>
      <w:r w:rsidR="002F34FB">
        <w:t>účastník</w:t>
      </w:r>
      <w:r w:rsidR="00040353">
        <w:t xml:space="preserve"> všechny zadavatelem požadované údaje </w:t>
      </w:r>
      <w:r w:rsidR="00040353" w:rsidRPr="00520B97">
        <w:rPr>
          <w:highlight w:val="yellow"/>
        </w:rPr>
        <w:t>vyznačené žlutě</w:t>
      </w:r>
      <w:r w:rsidR="00040353">
        <w:t>. Podmínky smlo</w:t>
      </w:r>
      <w:r w:rsidR="006A3778">
        <w:t xml:space="preserve">uvy jsou pro </w:t>
      </w:r>
      <w:r w:rsidR="002F34FB">
        <w:t>účastníka</w:t>
      </w:r>
      <w:r w:rsidR="006A3778">
        <w:t xml:space="preserve"> závazné a </w:t>
      </w:r>
      <w:r w:rsidR="002F34FB">
        <w:t>účastník</w:t>
      </w:r>
      <w:r w:rsidR="00040353">
        <w:t xml:space="preserve"> není oprávněn je měnit</w:t>
      </w:r>
      <w:r w:rsidR="005868AB">
        <w:rPr>
          <w:rFonts w:cs="Arial"/>
          <w:noProof/>
          <w:szCs w:val="22"/>
          <w:lang w:val="en-US"/>
        </w:rPr>
        <w:t>.</w:t>
      </w:r>
    </w:p>
    <w:p w14:paraId="21306700" w14:textId="073488B6" w:rsidR="00A8484E" w:rsidRPr="00E14D23" w:rsidRDefault="00A8484E" w:rsidP="00992F26">
      <w:pPr>
        <w:pStyle w:val="Odstavecseseznamem"/>
        <w:numPr>
          <w:ilvl w:val="0"/>
          <w:numId w:val="11"/>
        </w:numPr>
        <w:spacing w:before="120"/>
        <w:ind w:left="1570" w:hanging="357"/>
        <w:contextualSpacing w:val="0"/>
        <w:jc w:val="both"/>
      </w:pPr>
      <w:r w:rsidRPr="00C60B44">
        <w:rPr>
          <w:rFonts w:cs="Arial"/>
          <w:szCs w:val="22"/>
        </w:rPr>
        <w:t xml:space="preserve">V příloze návrhu smlouvy doplní </w:t>
      </w:r>
      <w:r w:rsidR="002F34FB">
        <w:rPr>
          <w:rFonts w:cs="Arial"/>
          <w:szCs w:val="22"/>
        </w:rPr>
        <w:t>účastník</w:t>
      </w:r>
      <w:r w:rsidRPr="00C60B44">
        <w:rPr>
          <w:rFonts w:cs="Arial"/>
          <w:szCs w:val="22"/>
        </w:rPr>
        <w:t xml:space="preserve"> identifi</w:t>
      </w:r>
      <w:r w:rsidR="00421D21">
        <w:rPr>
          <w:rFonts w:cs="Arial"/>
          <w:szCs w:val="22"/>
        </w:rPr>
        <w:t>kační údaje všech případných pod</w:t>
      </w:r>
      <w:r w:rsidRPr="00C60B44">
        <w:rPr>
          <w:rFonts w:cs="Arial"/>
          <w:szCs w:val="22"/>
        </w:rPr>
        <w:t xml:space="preserve">dodavatelů včetně výčtu činností (oblasti plnění), které bude </w:t>
      </w:r>
      <w:r w:rsidR="00B94240">
        <w:rPr>
          <w:rFonts w:cs="Arial"/>
          <w:szCs w:val="22"/>
        </w:rPr>
        <w:t>pod</w:t>
      </w:r>
      <w:r w:rsidRPr="00C60B44">
        <w:rPr>
          <w:rFonts w:cs="Arial"/>
          <w:szCs w:val="22"/>
        </w:rPr>
        <w:t xml:space="preserve">dodavatel vykonávat pro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. Tím není dotčena výlučná odpovědnost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 za poskytování řádného plnění</w:t>
      </w:r>
      <w:r w:rsidR="00160B52">
        <w:t>;</w:t>
      </w:r>
      <w:r w:rsidRPr="00C60B44">
        <w:rPr>
          <w:rFonts w:cs="Arial"/>
          <w:szCs w:val="22"/>
        </w:rPr>
        <w:t xml:space="preserve"> </w:t>
      </w:r>
    </w:p>
    <w:p w14:paraId="58EC3A93" w14:textId="77777777" w:rsidR="00A8484E" w:rsidRPr="00C60B44" w:rsidRDefault="00421D21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>
        <w:t>Úprava či doplnění seznamu pod</w:t>
      </w:r>
      <w:r w:rsidR="00A8484E"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798FEF7E" w14:textId="77777777" w:rsidR="00F27738" w:rsidRPr="006334B6" w:rsidRDefault="00550D46" w:rsidP="00D70D39">
      <w:pPr>
        <w:spacing w:before="120"/>
        <w:ind w:left="851"/>
        <w:jc w:val="both"/>
        <w:rPr>
          <w:szCs w:val="22"/>
        </w:rPr>
      </w:pPr>
      <w:r>
        <w:rPr>
          <w:rFonts w:cs="Arial"/>
          <w:szCs w:val="22"/>
        </w:rPr>
        <w:t>J</w:t>
      </w:r>
      <w:r w:rsidR="00F27738" w:rsidRPr="006334B6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6334B6">
        <w:rPr>
          <w:rFonts w:cs="Arial"/>
          <w:szCs w:val="22"/>
        </w:rPr>
        <w:t xml:space="preserve">učení </w:t>
      </w:r>
      <w:r w:rsidR="002F34FB">
        <w:rPr>
          <w:rFonts w:cs="Arial"/>
          <w:szCs w:val="22"/>
        </w:rPr>
        <w:t>účastníka</w:t>
      </w:r>
      <w:r w:rsidR="00E92E41" w:rsidRPr="006334B6">
        <w:rPr>
          <w:rFonts w:cs="Arial"/>
          <w:szCs w:val="22"/>
        </w:rPr>
        <w:t xml:space="preserve"> z další účasti ve</w:t>
      </w:r>
      <w:r w:rsidR="00F27738" w:rsidRPr="006334B6">
        <w:rPr>
          <w:rFonts w:cs="Arial"/>
          <w:szCs w:val="22"/>
        </w:rPr>
        <w:t xml:space="preserve"> </w:t>
      </w:r>
      <w:r w:rsidR="00E92E41" w:rsidRPr="006334B6">
        <w:rPr>
          <w:rFonts w:cs="Arial"/>
          <w:szCs w:val="22"/>
        </w:rPr>
        <w:t>výběrovém řízení</w:t>
      </w:r>
      <w:r w:rsidR="00F27738" w:rsidRPr="006334B6">
        <w:rPr>
          <w:rFonts w:cs="Arial"/>
          <w:szCs w:val="22"/>
        </w:rPr>
        <w:t>.</w:t>
      </w:r>
    </w:p>
    <w:p w14:paraId="35F0A005" w14:textId="7777777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2F34FB">
        <w:rPr>
          <w:rFonts w:cs="Arial"/>
          <w:szCs w:val="22"/>
        </w:rPr>
        <w:t>účastníka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CD092C">
      <w:pPr>
        <w:pStyle w:val="Odstavecseseznamem"/>
        <w:keepNext/>
        <w:numPr>
          <w:ilvl w:val="1"/>
          <w:numId w:val="27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550DC5DD" w14:textId="77777777" w:rsidR="00B11CFB" w:rsidRPr="00310AC5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</w:t>
      </w:r>
      <w:r w:rsidR="002F34FB">
        <w:t>účastníka</w:t>
      </w:r>
      <w:r w:rsidRPr="00E14D23">
        <w:t xml:space="preserve"> a veškeré její přílohy musí být zpracovány v českém jazyce</w:t>
      </w:r>
      <w:r w:rsidR="000E6D82" w:rsidRPr="00310AC5">
        <w:t>;</w:t>
      </w:r>
    </w:p>
    <w:p w14:paraId="0C6C9C29" w14:textId="77777777" w:rsidR="00B11CFB" w:rsidRPr="00310AC5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0E6D82">
        <w:t xml:space="preserve"> může podat jen jednu nabídku</w:t>
      </w:r>
      <w:r w:rsidR="000E6D82" w:rsidRPr="00310AC5">
        <w:t>;</w:t>
      </w:r>
    </w:p>
    <w:p w14:paraId="3DAF8173" w14:textId="77777777" w:rsidR="00B11CFB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 w:rsidR="000E6D82">
        <w:t>čuje možnost variantních řešení</w:t>
      </w:r>
      <w:r w:rsidR="000E6D82" w:rsidRPr="00310AC5">
        <w:t>;</w:t>
      </w:r>
    </w:p>
    <w:p w14:paraId="1105E73B" w14:textId="1169A6C3" w:rsid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B11CFB" w:rsidRPr="004C1E2E">
        <w:t>, který podal nabídku v</w:t>
      </w:r>
      <w:r w:rsidR="00B11CFB">
        <w:t>e výběrovém</w:t>
      </w:r>
      <w:r w:rsidR="00B11CFB" w:rsidRPr="004C1E2E">
        <w:t xml:space="preserve"> řízení, nesmí být současně </w:t>
      </w:r>
      <w:r w:rsidR="00B94240">
        <w:t>pod</w:t>
      </w:r>
      <w:r w:rsidR="00B11CFB" w:rsidRPr="004C1E2E">
        <w:t xml:space="preserve">dodavatelem jiného </w:t>
      </w:r>
      <w:r>
        <w:t>účastníka</w:t>
      </w:r>
      <w:r w:rsidR="00B11CFB" w:rsidRPr="004C1E2E">
        <w:t xml:space="preserve"> v tomtéž </w:t>
      </w:r>
      <w:r w:rsidR="00B11CFB">
        <w:t>výběrovém</w:t>
      </w:r>
      <w:r w:rsidR="00B11CFB" w:rsidRPr="004C1E2E">
        <w:t xml:space="preserve"> </w:t>
      </w:r>
      <w:r w:rsidR="00B11CFB">
        <w:t>řízení</w:t>
      </w:r>
      <w:r w:rsidR="00B11CFB" w:rsidRPr="00310AC5">
        <w:t>;</w:t>
      </w:r>
    </w:p>
    <w:p w14:paraId="2A847CBB" w14:textId="587FF3C7" w:rsidR="00827711" w:rsidRDefault="00827711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</w:t>
      </w:r>
      <w:r w:rsidR="002F34FB">
        <w:t>účastníka</w:t>
      </w:r>
      <w:r w:rsidRPr="00B11CFB">
        <w:t xml:space="preserve"> bude </w:t>
      </w:r>
      <w:r w:rsidRPr="00FD703A">
        <w:t xml:space="preserve">v elektronické podobě prostřednictvím elektronického tržiště pro subjekty veřejné správy </w:t>
      </w:r>
      <w:proofErr w:type="spellStart"/>
      <w:r w:rsidRPr="00FD703A">
        <w:t>Gemin</w:t>
      </w:r>
      <w:proofErr w:type="spellEnd"/>
      <w:r w:rsidRPr="00FD703A">
        <w:t xml:space="preserve"> a vyplněním příslušných údajů do nabíd</w:t>
      </w:r>
      <w:r w:rsidR="00393FDB" w:rsidRPr="00FD703A">
        <w:t>kového formuláře tohoto tržiště</w:t>
      </w:r>
      <w:r w:rsidR="00550D46" w:rsidRPr="00FD703A">
        <w:t>;</w:t>
      </w:r>
    </w:p>
    <w:p w14:paraId="37B1D18C" w14:textId="77777777" w:rsidR="00827711" w:rsidRP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827711" w:rsidRPr="00827711">
        <w:t xml:space="preserve"> v nabídce výslovně uvede kontaktní adresu pro písemný styk mezi ním a zadavatelem</w:t>
      </w:r>
      <w:r w:rsidR="00550D46" w:rsidRPr="00B11CFB">
        <w:t>;</w:t>
      </w:r>
    </w:p>
    <w:p w14:paraId="3BC0C9DE" w14:textId="77777777" w:rsidR="00C41BE3" w:rsidRDefault="00C41BE3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 w:rsidR="002F34FB">
        <w:t>účastníka</w:t>
      </w:r>
      <w:r w:rsidRPr="00827711">
        <w:t xml:space="preserve"> jednat a musí být podepsána v souladu se způsobem jednání a 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Případně bude nabídka podepsána osobou zmocněnou k tomuto osobou nebo osobami oprávněnými za </w:t>
      </w:r>
      <w:r w:rsidR="002F34FB">
        <w:t>účastníka</w:t>
      </w:r>
      <w:r w:rsidRPr="00827711">
        <w:t xml:space="preserve"> jednat v souladu se způsobem jednání a 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V takovém případě musí být plná moc součástí nabídky </w:t>
      </w:r>
      <w:r w:rsidR="002F34FB">
        <w:t>účastníka</w:t>
      </w:r>
      <w:r w:rsidRPr="00827711">
        <w:t>.</w:t>
      </w:r>
    </w:p>
    <w:p w14:paraId="6E0D139A" w14:textId="77777777" w:rsidR="00552741" w:rsidRPr="00EF5033" w:rsidRDefault="00552741" w:rsidP="00CD092C">
      <w:pPr>
        <w:pStyle w:val="Odstavecseseznamem"/>
        <w:keepNext/>
        <w:numPr>
          <w:ilvl w:val="1"/>
          <w:numId w:val="27"/>
        </w:numPr>
        <w:spacing w:before="240"/>
        <w:ind w:left="425" w:hanging="431"/>
        <w:contextualSpacing w:val="0"/>
        <w:rPr>
          <w:b/>
          <w:szCs w:val="22"/>
        </w:rPr>
      </w:pPr>
      <w:bookmarkStart w:id="44" w:name="_Toc415146490"/>
      <w:bookmarkStart w:id="45" w:name="_Toc432671842"/>
      <w:r w:rsidRPr="00EF5033">
        <w:rPr>
          <w:b/>
          <w:szCs w:val="22"/>
        </w:rPr>
        <w:t>Nabídka nevyhovující požadavkům</w:t>
      </w:r>
      <w:bookmarkEnd w:id="44"/>
      <w:bookmarkEnd w:id="45"/>
    </w:p>
    <w:p w14:paraId="06B5DF81" w14:textId="5C9B69B8" w:rsidR="00DA1829" w:rsidRDefault="007B70F1" w:rsidP="006775C7">
      <w:pPr>
        <w:keepNext/>
        <w:keepLines/>
        <w:spacing w:before="120"/>
        <w:ind w:left="426"/>
        <w:jc w:val="both"/>
        <w:rPr>
          <w:b/>
          <w:kern w:val="0"/>
          <w:sz w:val="24"/>
          <w:szCs w:val="20"/>
          <w:lang w:eastAsia="cs-CZ" w:bidi="ar-SA"/>
        </w:rPr>
      </w:pPr>
      <w:bookmarkStart w:id="46" w:name="_Požadavky_na_Zpracování"/>
      <w:bookmarkStart w:id="47" w:name="_Toc301782368"/>
      <w:bookmarkEnd w:id="29"/>
      <w:bookmarkEnd w:id="46"/>
      <w:r w:rsidRPr="007B70F1">
        <w:rPr>
          <w:rFonts w:cs="Arial"/>
          <w:szCs w:val="22"/>
        </w:rPr>
        <w:t xml:space="preserve">Nabídka, která nevyhoví požadavkům </w:t>
      </w:r>
      <w:r w:rsidR="00F2225F">
        <w:rPr>
          <w:rFonts w:cs="Arial"/>
          <w:szCs w:val="22"/>
        </w:rPr>
        <w:t xml:space="preserve">dle článku </w:t>
      </w:r>
      <w:r w:rsidR="00992F26">
        <w:rPr>
          <w:rFonts w:cs="Arial"/>
          <w:szCs w:val="22"/>
        </w:rPr>
        <w:t>5</w:t>
      </w:r>
      <w:r w:rsidR="00F2225F">
        <w:rPr>
          <w:rFonts w:cs="Arial"/>
          <w:szCs w:val="22"/>
        </w:rPr>
        <w:t>. t</w:t>
      </w:r>
      <w:r>
        <w:rPr>
          <w:rFonts w:cs="Arial"/>
          <w:szCs w:val="22"/>
        </w:rPr>
        <w:t>éto ZD</w:t>
      </w:r>
      <w:r w:rsidRPr="007B70F1">
        <w:rPr>
          <w:rFonts w:cs="Arial"/>
          <w:szCs w:val="22"/>
        </w:rPr>
        <w:t xml:space="preserve">, bude </w:t>
      </w:r>
      <w:r w:rsidR="00992F26">
        <w:rPr>
          <w:rFonts w:cs="Arial"/>
          <w:szCs w:val="22"/>
        </w:rPr>
        <w:t xml:space="preserve">zadavatelem </w:t>
      </w:r>
      <w:r w:rsidRPr="007B70F1">
        <w:rPr>
          <w:rFonts w:cs="Arial"/>
          <w:szCs w:val="22"/>
        </w:rPr>
        <w:t xml:space="preserve">vyřazena. Zadavatel vyloučí </w:t>
      </w:r>
      <w:r w:rsidR="002F34FB">
        <w:rPr>
          <w:rFonts w:cs="Arial"/>
          <w:szCs w:val="22"/>
        </w:rPr>
        <w:t>účastníka</w:t>
      </w:r>
      <w:r w:rsidRPr="007B70F1">
        <w:rPr>
          <w:rFonts w:cs="Arial"/>
          <w:szCs w:val="22"/>
        </w:rPr>
        <w:t>, jehož nabídka byla vyřazena, z účasti v</w:t>
      </w:r>
      <w:r w:rsidR="00E02DE9">
        <w:rPr>
          <w:rFonts w:cs="Arial"/>
          <w:szCs w:val="22"/>
        </w:rPr>
        <w:t>e výběrovém</w:t>
      </w:r>
      <w:r w:rsidRPr="007B70F1">
        <w:rPr>
          <w:rFonts w:cs="Arial"/>
          <w:szCs w:val="22"/>
        </w:rPr>
        <w:t xml:space="preserve"> řízení.</w:t>
      </w:r>
      <w:r w:rsidR="006775C7">
        <w:rPr>
          <w:rFonts w:cs="Arial"/>
          <w:szCs w:val="22"/>
        </w:rPr>
        <w:t xml:space="preserve"> V případě nejasností při hodnocení nabídek může zadavatel požádat </w:t>
      </w:r>
      <w:r w:rsidR="002F34FB">
        <w:rPr>
          <w:rFonts w:cs="Arial"/>
          <w:szCs w:val="22"/>
        </w:rPr>
        <w:t>účastníka</w:t>
      </w:r>
      <w:r w:rsidR="006775C7">
        <w:rPr>
          <w:rFonts w:cs="Arial"/>
          <w:szCs w:val="22"/>
        </w:rPr>
        <w:t xml:space="preserve"> o písemné vysvětlení (doplnění) nabídky.</w:t>
      </w:r>
    </w:p>
    <w:p w14:paraId="0A4C025A" w14:textId="77777777" w:rsidR="0074753F" w:rsidRPr="003E729B" w:rsidRDefault="0074753F" w:rsidP="003E729B">
      <w:pPr>
        <w:rPr>
          <w:kern w:val="22"/>
        </w:rPr>
      </w:pPr>
    </w:p>
    <w:p w14:paraId="2102E9CC" w14:textId="77777777" w:rsidR="009D56E5" w:rsidRPr="007D24C3" w:rsidRDefault="000E4434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714" w:hanging="357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8" w:name="_Toc481571040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Vysvětlení zadávací dokumentace</w:t>
      </w:r>
      <w:r w:rsidR="00D70D39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8"/>
    </w:p>
    <w:p w14:paraId="07D00C4E" w14:textId="7DCEEBAB" w:rsidR="009D56E5" w:rsidRPr="00625521" w:rsidRDefault="0015650F" w:rsidP="00CD092C">
      <w:pPr>
        <w:pStyle w:val="Odstavecseseznamem"/>
        <w:numPr>
          <w:ilvl w:val="1"/>
          <w:numId w:val="28"/>
        </w:numPr>
        <w:spacing w:before="120"/>
        <w:ind w:left="426"/>
        <w:contextualSpacing w:val="0"/>
        <w:jc w:val="both"/>
        <w:rPr>
          <w:color w:val="000000"/>
        </w:rPr>
      </w:pPr>
      <w:r w:rsidRPr="00082FF8">
        <w:rPr>
          <w:szCs w:val="22"/>
        </w:rPr>
        <w:t>Žádost</w:t>
      </w:r>
      <w:r w:rsidR="000E4434"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="000E4434" w:rsidRPr="00F62C18">
        <w:rPr>
          <w:rFonts w:cs="Arial"/>
          <w:szCs w:val="22"/>
        </w:rPr>
        <w:t xml:space="preserve">o </w:t>
      </w:r>
      <w:r w:rsidR="000E4434"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>musí být zadavateli doručena nejpozději 4 pracovní dny před termínem pro podání nabídek, a to</w:t>
      </w:r>
      <w:r w:rsidR="00674150" w:rsidRPr="00082FF8">
        <w:rPr>
          <w:szCs w:val="22"/>
        </w:rPr>
        <w:t xml:space="preserve"> </w:t>
      </w:r>
      <w:r w:rsidRPr="00B94AC2">
        <w:rPr>
          <w:szCs w:val="22"/>
        </w:rPr>
        <w:t xml:space="preserve">výlučně prostřednictvím elektronického tržiště </w:t>
      </w:r>
      <w:proofErr w:type="spellStart"/>
      <w:r w:rsidRPr="00B94AC2">
        <w:rPr>
          <w:szCs w:val="22"/>
        </w:rPr>
        <w:t>Gemin</w:t>
      </w:r>
      <w:proofErr w:type="spellEnd"/>
      <w:r w:rsidRPr="00B94AC2">
        <w:rPr>
          <w:szCs w:val="22"/>
        </w:rPr>
        <w:t xml:space="preserve"> </w:t>
      </w:r>
      <w:hyperlink r:id="rId12" w:history="1">
        <w:r w:rsidRPr="00B94AC2">
          <w:rPr>
            <w:szCs w:val="22"/>
          </w:rPr>
          <w:t>https://www.gemin.cz</w:t>
        </w:r>
      </w:hyperlink>
      <w:r w:rsidRPr="00B94AC2">
        <w:rPr>
          <w:szCs w:val="22"/>
        </w:rPr>
        <w:t xml:space="preserve">. </w:t>
      </w:r>
      <w:r w:rsidR="00513FA8" w:rsidRPr="00E27073">
        <w:rPr>
          <w:szCs w:val="22"/>
        </w:rPr>
        <w:t xml:space="preserve">Vysvětlení zadávací dokumentace zadavatel poskytne všem dodavatelům </w:t>
      </w:r>
      <w:r w:rsidR="00513FA8" w:rsidRPr="00B94AC2">
        <w:rPr>
          <w:szCs w:val="22"/>
        </w:rPr>
        <w:t xml:space="preserve">rovněž prostřednictvím e-tržiště </w:t>
      </w:r>
      <w:proofErr w:type="spellStart"/>
      <w:r w:rsidR="00513FA8" w:rsidRPr="00B94AC2">
        <w:rPr>
          <w:szCs w:val="22"/>
        </w:rPr>
        <w:t>Gemin</w:t>
      </w:r>
      <w:proofErr w:type="spellEnd"/>
      <w:r w:rsidR="00B94AC2">
        <w:rPr>
          <w:szCs w:val="22"/>
        </w:rPr>
        <w:t>.</w:t>
      </w:r>
    </w:p>
    <w:p w14:paraId="2BD6073F" w14:textId="60DAD9CE" w:rsidR="00625521" w:rsidRPr="00B94AC2" w:rsidRDefault="00625521" w:rsidP="00CD092C">
      <w:pPr>
        <w:pStyle w:val="Odstavecseseznamem"/>
        <w:numPr>
          <w:ilvl w:val="1"/>
          <w:numId w:val="37"/>
        </w:numPr>
        <w:spacing w:before="120"/>
        <w:ind w:left="426" w:hanging="426"/>
        <w:contextualSpacing w:val="0"/>
        <w:jc w:val="both"/>
        <w:rPr>
          <w:szCs w:val="22"/>
        </w:rPr>
      </w:pPr>
      <w:r w:rsidRPr="00B94AC2">
        <w:rPr>
          <w:szCs w:val="22"/>
        </w:rPr>
        <w:t xml:space="preserve">Na případné požadavky zadavatele vůči účastníkům v průběhu hodnocení nabídek odpovídají účastníci výhradně prostřednictvím elektronického tržiště </w:t>
      </w:r>
      <w:proofErr w:type="spellStart"/>
      <w:r w:rsidRPr="00B94AC2">
        <w:rPr>
          <w:szCs w:val="22"/>
        </w:rPr>
        <w:t>Gemin</w:t>
      </w:r>
      <w:proofErr w:type="spellEnd"/>
      <w:r w:rsidRPr="00B94AC2">
        <w:rPr>
          <w:szCs w:val="22"/>
        </w:rPr>
        <w:t xml:space="preserve"> </w:t>
      </w:r>
      <w:hyperlink r:id="rId13" w:history="1">
        <w:r w:rsidRPr="00B94AC2">
          <w:rPr>
            <w:szCs w:val="22"/>
          </w:rPr>
          <w:t>https://www.gemin.cz</w:t>
        </w:r>
      </w:hyperlink>
      <w:r w:rsidR="00B94AC2">
        <w:rPr>
          <w:szCs w:val="22"/>
        </w:rPr>
        <w:t>,</w:t>
      </w:r>
      <w:r w:rsidRPr="00B94AC2">
        <w:rPr>
          <w:szCs w:val="22"/>
        </w:rPr>
        <w:t xml:space="preserve"> a to </w:t>
      </w:r>
      <w:r w:rsidRPr="00B94AC2">
        <w:rPr>
          <w:szCs w:val="22"/>
        </w:rPr>
        <w:lastRenderedPageBreak/>
        <w:t>ve složce „Ad-hoc procesy – Interní komunikace“. Odpovědi umístěné do jiných složek budou hodnoceny jako</w:t>
      </w:r>
      <w:r w:rsidR="00B94AC2" w:rsidRPr="00B94AC2">
        <w:rPr>
          <w:szCs w:val="22"/>
        </w:rPr>
        <w:t xml:space="preserve"> nesplnění požadavku zadavatele.</w:t>
      </w:r>
    </w:p>
    <w:p w14:paraId="1CDCB1D4" w14:textId="77777777" w:rsidR="00B43D03" w:rsidRPr="008D26A3" w:rsidRDefault="00B43D03" w:rsidP="00B43D03">
      <w:pPr>
        <w:pStyle w:val="Odstavecseseznamem"/>
        <w:spacing w:before="120"/>
        <w:ind w:left="426"/>
        <w:contextualSpacing w:val="0"/>
        <w:jc w:val="both"/>
        <w:rPr>
          <w:szCs w:val="22"/>
          <w:highlight w:val="magenta"/>
        </w:rPr>
      </w:pPr>
    </w:p>
    <w:p w14:paraId="14D3E5C6" w14:textId="556BBED9" w:rsidR="004A7B01" w:rsidRPr="007D24C3" w:rsidRDefault="004A7B01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9" w:name="_Toc481571041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Hodnotící kritéria pro zadání veřejné zakázky</w:t>
      </w:r>
      <w:bookmarkEnd w:id="49"/>
    </w:p>
    <w:p w14:paraId="20229667" w14:textId="71616300" w:rsidR="004A7B01" w:rsidRPr="001A645D" w:rsidRDefault="00D51AB9" w:rsidP="00CD092C">
      <w:pPr>
        <w:pStyle w:val="Odstavecseseznamem"/>
        <w:numPr>
          <w:ilvl w:val="1"/>
          <w:numId w:val="40"/>
        </w:numPr>
        <w:spacing w:before="120"/>
        <w:ind w:left="426" w:hanging="426"/>
        <w:contextualSpacing w:val="0"/>
        <w:jc w:val="both"/>
        <w:rPr>
          <w:szCs w:val="22"/>
        </w:rPr>
      </w:pPr>
      <w:r w:rsidRPr="001A645D">
        <w:rPr>
          <w:szCs w:val="22"/>
        </w:rPr>
        <w:t>H</w:t>
      </w:r>
      <w:r w:rsidR="004A7B01" w:rsidRPr="001A645D">
        <w:rPr>
          <w:szCs w:val="22"/>
        </w:rPr>
        <w:t xml:space="preserve">odnotícím kritériem pro zadání veřejné zakázky je </w:t>
      </w:r>
      <w:r w:rsidR="00674150" w:rsidRPr="001A645D">
        <w:rPr>
          <w:szCs w:val="22"/>
        </w:rPr>
        <w:t>ekonomická výhodnost nabídek, která bude hodnocena na základě</w:t>
      </w:r>
      <w:r w:rsidR="00B94AC2">
        <w:rPr>
          <w:szCs w:val="22"/>
        </w:rPr>
        <w:t>:</w:t>
      </w:r>
    </w:p>
    <w:p w14:paraId="653C5DDA" w14:textId="77777777" w:rsidR="00674150" w:rsidRPr="00674150" w:rsidRDefault="00674150" w:rsidP="00CD092C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 w:rsidRPr="00674150">
        <w:rPr>
          <w:lang w:eastAsia="cs-CZ" w:bidi="ar-SA"/>
        </w:rPr>
        <w:t>nejnižší nabídkové ceny</w:t>
      </w:r>
    </w:p>
    <w:p w14:paraId="2E0CEDCD" w14:textId="24466BB9" w:rsidR="004A7B01" w:rsidRDefault="004A7B01" w:rsidP="00CD092C">
      <w:pPr>
        <w:pStyle w:val="Odstavecseseznamem"/>
        <w:numPr>
          <w:ilvl w:val="1"/>
          <w:numId w:val="35"/>
        </w:numPr>
        <w:spacing w:before="120"/>
        <w:ind w:left="426" w:hanging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Jako nejvhodnější bude hodnocena nabídka </w:t>
      </w:r>
      <w:r w:rsidR="002F34FB">
        <w:rPr>
          <w:szCs w:val="22"/>
        </w:rPr>
        <w:t>účastníka</w:t>
      </w:r>
      <w:r w:rsidRPr="00082FF8">
        <w:rPr>
          <w:szCs w:val="22"/>
        </w:rPr>
        <w:t xml:space="preserve"> s</w:t>
      </w:r>
      <w:r w:rsidR="00B94AC2">
        <w:rPr>
          <w:szCs w:val="22"/>
        </w:rPr>
        <w:t> nejnižší nabídkovou cenou</w:t>
      </w:r>
      <w:r w:rsidRPr="00082FF8">
        <w:rPr>
          <w:szCs w:val="22"/>
        </w:rPr>
        <w:t>. </w:t>
      </w:r>
      <w:r w:rsidR="00E81C96" w:rsidRPr="00082FF8">
        <w:rPr>
          <w:szCs w:val="22"/>
        </w:rPr>
        <w:t xml:space="preserve">Nabízené hodnoty </w:t>
      </w:r>
      <w:r w:rsidR="002F34FB">
        <w:rPr>
          <w:szCs w:val="22"/>
        </w:rPr>
        <w:t>účastníci</w:t>
      </w:r>
      <w:r w:rsidR="00E81C96" w:rsidRPr="00082FF8">
        <w:rPr>
          <w:szCs w:val="22"/>
        </w:rPr>
        <w:t xml:space="preserve"> doplní do krycího listu, který je </w:t>
      </w:r>
      <w:hyperlink w:anchor="_Příloha_č._2_2" w:history="1">
        <w:r w:rsidR="00E81C96" w:rsidRPr="00080672">
          <w:rPr>
            <w:rStyle w:val="Hypertextovodkaz"/>
          </w:rPr>
          <w:t>Přílohou č. 2</w:t>
        </w:r>
      </w:hyperlink>
      <w:r w:rsidR="00E81C96" w:rsidRPr="00082FF8">
        <w:rPr>
          <w:szCs w:val="22"/>
        </w:rPr>
        <w:t xml:space="preserve"> </w:t>
      </w:r>
      <w:proofErr w:type="gramStart"/>
      <w:r w:rsidR="00E81C96" w:rsidRPr="00082FF8">
        <w:rPr>
          <w:szCs w:val="22"/>
        </w:rPr>
        <w:t>této</w:t>
      </w:r>
      <w:proofErr w:type="gramEnd"/>
      <w:r w:rsidR="00E81C96" w:rsidRPr="00082FF8">
        <w:rPr>
          <w:szCs w:val="22"/>
        </w:rPr>
        <w:t xml:space="preserve"> dokumentace.</w:t>
      </w:r>
      <w:r w:rsidR="00241D69">
        <w:rPr>
          <w:szCs w:val="22"/>
        </w:rPr>
        <w:t xml:space="preserve"> Nabídkovou cenu účastník uvede zaokrouhlenou na 2 (dvě) desetinné místa.</w:t>
      </w:r>
    </w:p>
    <w:p w14:paraId="410BAEC2" w14:textId="77777777" w:rsidR="009332ED" w:rsidRPr="009332ED" w:rsidRDefault="009332ED" w:rsidP="009332ED">
      <w:pPr>
        <w:spacing w:before="120"/>
        <w:jc w:val="both"/>
        <w:rPr>
          <w:szCs w:val="22"/>
        </w:rPr>
      </w:pPr>
    </w:p>
    <w:p w14:paraId="783C27C8" w14:textId="77777777" w:rsidR="002E7E98" w:rsidRPr="007D24C3" w:rsidRDefault="0015650F" w:rsidP="00B43D03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0" w:name="_Toc301782375"/>
      <w:bookmarkStart w:id="51" w:name="_Toc481571042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0"/>
      <w:bookmarkEnd w:id="51"/>
    </w:p>
    <w:p w14:paraId="36CF25A8" w14:textId="4E095B55" w:rsidR="00005115" w:rsidRDefault="00ED4821" w:rsidP="00CD092C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stanovena do </w:t>
      </w:r>
      <w:r w:rsidR="00FA5DD5" w:rsidRPr="00FA5DD5">
        <w:rPr>
          <w:b/>
          <w:szCs w:val="22"/>
        </w:rPr>
        <w:t>27</w:t>
      </w:r>
      <w:r w:rsidR="007B613E" w:rsidRPr="00FA5DD5">
        <w:rPr>
          <w:b/>
          <w:szCs w:val="22"/>
        </w:rPr>
        <w:t>.</w:t>
      </w:r>
      <w:r w:rsidR="00794D10" w:rsidRPr="00FA5DD5">
        <w:rPr>
          <w:b/>
          <w:szCs w:val="22"/>
        </w:rPr>
        <w:t> </w:t>
      </w:r>
      <w:r w:rsidR="00FA5DD5" w:rsidRPr="00FA5DD5">
        <w:rPr>
          <w:b/>
          <w:szCs w:val="22"/>
        </w:rPr>
        <w:t>06</w:t>
      </w:r>
      <w:r w:rsidR="009A24FF" w:rsidRPr="00FA5DD5">
        <w:rPr>
          <w:b/>
          <w:szCs w:val="22"/>
        </w:rPr>
        <w:t>.</w:t>
      </w:r>
      <w:r w:rsidR="00794D10" w:rsidRPr="00FA5DD5">
        <w:rPr>
          <w:b/>
          <w:szCs w:val="22"/>
        </w:rPr>
        <w:t xml:space="preserve"> </w:t>
      </w:r>
      <w:r w:rsidR="00DF14A1" w:rsidRPr="00FA5DD5">
        <w:rPr>
          <w:b/>
          <w:szCs w:val="22"/>
        </w:rPr>
        <w:t>2017</w:t>
      </w:r>
      <w:r w:rsidRPr="00FA5DD5">
        <w:rPr>
          <w:b/>
          <w:szCs w:val="22"/>
        </w:rPr>
        <w:t xml:space="preserve"> do </w:t>
      </w:r>
      <w:r w:rsidR="00FA5DD5" w:rsidRPr="00FA5DD5">
        <w:rPr>
          <w:b/>
          <w:szCs w:val="22"/>
        </w:rPr>
        <w:t>11:00</w:t>
      </w:r>
      <w:r w:rsidRPr="00080672">
        <w:rPr>
          <w:szCs w:val="22"/>
        </w:rPr>
        <w:t xml:space="preserve"> hodin</w:t>
      </w:r>
      <w:r w:rsidR="00080672">
        <w:rPr>
          <w:szCs w:val="22"/>
        </w:rPr>
        <w:t>.</w:t>
      </w:r>
    </w:p>
    <w:p w14:paraId="43E47D91" w14:textId="1A4062F9" w:rsidR="00827711" w:rsidRPr="00080672" w:rsidRDefault="00827711" w:rsidP="00CD092C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Otevírání nabídek se uskuteční </w:t>
      </w:r>
      <w:r w:rsidR="00FA5DD5">
        <w:rPr>
          <w:szCs w:val="22"/>
        </w:rPr>
        <w:t>27</w:t>
      </w:r>
      <w:r w:rsidRPr="00FA5DD5">
        <w:rPr>
          <w:szCs w:val="22"/>
        </w:rPr>
        <w:t>.</w:t>
      </w:r>
      <w:r w:rsidR="00794D10" w:rsidRPr="00FA5DD5">
        <w:rPr>
          <w:szCs w:val="22"/>
        </w:rPr>
        <w:t xml:space="preserve"> </w:t>
      </w:r>
      <w:r w:rsidR="00FA5DD5">
        <w:rPr>
          <w:szCs w:val="22"/>
        </w:rPr>
        <w:t>06</w:t>
      </w:r>
      <w:r w:rsidR="009A24FF" w:rsidRPr="00080672">
        <w:rPr>
          <w:szCs w:val="22"/>
        </w:rPr>
        <w:t>.</w:t>
      </w:r>
      <w:r w:rsidR="00794D10" w:rsidRPr="00080672">
        <w:rPr>
          <w:szCs w:val="22"/>
        </w:rPr>
        <w:t xml:space="preserve"> </w:t>
      </w:r>
      <w:r w:rsidR="00DF14A1">
        <w:rPr>
          <w:szCs w:val="22"/>
        </w:rPr>
        <w:t>2017</w:t>
      </w:r>
      <w:r w:rsidRPr="00080672">
        <w:rPr>
          <w:szCs w:val="22"/>
        </w:rPr>
        <w:t xml:space="preserve"> v</w:t>
      </w:r>
      <w:r w:rsidR="00FA5DD5">
        <w:rPr>
          <w:szCs w:val="22"/>
        </w:rPr>
        <w:t> 11:05</w:t>
      </w:r>
      <w:r w:rsidRPr="00080672">
        <w:rPr>
          <w:szCs w:val="22"/>
        </w:rPr>
        <w:t xml:space="preserve"> hodin na adrese: Správa státních hmotných rezerv, Šeříková 616/1, 150 85 Praha 5 - Malá Strana a bude neveřejné.</w:t>
      </w:r>
    </w:p>
    <w:p w14:paraId="2FB1EDDB" w14:textId="77777777" w:rsidR="00005115" w:rsidRDefault="00005115" w:rsidP="00005115">
      <w:pPr>
        <w:spacing w:before="120"/>
        <w:jc w:val="both"/>
      </w:pPr>
    </w:p>
    <w:p w14:paraId="57FEBDA7" w14:textId="77777777" w:rsidR="004671E8" w:rsidRPr="007D24C3" w:rsidRDefault="00B7231D" w:rsidP="00FD703A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2" w:name="_Toc48157104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2"/>
    </w:p>
    <w:p w14:paraId="62BE9A5D" w14:textId="5F6E932E" w:rsidR="00B82434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3" w:name="_požadavky_na_prokázání"/>
      <w:bookmarkEnd w:id="53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2F34FB">
        <w:rPr>
          <w:rFonts w:cs="Arial"/>
          <w:szCs w:val="22"/>
        </w:rPr>
        <w:t>účastníci</w:t>
      </w:r>
      <w:r w:rsidR="004671E8" w:rsidRPr="00FC3CB8">
        <w:rPr>
          <w:rFonts w:cs="Arial"/>
          <w:szCs w:val="22"/>
        </w:rPr>
        <w:t xml:space="preserve"> 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B94AC2">
        <w:rPr>
          <w:rFonts w:cs="Arial"/>
          <w:szCs w:val="22"/>
        </w:rPr>
        <w:br/>
      </w:r>
      <w:r w:rsidR="00247BC2" w:rsidRPr="00BE636F">
        <w:rPr>
          <w:rFonts w:cs="Arial"/>
          <w:b/>
          <w:szCs w:val="22"/>
        </w:rPr>
        <w:t>90</w:t>
      </w:r>
      <w:r w:rsidR="004671E8" w:rsidRPr="00BE636F">
        <w:rPr>
          <w:rFonts w:cs="Arial"/>
          <w:szCs w:val="22"/>
        </w:rPr>
        <w:t xml:space="preserve"> </w:t>
      </w:r>
      <w:r w:rsidR="002008E1" w:rsidRPr="00BE636F">
        <w:rPr>
          <w:rFonts w:cs="Arial"/>
          <w:b/>
          <w:szCs w:val="22"/>
        </w:rPr>
        <w:t>kalendářních dnů</w:t>
      </w:r>
      <w:r w:rsidR="002008E1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>od skončení lhůty pro podání nabídek.</w:t>
      </w:r>
      <w:bookmarkStart w:id="54" w:name="_požadavky_na_prokázání_1"/>
      <w:bookmarkEnd w:id="47"/>
      <w:bookmarkEnd w:id="54"/>
    </w:p>
    <w:p w14:paraId="4534D4CD" w14:textId="77777777" w:rsidR="00005115" w:rsidRPr="00FC3CB8" w:rsidRDefault="00005115" w:rsidP="009332ED">
      <w:pPr>
        <w:suppressAutoHyphens w:val="0"/>
        <w:spacing w:before="120"/>
        <w:jc w:val="both"/>
        <w:rPr>
          <w:b/>
          <w:caps/>
          <w:sz w:val="24"/>
          <w:szCs w:val="20"/>
        </w:rPr>
      </w:pPr>
    </w:p>
    <w:p w14:paraId="16D48F59" w14:textId="77777777" w:rsidR="00F94F70" w:rsidRPr="007D24C3" w:rsidRDefault="00F94F70" w:rsidP="00FD703A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5" w:name="_Závazná_struktura_nabídky"/>
      <w:bookmarkStart w:id="56" w:name="_Toc481571044"/>
      <w:bookmarkEnd w:id="55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6"/>
    </w:p>
    <w:p w14:paraId="738BF8C2" w14:textId="77777777" w:rsidR="00F27738" w:rsidRPr="00080672" w:rsidRDefault="00710FF9" w:rsidP="00CD092C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obchodní a platební podmínky jsou obsaženy v závazném návrhu smlouvy uvedené </w:t>
      </w:r>
      <w:r w:rsidR="00E964EE" w:rsidRPr="00080672">
        <w:rPr>
          <w:szCs w:val="22"/>
        </w:rPr>
        <w:t xml:space="preserve">   </w:t>
      </w:r>
      <w:r w:rsidRPr="00080672">
        <w:rPr>
          <w:szCs w:val="22"/>
        </w:rPr>
        <w:t>v </w:t>
      </w:r>
      <w:hyperlink w:anchor="_Příloha_č._1" w:history="1">
        <w:r w:rsidRPr="00080672">
          <w:rPr>
            <w:rStyle w:val="Hypertextovodkaz"/>
          </w:rPr>
          <w:t xml:space="preserve">Příloze č. </w:t>
        </w:r>
        <w:r w:rsidR="009F227D" w:rsidRPr="00080672">
          <w:rPr>
            <w:rStyle w:val="Hypertextovodkaz"/>
          </w:rPr>
          <w:t>1</w:t>
        </w:r>
      </w:hyperlink>
      <w:r w:rsidRPr="00080672">
        <w:rPr>
          <w:szCs w:val="22"/>
        </w:rPr>
        <w:t>, která je nedílnou součástí této ZD.</w:t>
      </w:r>
    </w:p>
    <w:p w14:paraId="5BD329DA" w14:textId="77777777" w:rsidR="0059500A" w:rsidRPr="00080672" w:rsidRDefault="002F34FB" w:rsidP="00CD092C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Účastníci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2A98BC41" w:rsidR="0059500A" w:rsidRPr="00080672" w:rsidRDefault="0059500A" w:rsidP="00CD092C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2F34FB">
        <w:rPr>
          <w:szCs w:val="22"/>
        </w:rPr>
        <w:t>účastníka</w:t>
      </w:r>
      <w:r w:rsidRPr="00080672">
        <w:rPr>
          <w:szCs w:val="22"/>
        </w:rPr>
        <w:t xml:space="preserve"> uvedených v nabídce, je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77777777" w:rsidR="0059500A" w:rsidRPr="00080672" w:rsidRDefault="0059500A" w:rsidP="00CD092C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dozví při plnění předmětu zakázky, jsou obchodním tajemstvím.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77777777" w:rsidR="0059500A" w:rsidRPr="00080672" w:rsidRDefault="002F34FB" w:rsidP="00CD092C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Účastník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27A4A07D" w:rsidR="0059500A" w:rsidRDefault="0059500A" w:rsidP="00CD092C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2F34FB">
        <w:rPr>
          <w:szCs w:val="22"/>
        </w:rPr>
        <w:t>účastníke</w:t>
      </w:r>
      <w:r w:rsidRPr="00080672">
        <w:rPr>
          <w:szCs w:val="22"/>
        </w:rPr>
        <w:t>m, jakož i veškerá komunikace v rámci plnění veřejné zakázky, bude probíhat v českém jazyce.</w:t>
      </w:r>
    </w:p>
    <w:p w14:paraId="1E7B0A27" w14:textId="77777777" w:rsidR="00BE636F" w:rsidRDefault="00BE636F" w:rsidP="00CD092C">
      <w:pPr>
        <w:pStyle w:val="Odstavecseseznamem"/>
        <w:numPr>
          <w:ilvl w:val="1"/>
          <w:numId w:val="30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714149E4" w14:textId="428B323D" w:rsidR="00BE636F" w:rsidRDefault="00B94AC2" w:rsidP="00BE636F">
      <w:pPr>
        <w:spacing w:before="120"/>
        <w:ind w:left="568"/>
        <w:jc w:val="both"/>
        <w:rPr>
          <w:szCs w:val="22"/>
        </w:rPr>
      </w:pPr>
      <w:r>
        <w:rPr>
          <w:szCs w:val="22"/>
        </w:rPr>
        <w:t>Ing. Jana Havelková</w:t>
      </w:r>
      <w:r w:rsidR="00BE636F">
        <w:rPr>
          <w:szCs w:val="22"/>
        </w:rPr>
        <w:t>, specialista veřejných zakázek</w:t>
      </w:r>
    </w:p>
    <w:p w14:paraId="70BC93DB" w14:textId="351780A6" w:rsidR="00BE636F" w:rsidRPr="0057674D" w:rsidRDefault="00BE636F" w:rsidP="00BE636F">
      <w:pPr>
        <w:spacing w:before="120"/>
        <w:ind w:left="567"/>
        <w:rPr>
          <w:szCs w:val="22"/>
        </w:rPr>
      </w:pPr>
      <w:r w:rsidRPr="0057674D">
        <w:rPr>
          <w:szCs w:val="22"/>
        </w:rPr>
        <w:t xml:space="preserve">tel.: 222 806 </w:t>
      </w:r>
      <w:r w:rsidR="00B94AC2">
        <w:rPr>
          <w:szCs w:val="22"/>
        </w:rPr>
        <w:t>146</w:t>
      </w:r>
      <w:r w:rsidRPr="0057674D">
        <w:rPr>
          <w:szCs w:val="22"/>
        </w:rPr>
        <w:t xml:space="preserve">, </w:t>
      </w:r>
      <w:r>
        <w:rPr>
          <w:szCs w:val="22"/>
        </w:rPr>
        <w:t xml:space="preserve">email: </w:t>
      </w:r>
      <w:r w:rsidR="00B94AC2">
        <w:rPr>
          <w:color w:val="0000CC"/>
          <w:szCs w:val="22"/>
          <w:u w:val="single"/>
        </w:rPr>
        <w:t>jhavelkova</w:t>
      </w:r>
      <w:r w:rsidRPr="0057674D">
        <w:rPr>
          <w:color w:val="0000CC"/>
          <w:szCs w:val="22"/>
          <w:u w:val="single"/>
        </w:rPr>
        <w:t>@sshr.cz</w:t>
      </w:r>
    </w:p>
    <w:p w14:paraId="07116020" w14:textId="7AE9FB5B" w:rsidR="005C3913" w:rsidRDefault="005C3913" w:rsidP="005C3913">
      <w:pPr>
        <w:suppressAutoHyphens w:val="0"/>
        <w:spacing w:before="120"/>
        <w:jc w:val="both"/>
      </w:pPr>
    </w:p>
    <w:p w14:paraId="7D5CD182" w14:textId="77777777" w:rsidR="007659FC" w:rsidRPr="00FC3CB8" w:rsidRDefault="007659FC" w:rsidP="005C3913">
      <w:pPr>
        <w:suppressAutoHyphens w:val="0"/>
        <w:spacing w:before="120"/>
        <w:jc w:val="both"/>
      </w:pPr>
    </w:p>
    <w:p w14:paraId="40A1518A" w14:textId="77777777" w:rsidR="009E189B" w:rsidRPr="007D24C3" w:rsidRDefault="009E189B" w:rsidP="00FD703A">
      <w:pPr>
        <w:pStyle w:val="Nadpis1"/>
        <w:keepLines w:val="0"/>
        <w:numPr>
          <w:ilvl w:val="0"/>
          <w:numId w:val="9"/>
        </w:numPr>
        <w:suppressAutoHyphens w:val="0"/>
        <w:spacing w:before="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7" w:name="_Toc301782378"/>
      <w:bookmarkStart w:id="58" w:name="_Toc481571045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7"/>
      <w:bookmarkEnd w:id="58"/>
    </w:p>
    <w:p w14:paraId="07C1F187" w14:textId="77777777" w:rsidR="00835509" w:rsidRPr="00E964EE" w:rsidRDefault="00F23167" w:rsidP="00CD092C">
      <w:pPr>
        <w:pStyle w:val="Odstavecseseznamem"/>
        <w:numPr>
          <w:ilvl w:val="1"/>
          <w:numId w:val="31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2F34FB">
        <w:rPr>
          <w:szCs w:val="22"/>
        </w:rPr>
        <w:t>účastníků</w:t>
      </w:r>
      <w:r w:rsidRPr="00080672">
        <w:rPr>
          <w:szCs w:val="22"/>
        </w:rPr>
        <w:t>.</w:t>
      </w:r>
    </w:p>
    <w:p w14:paraId="365B8C14" w14:textId="77777777" w:rsidR="00835509" w:rsidRPr="00080672" w:rsidRDefault="00590B44" w:rsidP="00CD092C">
      <w:pPr>
        <w:pStyle w:val="Odstavecseseznamem"/>
        <w:numPr>
          <w:ilvl w:val="1"/>
          <w:numId w:val="31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2F34FB">
        <w:rPr>
          <w:szCs w:val="22"/>
        </w:rPr>
        <w:t>účastníka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2F34FB">
        <w:rPr>
          <w:szCs w:val="22"/>
        </w:rPr>
        <w:t>účastník</w:t>
      </w:r>
      <w:r w:rsidR="009E189B" w:rsidRPr="00080672">
        <w:rPr>
          <w:szCs w:val="22"/>
        </w:rPr>
        <w:t xml:space="preserve"> je povinen mu v tomto ohledu poskytnout veškerou potřebnou součinnost.</w:t>
      </w:r>
    </w:p>
    <w:p w14:paraId="01DE2324" w14:textId="7CEFAABA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59" w:name="_Přílohy"/>
      <w:bookmarkStart w:id="60" w:name="_Toc301782379"/>
      <w:bookmarkStart w:id="61" w:name="_Toc481571046"/>
      <w:bookmarkEnd w:id="59"/>
      <w:r w:rsidRPr="005024D8">
        <w:rPr>
          <w:rFonts w:cs="Arial"/>
          <w:caps w:val="0"/>
          <w:kern w:val="24"/>
          <w:szCs w:val="24"/>
        </w:rPr>
        <w:t>Přílohy</w:t>
      </w:r>
      <w:bookmarkEnd w:id="60"/>
      <w:bookmarkEnd w:id="61"/>
    </w:p>
    <w:p w14:paraId="41F6CA29" w14:textId="3014AFEE" w:rsidR="003D6E98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E5011C">
        <w:fldChar w:fldCharType="begin"/>
      </w:r>
      <w:r w:rsidR="000D4C4A" w:rsidRPr="00E5011C">
        <w:instrText xml:space="preserve"> HYPERLINK  \l "_Příloha_č._1" </w:instrText>
      </w:r>
      <w:r w:rsidRPr="00E5011C">
        <w:fldChar w:fldCharType="separate"/>
      </w:r>
      <w:r w:rsidR="003D6E98" w:rsidRPr="00E5011C">
        <w:rPr>
          <w:rStyle w:val="Hypertextovodkaz"/>
          <w:color w:val="auto"/>
          <w:u w:val="none"/>
        </w:rPr>
        <w:t xml:space="preserve">Příloha č. </w:t>
      </w:r>
      <w:r w:rsidR="009F227D" w:rsidRPr="00E5011C">
        <w:rPr>
          <w:rStyle w:val="Hypertextovodkaz"/>
          <w:color w:val="auto"/>
          <w:u w:val="none"/>
        </w:rPr>
        <w:t>1</w:t>
      </w:r>
      <w:r w:rsidR="003D6E98" w:rsidRPr="00E5011C">
        <w:rPr>
          <w:rStyle w:val="Hypertextovodkaz"/>
          <w:color w:val="auto"/>
          <w:u w:val="none"/>
        </w:rPr>
        <w:t xml:space="preserve"> </w:t>
      </w:r>
      <w:r w:rsidR="008D12E5" w:rsidRPr="00E5011C">
        <w:rPr>
          <w:rStyle w:val="Hypertextovodkaz"/>
          <w:color w:val="auto"/>
          <w:u w:val="none"/>
        </w:rPr>
        <w:tab/>
      </w:r>
      <w:r w:rsidR="003D6E98" w:rsidRPr="00E5011C">
        <w:rPr>
          <w:rStyle w:val="Hypertextovodkaz"/>
          <w:color w:val="auto"/>
          <w:u w:val="none"/>
        </w:rPr>
        <w:t xml:space="preserve">– </w:t>
      </w:r>
      <w:r w:rsidR="0054716C">
        <w:rPr>
          <w:rStyle w:val="Hypertextovodkaz"/>
          <w:color w:val="auto"/>
          <w:u w:val="none"/>
        </w:rPr>
        <w:t>Rámcová s</w:t>
      </w:r>
      <w:r w:rsidR="003D6E98" w:rsidRPr="00E5011C">
        <w:rPr>
          <w:rStyle w:val="Hypertextovodkaz"/>
          <w:color w:val="auto"/>
          <w:u w:val="none"/>
        </w:rPr>
        <w:t>mlouv</w:t>
      </w:r>
      <w:r w:rsidR="000D4C4A" w:rsidRPr="00E5011C">
        <w:rPr>
          <w:rStyle w:val="Hypertextovodkaz"/>
          <w:color w:val="auto"/>
          <w:u w:val="none"/>
        </w:rPr>
        <w:t>a</w:t>
      </w:r>
    </w:p>
    <w:p w14:paraId="33B65593" w14:textId="77777777" w:rsidR="00812750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E5011C">
        <w:fldChar w:fldCharType="end"/>
      </w:r>
      <w:hyperlink w:anchor="_Příloha_č._2_1" w:history="1">
        <w:r w:rsidR="00812750" w:rsidRPr="00E5011C">
          <w:t xml:space="preserve">Příloha č. </w:t>
        </w:r>
        <w:r w:rsidR="009F227D" w:rsidRPr="00E5011C">
          <w:t>2</w:t>
        </w:r>
        <w:r w:rsidR="00812750" w:rsidRPr="00E5011C">
          <w:t xml:space="preserve"> </w:t>
        </w:r>
        <w:r w:rsidR="008D12E5" w:rsidRPr="00E5011C">
          <w:tab/>
        </w:r>
        <w:r w:rsidR="00812750" w:rsidRPr="00E5011C">
          <w:t>– Krycí list nabídky</w:t>
        </w:r>
      </w:hyperlink>
    </w:p>
    <w:p w14:paraId="74FDA83D" w14:textId="77777777" w:rsidR="00EC16D6" w:rsidRPr="00E5011C" w:rsidRDefault="00FA5DD5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2F34FB">
          <w:t>účastníka</w:t>
        </w:r>
        <w:r w:rsidR="00A83879" w:rsidRPr="00E5011C">
          <w:t xml:space="preserve"> k nabídce</w:t>
        </w:r>
      </w:hyperlink>
    </w:p>
    <w:p w14:paraId="422C2312" w14:textId="33130294" w:rsidR="00EC16D6" w:rsidRPr="00E5011C" w:rsidRDefault="00FA5DD5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BE636F">
        <w:t xml:space="preserve"> způsobilosti</w:t>
      </w:r>
    </w:p>
    <w:p w14:paraId="678EA052" w14:textId="2C085D5B" w:rsidR="001A32E2" w:rsidRDefault="00FA5DD5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E5011C">
          <w:t>Příloha č. 3</w:t>
        </w:r>
        <w:r w:rsidR="0051166D">
          <w:t>C</w:t>
        </w:r>
        <w:r w:rsidR="001A32E2" w:rsidRPr="00E5011C">
          <w:t xml:space="preserve"> 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57F225C1" w14:textId="083E3167" w:rsidR="0059427F" w:rsidRPr="00E5011C" w:rsidRDefault="00FA5DD5" w:rsidP="0059427F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59427F" w:rsidRPr="00C260E8">
          <w:rPr>
            <w:szCs w:val="22"/>
          </w:rPr>
          <w:t xml:space="preserve">Příloha č. 3D </w:t>
        </w:r>
        <w:r w:rsidR="0059427F" w:rsidRPr="00C260E8">
          <w:rPr>
            <w:szCs w:val="22"/>
          </w:rPr>
          <w:tab/>
          <w:t>– Čestné prohlášení – § 4b zákona č. 159/2006 Sb., o střetu zájmů</w:t>
        </w:r>
      </w:hyperlink>
    </w:p>
    <w:p w14:paraId="65A9522A" w14:textId="2D365200" w:rsidR="009F227D" w:rsidRPr="00E5011C" w:rsidRDefault="00FA5DD5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1" w:history="1">
        <w:r w:rsidR="009F227D" w:rsidRPr="00E5011C">
          <w:t xml:space="preserve">Příloha č. 4 </w:t>
        </w:r>
        <w:r w:rsidR="008D12E5" w:rsidRPr="00E5011C">
          <w:tab/>
        </w:r>
        <w:r w:rsidR="009F227D" w:rsidRPr="00E5011C">
          <w:t>– Technick</w:t>
        </w:r>
        <w:r w:rsidR="00801D7E">
          <w:t>é</w:t>
        </w:r>
        <w:r w:rsidR="008D12E5" w:rsidRPr="00E5011C">
          <w:t xml:space="preserve"> </w:t>
        </w:r>
        <w:r w:rsidR="00801D7E">
          <w:t>podmínky</w:t>
        </w:r>
        <w:r w:rsidR="008D12E5" w:rsidRPr="00E5011C">
          <w:t xml:space="preserve"> předmětu zakázky</w:t>
        </w:r>
      </w:hyperlink>
    </w:p>
    <w:p w14:paraId="2BC1F013" w14:textId="16CBB6A8" w:rsidR="005D7CEE" w:rsidRDefault="005D7CEE" w:rsidP="005D7CEE">
      <w:pPr>
        <w:pStyle w:val="Zkladntext"/>
        <w:keepNext/>
        <w:keepLines/>
        <w:spacing w:before="360"/>
        <w:rPr>
          <w:kern w:val="2"/>
        </w:rPr>
      </w:pPr>
      <w:r>
        <w:rPr>
          <w:szCs w:val="22"/>
        </w:rPr>
        <w:t xml:space="preserve">V Praze dne </w:t>
      </w:r>
      <w:r w:rsidR="00FA5DD5">
        <w:rPr>
          <w:szCs w:val="22"/>
        </w:rPr>
        <w:t>05. 06. 2017</w:t>
      </w:r>
      <w:bookmarkStart w:id="62" w:name="_GoBack"/>
      <w:bookmarkEnd w:id="62"/>
    </w:p>
    <w:p w14:paraId="4A23C213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12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Česká republika – Správa</w:t>
      </w:r>
    </w:p>
    <w:p w14:paraId="58D91D15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1C3D81BA" w14:textId="77777777" w:rsidR="005D7CEE" w:rsidRDefault="0026714B" w:rsidP="005D7CE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77777777" w:rsidR="005D7CEE" w:rsidRDefault="0026714B" w:rsidP="0026714B">
      <w:pPr>
        <w:pStyle w:val="Zkladntext30"/>
        <w:shd w:val="clear" w:color="auto" w:fill="auto"/>
        <w:tabs>
          <w:tab w:val="left" w:pos="5387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  <w:t xml:space="preserve">    </w:t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681273C5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26F02954" w14:textId="549B5E9A" w:rsidR="009F227D" w:rsidRPr="00FC3CB8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3" w:name="_Příloha_č._1"/>
      <w:bookmarkStart w:id="64" w:name="_Toc481571047"/>
      <w:bookmarkStart w:id="65" w:name="_Toc378773426"/>
      <w:bookmarkStart w:id="66" w:name="_Toc384720771"/>
      <w:bookmarkEnd w:id="63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 w:rsidR="00B94AC2">
        <w:rPr>
          <w:sz w:val="22"/>
          <w:szCs w:val="22"/>
        </w:rPr>
        <w:t xml:space="preserve">Rámcová </w:t>
      </w:r>
      <w:r w:rsidR="0054716C">
        <w:rPr>
          <w:sz w:val="22"/>
          <w:szCs w:val="22"/>
        </w:rPr>
        <w:t>smlouva</w:t>
      </w:r>
      <w:bookmarkEnd w:id="64"/>
    </w:p>
    <w:p w14:paraId="666E5068" w14:textId="66422E43" w:rsidR="000221EF" w:rsidRPr="00863CB6" w:rsidRDefault="00B94AC2" w:rsidP="000221EF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Rámcová </w:t>
      </w:r>
      <w:r w:rsidR="0054716C">
        <w:rPr>
          <w:rFonts w:cs="Arial"/>
          <w:b/>
          <w:bCs/>
          <w:color w:val="000000"/>
          <w:sz w:val="28"/>
          <w:szCs w:val="28"/>
        </w:rPr>
        <w:t>smlouva</w:t>
      </w:r>
    </w:p>
    <w:p w14:paraId="310F9E44" w14:textId="16FDD1C8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59427F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77777777" w:rsidR="00EC16D6" w:rsidRPr="00FC3CB8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7" w:name="_Příloha_č._2_2"/>
      <w:bookmarkStart w:id="68" w:name="_Příloha_č._2_1"/>
      <w:bookmarkStart w:id="69" w:name="_Toc481571048"/>
      <w:bookmarkEnd w:id="67"/>
      <w:bookmarkEnd w:id="68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F4243B" w:rsidRPr="00FC3CB8">
        <w:rPr>
          <w:sz w:val="22"/>
          <w:szCs w:val="22"/>
        </w:rPr>
        <w:t xml:space="preserve"> – Krycí list nabídky</w:t>
      </w:r>
      <w:bookmarkEnd w:id="65"/>
      <w:bookmarkEnd w:id="66"/>
      <w:bookmarkEnd w:id="69"/>
    </w:p>
    <w:p w14:paraId="502814A3" w14:textId="77777777" w:rsidR="00EC16D6" w:rsidRPr="00FC3CB8" w:rsidRDefault="00367888" w:rsidP="00515322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12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72E0C3EF" w14:textId="24A596F2" w:rsidR="00AE0000" w:rsidRPr="00AE0000" w:rsidRDefault="00AE0000" w:rsidP="00AE0000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B94AC2">
        <w:rPr>
          <w:b/>
          <w:bCs/>
          <w:iCs/>
          <w:sz w:val="32"/>
          <w:szCs w:val="32"/>
        </w:rPr>
        <w:t>17-129 Servis tiskáren“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E84710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77777777" w:rsidR="001D611A" w:rsidRPr="00FC3CB8" w:rsidRDefault="002F34FB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1EDDE181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658EAFBD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71D40ED7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B1C56C1" w14:textId="4ECCED34" w:rsidR="001D611A" w:rsidRPr="009D7DAA" w:rsidRDefault="000E1BA0" w:rsidP="00D81E4F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5F5D9AF5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2F34FB"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286FAB79" w:rsidR="001D611A" w:rsidRPr="009D7DAA" w:rsidRDefault="000E1BA0" w:rsidP="00D81E4F">
            <w:pPr>
              <w:autoSpaceDE w:val="0"/>
              <w:autoSpaceDN w:val="0"/>
              <w:adjustRightInd w:val="0"/>
              <w:ind w:left="-106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1ADA5F2B" w14:textId="77777777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2F34FB">
        <w:t>účastníka</w:t>
      </w:r>
    </w:p>
    <w:p w14:paraId="3069F76C" w14:textId="77777777" w:rsidR="00A94D70" w:rsidRDefault="00A94D70" w:rsidP="00A94D70">
      <w:pPr>
        <w:pStyle w:val="Zkladntext21"/>
        <w:widowControl w:val="0"/>
        <w:spacing w:before="360"/>
        <w:ind w:left="284"/>
      </w:pPr>
    </w:p>
    <w:p w14:paraId="5216DE42" w14:textId="0652C55B" w:rsidR="007C291A" w:rsidRDefault="0054716C" w:rsidP="00A94D70">
      <w:pPr>
        <w:pStyle w:val="Zkladntext21"/>
        <w:widowControl w:val="0"/>
        <w:numPr>
          <w:ilvl w:val="0"/>
          <w:numId w:val="6"/>
        </w:numPr>
        <w:ind w:left="284" w:hanging="284"/>
      </w:pPr>
      <w:r>
        <w:t>Nabídková cena</w:t>
      </w:r>
    </w:p>
    <w:p w14:paraId="03CCFBD0" w14:textId="3D159653" w:rsidR="00A94D70" w:rsidRDefault="00A94D70" w:rsidP="00A94D70">
      <w:pPr>
        <w:pStyle w:val="Zkladntext21"/>
        <w:widowControl w:val="0"/>
        <w:spacing w:before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2"/>
        <w:gridCol w:w="2410"/>
        <w:gridCol w:w="2088"/>
        <w:gridCol w:w="2350"/>
      </w:tblGrid>
      <w:tr w:rsidR="00595CBC" w14:paraId="0B97F25C" w14:textId="77777777" w:rsidTr="005B143F">
        <w:trPr>
          <w:trHeight w:val="797"/>
        </w:trPr>
        <w:tc>
          <w:tcPr>
            <w:tcW w:w="2552" w:type="dxa"/>
            <w:tcBorders>
              <w:top w:val="nil"/>
              <w:left w:val="nil"/>
            </w:tcBorders>
          </w:tcPr>
          <w:p w14:paraId="711E0C3A" w14:textId="1A89C009" w:rsidR="00595CBC" w:rsidRDefault="00595CBC" w:rsidP="00595CBC">
            <w:pPr>
              <w:pStyle w:val="Zkladntext21"/>
              <w:widowControl w:val="0"/>
            </w:pPr>
          </w:p>
        </w:tc>
        <w:tc>
          <w:tcPr>
            <w:tcW w:w="2410" w:type="dxa"/>
            <w:vAlign w:val="center"/>
          </w:tcPr>
          <w:p w14:paraId="55577F5E" w14:textId="77777777" w:rsidR="001B55C7" w:rsidRDefault="00595CBC" w:rsidP="001B55C7">
            <w:pPr>
              <w:pStyle w:val="Zkladntext21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5CBC">
              <w:rPr>
                <w:rFonts w:cs="Arial"/>
                <w:sz w:val="20"/>
                <w:szCs w:val="20"/>
              </w:rPr>
              <w:t xml:space="preserve">Celková cena v Kč </w:t>
            </w:r>
          </w:p>
          <w:p w14:paraId="28C80D80" w14:textId="04C0039E" w:rsidR="00595CBC" w:rsidRPr="00595CBC" w:rsidRDefault="00595CBC" w:rsidP="001B55C7">
            <w:pPr>
              <w:pStyle w:val="Zkladntext21"/>
              <w:widowControl w:val="0"/>
              <w:jc w:val="center"/>
            </w:pPr>
            <w:r w:rsidRPr="00595CBC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2088" w:type="dxa"/>
            <w:vAlign w:val="center"/>
          </w:tcPr>
          <w:p w14:paraId="477F107B" w14:textId="71C1CE80" w:rsidR="00595CBC" w:rsidRPr="00595CBC" w:rsidRDefault="00595CBC" w:rsidP="001B55C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95CBC">
              <w:rPr>
                <w:rFonts w:cs="Arial"/>
                <w:b/>
                <w:sz w:val="20"/>
                <w:szCs w:val="20"/>
              </w:rPr>
              <w:t>DPH celkem</w:t>
            </w:r>
          </w:p>
          <w:p w14:paraId="1DBAA7DE" w14:textId="70A81081" w:rsidR="00595CBC" w:rsidRPr="00595CBC" w:rsidRDefault="00595CBC" w:rsidP="001B55C7">
            <w:pPr>
              <w:pStyle w:val="Zkladntext21"/>
              <w:widowControl w:val="0"/>
              <w:jc w:val="center"/>
            </w:pPr>
            <w:r w:rsidRPr="00595CBC">
              <w:rPr>
                <w:rFonts w:cs="Arial"/>
                <w:sz w:val="20"/>
                <w:szCs w:val="20"/>
              </w:rPr>
              <w:t>v Kč</w:t>
            </w:r>
          </w:p>
        </w:tc>
        <w:tc>
          <w:tcPr>
            <w:tcW w:w="2350" w:type="dxa"/>
            <w:vAlign w:val="center"/>
          </w:tcPr>
          <w:p w14:paraId="1CC6A440" w14:textId="38ED7FC3" w:rsidR="00595CBC" w:rsidRPr="00595CBC" w:rsidRDefault="00595CBC" w:rsidP="001B55C7">
            <w:pPr>
              <w:pStyle w:val="Zkladntext21"/>
              <w:widowControl w:val="0"/>
              <w:jc w:val="center"/>
            </w:pPr>
            <w:r w:rsidRPr="00595CBC">
              <w:rPr>
                <w:rFonts w:cs="Arial"/>
                <w:sz w:val="20"/>
                <w:szCs w:val="20"/>
              </w:rPr>
              <w:t xml:space="preserve">Celková cena v Kč </w:t>
            </w:r>
            <w:r w:rsidR="001B55C7">
              <w:rPr>
                <w:rFonts w:cs="Arial"/>
                <w:sz w:val="20"/>
                <w:szCs w:val="20"/>
              </w:rPr>
              <w:t>včetně</w:t>
            </w:r>
            <w:r w:rsidRPr="00595CBC">
              <w:rPr>
                <w:rFonts w:cs="Arial"/>
                <w:sz w:val="20"/>
                <w:szCs w:val="20"/>
              </w:rPr>
              <w:t xml:space="preserve"> DPH</w:t>
            </w:r>
          </w:p>
        </w:tc>
      </w:tr>
      <w:tr w:rsidR="001B55C7" w14:paraId="559A38B0" w14:textId="77777777" w:rsidTr="005B143F">
        <w:trPr>
          <w:trHeight w:val="848"/>
        </w:trPr>
        <w:tc>
          <w:tcPr>
            <w:tcW w:w="2552" w:type="dxa"/>
            <w:vAlign w:val="center"/>
          </w:tcPr>
          <w:p w14:paraId="5F39755B" w14:textId="6A899FB7" w:rsidR="001B55C7" w:rsidRPr="001B55C7" w:rsidRDefault="001B55C7" w:rsidP="001B55C7">
            <w:pPr>
              <w:pStyle w:val="Zkladntext21"/>
              <w:widowControl w:val="0"/>
            </w:pPr>
            <w:r w:rsidRPr="001B55C7">
              <w:rPr>
                <w:rFonts w:cs="Arial"/>
                <w:szCs w:val="22"/>
              </w:rPr>
              <w:t>Cena za požadovaný výkon celkem</w:t>
            </w:r>
          </w:p>
        </w:tc>
        <w:tc>
          <w:tcPr>
            <w:tcW w:w="2410" w:type="dxa"/>
            <w:vAlign w:val="bottom"/>
          </w:tcPr>
          <w:p w14:paraId="3A581E44" w14:textId="07807FA4" w:rsidR="001B55C7" w:rsidRDefault="001B55C7" w:rsidP="001B55C7">
            <w:pPr>
              <w:pStyle w:val="Zkladntext21"/>
              <w:widowControl w:val="0"/>
              <w:spacing w:after="60"/>
              <w:jc w:val="center"/>
            </w:pPr>
            <w:r w:rsidRPr="007270FF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2088" w:type="dxa"/>
            <w:vAlign w:val="bottom"/>
          </w:tcPr>
          <w:p w14:paraId="618DFA5B" w14:textId="483B6DAE" w:rsidR="001B55C7" w:rsidRDefault="001B55C7" w:rsidP="001B55C7">
            <w:pPr>
              <w:pStyle w:val="Zkladntext21"/>
              <w:widowControl w:val="0"/>
              <w:spacing w:after="60"/>
              <w:jc w:val="center"/>
            </w:pPr>
            <w:r w:rsidRPr="007270FF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2350" w:type="dxa"/>
            <w:vAlign w:val="bottom"/>
          </w:tcPr>
          <w:p w14:paraId="1ECA653B" w14:textId="01BD1E65" w:rsidR="001B55C7" w:rsidRDefault="001B55C7" w:rsidP="001B55C7">
            <w:pPr>
              <w:pStyle w:val="Zkladntext21"/>
              <w:widowControl w:val="0"/>
              <w:spacing w:after="60"/>
              <w:jc w:val="center"/>
            </w:pPr>
            <w:r w:rsidRPr="007270FF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</w:tr>
    </w:tbl>
    <w:p w14:paraId="0034B2A4" w14:textId="1C04C2C3" w:rsidR="00594418" w:rsidRDefault="00594418" w:rsidP="00A94D70">
      <w:pPr>
        <w:pStyle w:val="Zkladntext21"/>
        <w:widowControl w:val="0"/>
      </w:pPr>
    </w:p>
    <w:p w14:paraId="7DB07539" w14:textId="77777777" w:rsidR="00594418" w:rsidRDefault="00594418">
      <w:pPr>
        <w:suppressAutoHyphens w:val="0"/>
        <w:rPr>
          <w:b/>
          <w:bCs/>
        </w:rPr>
      </w:pPr>
      <w:r>
        <w:br w:type="page"/>
      </w:r>
    </w:p>
    <w:p w14:paraId="2755A76D" w14:textId="77777777" w:rsidR="00A94D70" w:rsidRDefault="00A94D70" w:rsidP="00A94D70">
      <w:pPr>
        <w:pStyle w:val="Zkladntext21"/>
        <w:widowControl w:val="0"/>
        <w:sectPr w:rsidR="00A94D70" w:rsidSect="003E737B">
          <w:headerReference w:type="default" r:id="rId14"/>
          <w:footerReference w:type="default" r:id="rId15"/>
          <w:type w:val="continuous"/>
          <w:pgSz w:w="11906" w:h="16838"/>
          <w:pgMar w:top="1134" w:right="1134" w:bottom="1418" w:left="1134" w:header="709" w:footer="709" w:gutter="0"/>
          <w:cols w:space="708"/>
          <w:docGrid w:linePitch="360" w:charSpace="36864"/>
        </w:sectPr>
      </w:pPr>
    </w:p>
    <w:tbl>
      <w:tblPr>
        <w:tblStyle w:val="Mkatabulky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1417"/>
        <w:gridCol w:w="2127"/>
        <w:gridCol w:w="1984"/>
        <w:gridCol w:w="1985"/>
      </w:tblGrid>
      <w:tr w:rsidR="002D3956" w14:paraId="1BD0B682" w14:textId="77777777" w:rsidTr="002D3956">
        <w:trPr>
          <w:trHeight w:val="652"/>
        </w:trPr>
        <w:tc>
          <w:tcPr>
            <w:tcW w:w="5529" w:type="dxa"/>
            <w:vAlign w:val="center"/>
          </w:tcPr>
          <w:p w14:paraId="4F79D00C" w14:textId="77777777" w:rsidR="007C291A" w:rsidRDefault="007C291A" w:rsidP="00B570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12">
              <w:rPr>
                <w:rFonts w:cs="Arial"/>
                <w:b/>
                <w:sz w:val="20"/>
                <w:szCs w:val="20"/>
              </w:rPr>
              <w:lastRenderedPageBreak/>
              <w:t>Požadovaný výkon</w:t>
            </w:r>
          </w:p>
          <w:p w14:paraId="40CA5A91" w14:textId="60D6167E" w:rsidR="005E73D9" w:rsidRPr="00511D12" w:rsidRDefault="005E73D9" w:rsidP="00B570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(včetně náhradních dílů a práce)</w:t>
            </w:r>
          </w:p>
        </w:tc>
        <w:tc>
          <w:tcPr>
            <w:tcW w:w="1985" w:type="dxa"/>
            <w:vAlign w:val="center"/>
          </w:tcPr>
          <w:p w14:paraId="04148F72" w14:textId="021C54C1" w:rsidR="007C291A" w:rsidRPr="00511D12" w:rsidRDefault="007C291A" w:rsidP="005E73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12">
              <w:rPr>
                <w:rFonts w:cs="Arial"/>
                <w:b/>
                <w:sz w:val="20"/>
                <w:szCs w:val="20"/>
              </w:rPr>
              <w:t>Jednotková cena v Kč bez DPH</w:t>
            </w:r>
          </w:p>
        </w:tc>
        <w:tc>
          <w:tcPr>
            <w:tcW w:w="1417" w:type="dxa"/>
            <w:vAlign w:val="center"/>
          </w:tcPr>
          <w:p w14:paraId="23CFB812" w14:textId="77777777" w:rsidR="007C291A" w:rsidRPr="00511D12" w:rsidRDefault="007C291A" w:rsidP="00B570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12">
              <w:rPr>
                <w:rFonts w:cs="Arial"/>
                <w:b/>
                <w:sz w:val="20"/>
                <w:szCs w:val="20"/>
              </w:rPr>
              <w:t>Koeficient</w:t>
            </w:r>
          </w:p>
        </w:tc>
        <w:tc>
          <w:tcPr>
            <w:tcW w:w="2127" w:type="dxa"/>
            <w:vAlign w:val="center"/>
          </w:tcPr>
          <w:p w14:paraId="72D55218" w14:textId="77777777" w:rsidR="007C291A" w:rsidRDefault="007C291A" w:rsidP="00B570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12">
              <w:rPr>
                <w:rFonts w:cs="Arial"/>
                <w:b/>
                <w:sz w:val="20"/>
                <w:szCs w:val="20"/>
              </w:rPr>
              <w:t>Celková cena</w:t>
            </w:r>
            <w:r w:rsidRPr="00511D12">
              <w:rPr>
                <w:rFonts w:cs="Arial"/>
                <w:b/>
                <w:sz w:val="20"/>
                <w:szCs w:val="20"/>
              </w:rPr>
              <w:br/>
              <w:t>v Kč bez DPH</w:t>
            </w:r>
          </w:p>
          <w:p w14:paraId="7CBB4E76" w14:textId="77777777" w:rsidR="007C291A" w:rsidRPr="00511D12" w:rsidRDefault="007C291A" w:rsidP="00B570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(jednotková cena x koeficient)</w:t>
            </w:r>
          </w:p>
        </w:tc>
        <w:tc>
          <w:tcPr>
            <w:tcW w:w="1984" w:type="dxa"/>
            <w:vAlign w:val="center"/>
          </w:tcPr>
          <w:p w14:paraId="38BE0CDD" w14:textId="63A26D5C" w:rsidR="007C291A" w:rsidRPr="00511D12" w:rsidRDefault="007C291A" w:rsidP="00B57035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11D12">
              <w:rPr>
                <w:rFonts w:cs="Arial"/>
                <w:b/>
                <w:sz w:val="20"/>
                <w:szCs w:val="20"/>
              </w:rPr>
              <w:t>DPH</w:t>
            </w:r>
            <w:r w:rsidR="001B55C7">
              <w:rPr>
                <w:rFonts w:cs="Arial"/>
                <w:b/>
                <w:sz w:val="20"/>
                <w:szCs w:val="20"/>
              </w:rPr>
              <w:t xml:space="preserve"> celkem</w:t>
            </w:r>
            <w:r w:rsidR="005E73D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11D12">
              <w:rPr>
                <w:rFonts w:cs="Arial"/>
                <w:b/>
                <w:sz w:val="20"/>
                <w:szCs w:val="20"/>
              </w:rPr>
              <w:t>v Kč</w:t>
            </w:r>
          </w:p>
        </w:tc>
        <w:tc>
          <w:tcPr>
            <w:tcW w:w="1985" w:type="dxa"/>
            <w:vAlign w:val="center"/>
          </w:tcPr>
          <w:p w14:paraId="6E0047D5" w14:textId="77777777" w:rsidR="007C291A" w:rsidRPr="00511D12" w:rsidRDefault="007C291A" w:rsidP="00B57035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11D12">
              <w:rPr>
                <w:rFonts w:cs="Arial"/>
                <w:b/>
                <w:sz w:val="20"/>
                <w:szCs w:val="20"/>
              </w:rPr>
              <w:t>Celková cena</w:t>
            </w:r>
            <w:r w:rsidRPr="00511D12">
              <w:rPr>
                <w:rFonts w:cs="Arial"/>
                <w:b/>
                <w:sz w:val="20"/>
                <w:szCs w:val="20"/>
              </w:rPr>
              <w:br/>
              <w:t>v Kč včetně DPH</w:t>
            </w:r>
          </w:p>
        </w:tc>
      </w:tr>
      <w:tr w:rsidR="00B57035" w14:paraId="604D4637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30F66415" w14:textId="77777777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  <w:r w:rsidRPr="00B57035">
              <w:rPr>
                <w:rFonts w:cs="Arial"/>
                <w:sz w:val="20"/>
                <w:szCs w:val="20"/>
              </w:rPr>
              <w:t>Profylaxe velké tiskárny</w:t>
            </w:r>
          </w:p>
        </w:tc>
        <w:tc>
          <w:tcPr>
            <w:tcW w:w="1985" w:type="dxa"/>
            <w:vAlign w:val="bottom"/>
          </w:tcPr>
          <w:p w14:paraId="776A3EB6" w14:textId="73AD6844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41F4B817" w14:textId="7E22D006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703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27" w:type="dxa"/>
            <w:vAlign w:val="bottom"/>
          </w:tcPr>
          <w:p w14:paraId="64471A74" w14:textId="77777777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16CEB4A7" w14:textId="77777777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12F51C59" w14:textId="77777777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5C15B6BF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0F8B9B8D" w14:textId="77777777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7035">
              <w:rPr>
                <w:rFonts w:cs="Arial"/>
                <w:sz w:val="20"/>
                <w:szCs w:val="20"/>
              </w:rPr>
              <w:t>Profylaxe střední tiskárny</w:t>
            </w:r>
          </w:p>
        </w:tc>
        <w:tc>
          <w:tcPr>
            <w:tcW w:w="1985" w:type="dxa"/>
            <w:vAlign w:val="bottom"/>
          </w:tcPr>
          <w:p w14:paraId="79DB3574" w14:textId="5E85E08D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699E9D0C" w14:textId="23187063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703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127" w:type="dxa"/>
            <w:vAlign w:val="bottom"/>
          </w:tcPr>
          <w:p w14:paraId="04FBC395" w14:textId="2AE1C588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498AE606" w14:textId="3263BCA9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70A7452D" w14:textId="37497976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7105014B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4810B0B4" w14:textId="77777777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7035">
              <w:rPr>
                <w:rFonts w:cs="Arial"/>
                <w:sz w:val="20"/>
                <w:szCs w:val="20"/>
              </w:rPr>
              <w:t>Profylaxe malé tiskárny</w:t>
            </w:r>
          </w:p>
        </w:tc>
        <w:tc>
          <w:tcPr>
            <w:tcW w:w="1985" w:type="dxa"/>
            <w:vAlign w:val="bottom"/>
          </w:tcPr>
          <w:p w14:paraId="4357B1C5" w14:textId="51047822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164BBE3E" w14:textId="19DCF292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703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127" w:type="dxa"/>
            <w:vAlign w:val="bottom"/>
          </w:tcPr>
          <w:p w14:paraId="72CE04AC" w14:textId="18C56415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64962482" w14:textId="679D46A7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6F0369F6" w14:textId="17AC6A62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18A9B8E8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680F8F0F" w14:textId="2878246F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B57035">
              <w:rPr>
                <w:rFonts w:cs="Arial"/>
                <w:sz w:val="20"/>
                <w:szCs w:val="20"/>
              </w:rPr>
              <w:t>Kyocera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FS-1370DN –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maintenance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kit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MK-170</w:t>
            </w:r>
          </w:p>
        </w:tc>
        <w:tc>
          <w:tcPr>
            <w:tcW w:w="1985" w:type="dxa"/>
            <w:vAlign w:val="bottom"/>
          </w:tcPr>
          <w:p w14:paraId="37F0132F" w14:textId="3381944F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101CB8A9" w14:textId="6C1D486A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14:paraId="38E4E2EB" w14:textId="4C79F2CA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3FE21BB3" w14:textId="7D640A44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604D830F" w14:textId="01EADF93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779977E8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422769AF" w14:textId="502B699D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B57035">
              <w:rPr>
                <w:rFonts w:cs="Arial"/>
                <w:sz w:val="20"/>
                <w:szCs w:val="20"/>
              </w:rPr>
              <w:t>Kyocera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Ecosys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M6026cdn –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maintenance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kit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MK-590</w:t>
            </w:r>
          </w:p>
        </w:tc>
        <w:tc>
          <w:tcPr>
            <w:tcW w:w="1985" w:type="dxa"/>
            <w:vAlign w:val="bottom"/>
          </w:tcPr>
          <w:p w14:paraId="7D0E2A66" w14:textId="0D235A04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237D845E" w14:textId="2B75F695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14:paraId="214BC0A0" w14:textId="2A8FAA19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72296F9F" w14:textId="647D548D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3AAC1B20" w14:textId="3721A367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1390CFDD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5FA85F3A" w14:textId="732B7E64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B57035">
              <w:rPr>
                <w:rFonts w:cs="Arial"/>
                <w:sz w:val="20"/>
                <w:szCs w:val="20"/>
              </w:rPr>
              <w:t>TASKAlfa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250 –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maintenance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kit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MK-865A</w:t>
            </w:r>
          </w:p>
        </w:tc>
        <w:tc>
          <w:tcPr>
            <w:tcW w:w="1985" w:type="dxa"/>
            <w:vAlign w:val="bottom"/>
          </w:tcPr>
          <w:p w14:paraId="595A10E8" w14:textId="20411197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6F477024" w14:textId="442F2CC5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14:paraId="22A60972" w14:textId="20867BC3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56C51156" w14:textId="6246BD68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6136EF8D" w14:textId="4EDD2941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45E03ADF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35830A62" w14:textId="1DC74EB1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B57035">
              <w:rPr>
                <w:rFonts w:cs="Arial"/>
                <w:sz w:val="20"/>
                <w:szCs w:val="20"/>
              </w:rPr>
              <w:t>TASKAlfa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250 –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maintenance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kit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MK-865B</w:t>
            </w:r>
          </w:p>
        </w:tc>
        <w:tc>
          <w:tcPr>
            <w:tcW w:w="1985" w:type="dxa"/>
            <w:vAlign w:val="bottom"/>
          </w:tcPr>
          <w:p w14:paraId="7F3214CF" w14:textId="7B4C81ED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3F5546C8" w14:textId="7D88BBCA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14:paraId="45892A9E" w14:textId="158480BA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3A34BF93" w14:textId="174B1872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14A62B85" w14:textId="36F57BB8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07FDC649" w14:textId="77777777" w:rsidTr="00594418">
        <w:trPr>
          <w:trHeight w:val="624"/>
        </w:trPr>
        <w:tc>
          <w:tcPr>
            <w:tcW w:w="5529" w:type="dxa"/>
            <w:vAlign w:val="center"/>
          </w:tcPr>
          <w:p w14:paraId="463F67A2" w14:textId="661E45BB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B57035">
              <w:rPr>
                <w:rFonts w:cs="Arial"/>
                <w:sz w:val="20"/>
                <w:szCs w:val="20"/>
              </w:rPr>
              <w:t>TASKAlfa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3050 –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maintenance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kit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MK-8305A</w:t>
            </w:r>
          </w:p>
        </w:tc>
        <w:tc>
          <w:tcPr>
            <w:tcW w:w="1985" w:type="dxa"/>
            <w:vAlign w:val="bottom"/>
          </w:tcPr>
          <w:p w14:paraId="09779DE7" w14:textId="41216A84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vAlign w:val="center"/>
          </w:tcPr>
          <w:p w14:paraId="4CF1578C" w14:textId="0153F825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14:paraId="61B86B47" w14:textId="0298256D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vAlign w:val="bottom"/>
          </w:tcPr>
          <w:p w14:paraId="7AF85F53" w14:textId="21E08970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vAlign w:val="bottom"/>
          </w:tcPr>
          <w:p w14:paraId="256DFFDF" w14:textId="3E054211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57E1DAD0" w14:textId="77777777" w:rsidTr="00594418">
        <w:trPr>
          <w:trHeight w:val="624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2DACA1CE" w14:textId="58245CEC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B57035">
              <w:rPr>
                <w:rFonts w:cs="Arial"/>
                <w:sz w:val="20"/>
                <w:szCs w:val="20"/>
              </w:rPr>
              <w:t>TASKAlfa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3050 –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maintenance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57035">
              <w:rPr>
                <w:rFonts w:cs="Arial"/>
                <w:sz w:val="20"/>
                <w:szCs w:val="20"/>
              </w:rPr>
              <w:t>kit</w:t>
            </w:r>
            <w:proofErr w:type="spellEnd"/>
            <w:r w:rsidRPr="00B57035">
              <w:rPr>
                <w:rFonts w:cs="Arial"/>
                <w:sz w:val="20"/>
                <w:szCs w:val="20"/>
              </w:rPr>
              <w:t xml:space="preserve"> MK-8305B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2C83A05" w14:textId="3A0028E3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66B804" w14:textId="0333A9B9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0DAE685E" w14:textId="6AC44F61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6E69BBD" w14:textId="082627D7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7F18757" w14:textId="3AD3104A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B57035" w14:paraId="7102F0E7" w14:textId="77777777" w:rsidTr="00594418">
        <w:trPr>
          <w:trHeight w:val="624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0E943EF9" w14:textId="49707C64" w:rsidR="00B57035" w:rsidRPr="00B57035" w:rsidRDefault="00B57035" w:rsidP="00B570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57035">
              <w:rPr>
                <w:rFonts w:cs="Arial"/>
                <w:sz w:val="20"/>
                <w:szCs w:val="20"/>
              </w:rPr>
              <w:t>Další technická podpora – práce za 1 člověkohodinu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8408F07" w14:textId="332D6BA0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BBDEB5" w14:textId="171F2692" w:rsidR="00B57035" w:rsidRPr="00B57035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B57035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55B6D18" w14:textId="4E24AEAA" w:rsidR="00B57035" w:rsidRPr="00511D12" w:rsidRDefault="00B57035" w:rsidP="00B5703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74F30F" w14:textId="704D8A0B" w:rsidR="00B57035" w:rsidRPr="00511D12" w:rsidRDefault="00B57035" w:rsidP="00B57035">
            <w:pPr>
              <w:spacing w:after="60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49D48EA" w14:textId="69B5C37A" w:rsidR="00B57035" w:rsidRPr="00511D12" w:rsidRDefault="00B57035" w:rsidP="00B57035">
            <w:pPr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594418" w14:paraId="691278DD" w14:textId="77777777" w:rsidTr="00594418">
        <w:trPr>
          <w:trHeight w:val="624"/>
        </w:trPr>
        <w:tc>
          <w:tcPr>
            <w:tcW w:w="5529" w:type="dxa"/>
            <w:tcBorders>
              <w:bottom w:val="triple" w:sz="6" w:space="0" w:color="auto"/>
            </w:tcBorders>
            <w:vAlign w:val="center"/>
          </w:tcPr>
          <w:p w14:paraId="262CD824" w14:textId="3CC3A23E" w:rsidR="00594418" w:rsidRPr="00B57035" w:rsidRDefault="00594418" w:rsidP="0059441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Doprava – cena za 1 km</w:t>
            </w:r>
          </w:p>
        </w:tc>
        <w:tc>
          <w:tcPr>
            <w:tcW w:w="1985" w:type="dxa"/>
            <w:tcBorders>
              <w:bottom w:val="triple" w:sz="6" w:space="0" w:color="auto"/>
            </w:tcBorders>
            <w:vAlign w:val="bottom"/>
          </w:tcPr>
          <w:p w14:paraId="216C99D9" w14:textId="194E8F0D" w:rsidR="00594418" w:rsidRPr="00511D12" w:rsidRDefault="00594418" w:rsidP="00594418">
            <w:pPr>
              <w:spacing w:before="60" w:after="6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417" w:type="dxa"/>
            <w:tcBorders>
              <w:bottom w:val="triple" w:sz="6" w:space="0" w:color="auto"/>
            </w:tcBorders>
            <w:vAlign w:val="center"/>
          </w:tcPr>
          <w:p w14:paraId="5E56D938" w14:textId="1013A3A9" w:rsidR="00594418" w:rsidRPr="00B57035" w:rsidRDefault="007B29E6" w:rsidP="0059441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2127" w:type="dxa"/>
            <w:tcBorders>
              <w:bottom w:val="triple" w:sz="6" w:space="0" w:color="auto"/>
            </w:tcBorders>
            <w:vAlign w:val="bottom"/>
          </w:tcPr>
          <w:p w14:paraId="44D82CCF" w14:textId="2E3489B5" w:rsidR="00594418" w:rsidRPr="00511D12" w:rsidRDefault="00594418" w:rsidP="00594418">
            <w:pPr>
              <w:spacing w:before="60" w:after="6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tcBorders>
              <w:bottom w:val="triple" w:sz="6" w:space="0" w:color="auto"/>
            </w:tcBorders>
            <w:vAlign w:val="bottom"/>
          </w:tcPr>
          <w:p w14:paraId="343BD785" w14:textId="30939EAD" w:rsidR="00594418" w:rsidRPr="00511D12" w:rsidRDefault="00594418" w:rsidP="00594418">
            <w:pPr>
              <w:spacing w:after="6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tcBorders>
              <w:bottom w:val="triple" w:sz="6" w:space="0" w:color="auto"/>
            </w:tcBorders>
            <w:vAlign w:val="bottom"/>
          </w:tcPr>
          <w:p w14:paraId="76C7C661" w14:textId="2A3B15FC" w:rsidR="00594418" w:rsidRPr="00511D12" w:rsidRDefault="00594418" w:rsidP="00594418">
            <w:pPr>
              <w:spacing w:after="60"/>
              <w:ind w:right="-108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  <w:tr w:rsidR="00594418" w14:paraId="3C3F89D6" w14:textId="77777777" w:rsidTr="0080172A">
        <w:trPr>
          <w:trHeight w:val="680"/>
        </w:trPr>
        <w:tc>
          <w:tcPr>
            <w:tcW w:w="8931" w:type="dxa"/>
            <w:gridSpan w:val="3"/>
            <w:tcBorders>
              <w:top w:val="triple" w:sz="6" w:space="0" w:color="auto"/>
              <w:left w:val="nil"/>
              <w:bottom w:val="nil"/>
            </w:tcBorders>
            <w:vAlign w:val="center"/>
          </w:tcPr>
          <w:p w14:paraId="3AC77772" w14:textId="20370B70" w:rsidR="00594418" w:rsidRPr="000C5FBE" w:rsidRDefault="00594418" w:rsidP="00594418">
            <w:pPr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0C5FBE">
              <w:rPr>
                <w:rFonts w:cs="Arial"/>
                <w:b/>
                <w:szCs w:val="22"/>
              </w:rPr>
              <w:t xml:space="preserve">Cena </w:t>
            </w:r>
            <w:r>
              <w:rPr>
                <w:rFonts w:cs="Arial"/>
                <w:b/>
                <w:szCs w:val="22"/>
              </w:rPr>
              <w:t xml:space="preserve">za požadovaný výkon </w:t>
            </w:r>
            <w:r w:rsidRPr="000C5FBE"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2127" w:type="dxa"/>
            <w:tcBorders>
              <w:top w:val="triple" w:sz="6" w:space="0" w:color="auto"/>
            </w:tcBorders>
            <w:vAlign w:val="bottom"/>
          </w:tcPr>
          <w:p w14:paraId="113E13B4" w14:textId="60F9DB2C" w:rsidR="00594418" w:rsidRPr="00511D12" w:rsidRDefault="00594418" w:rsidP="00594418">
            <w:pPr>
              <w:spacing w:before="60" w:after="6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4" w:type="dxa"/>
            <w:tcBorders>
              <w:top w:val="triple" w:sz="6" w:space="0" w:color="auto"/>
            </w:tcBorders>
            <w:vAlign w:val="bottom"/>
          </w:tcPr>
          <w:p w14:paraId="15869837" w14:textId="6C5A1700" w:rsidR="00594418" w:rsidRPr="00511D12" w:rsidRDefault="00594418" w:rsidP="00594418">
            <w:pPr>
              <w:spacing w:after="6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</w:t>
            </w:r>
          </w:p>
        </w:tc>
        <w:tc>
          <w:tcPr>
            <w:tcW w:w="1985" w:type="dxa"/>
            <w:tcBorders>
              <w:top w:val="triple" w:sz="6" w:space="0" w:color="auto"/>
            </w:tcBorders>
            <w:vAlign w:val="bottom"/>
          </w:tcPr>
          <w:p w14:paraId="678A35D1" w14:textId="57314A0B" w:rsidR="00594418" w:rsidRPr="00511D12" w:rsidRDefault="00594418" w:rsidP="00594418">
            <w:pPr>
              <w:spacing w:after="60"/>
              <w:ind w:right="-108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11D12">
              <w:rPr>
                <w:rFonts w:cs="Arial"/>
                <w:sz w:val="20"/>
                <w:szCs w:val="20"/>
                <w:highlight w:val="yellow"/>
              </w:rPr>
              <w:t>........................</w:t>
            </w:r>
          </w:p>
        </w:tc>
      </w:tr>
    </w:tbl>
    <w:p w14:paraId="4ED38CCC" w14:textId="77777777" w:rsidR="00B662D0" w:rsidRDefault="00B662D0">
      <w:pPr>
        <w:suppressAutoHyphens w:val="0"/>
        <w:sectPr w:rsidR="00B662D0" w:rsidSect="00594418">
          <w:pgSz w:w="16838" w:h="11906" w:orient="landscape"/>
          <w:pgMar w:top="1134" w:right="1134" w:bottom="1134" w:left="1418" w:header="709" w:footer="709" w:gutter="0"/>
          <w:cols w:space="708"/>
          <w:docGrid w:linePitch="360" w:charSpace="36864"/>
        </w:sectPr>
      </w:pPr>
    </w:p>
    <w:p w14:paraId="1FE6E8EC" w14:textId="62F1329B" w:rsidR="00EC16D6" w:rsidRPr="006B7790" w:rsidRDefault="00EC16D6" w:rsidP="006B7790">
      <w:pPr>
        <w:suppressAutoHyphens w:val="0"/>
        <w:jc w:val="right"/>
        <w:rPr>
          <w:b/>
          <w:szCs w:val="22"/>
        </w:rPr>
      </w:pPr>
      <w:bookmarkStart w:id="70" w:name="_Příloha_č._3"/>
      <w:bookmarkStart w:id="71" w:name="_Příloha_č._2"/>
      <w:bookmarkStart w:id="72" w:name="_Toc378773427"/>
      <w:bookmarkStart w:id="73" w:name="_Toc384720772"/>
      <w:bookmarkEnd w:id="70"/>
      <w:bookmarkEnd w:id="71"/>
      <w:r w:rsidRPr="006B7790">
        <w:rPr>
          <w:b/>
          <w:szCs w:val="22"/>
        </w:rPr>
        <w:lastRenderedPageBreak/>
        <w:t>Pří</w:t>
      </w:r>
      <w:r w:rsidR="00176114" w:rsidRPr="006B7790">
        <w:rPr>
          <w:b/>
          <w:szCs w:val="22"/>
        </w:rPr>
        <w:t xml:space="preserve">loha č. </w:t>
      </w:r>
      <w:r w:rsidR="009F227D" w:rsidRPr="006B7790">
        <w:rPr>
          <w:b/>
          <w:szCs w:val="22"/>
        </w:rPr>
        <w:t>3A</w:t>
      </w:r>
      <w:r w:rsidR="001B74F2" w:rsidRPr="006B7790">
        <w:rPr>
          <w:b/>
          <w:szCs w:val="22"/>
        </w:rPr>
        <w:t xml:space="preserve"> – Čestné prohlášení </w:t>
      </w:r>
      <w:bookmarkEnd w:id="72"/>
      <w:bookmarkEnd w:id="73"/>
      <w:r w:rsidR="002F34FB" w:rsidRPr="006B7790">
        <w:rPr>
          <w:b/>
          <w:szCs w:val="22"/>
        </w:rPr>
        <w:t>účastníka</w:t>
      </w:r>
      <w:r w:rsidR="00A83879" w:rsidRPr="006B7790">
        <w:rPr>
          <w:b/>
          <w:szCs w:val="22"/>
        </w:rPr>
        <w:t xml:space="preserve"> k nabídce</w:t>
      </w:r>
    </w:p>
    <w:p w14:paraId="78826FD6" w14:textId="77777777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74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4"/>
      <w:r w:rsidR="002F34FB">
        <w:rPr>
          <w:rFonts w:cs="Arial"/>
          <w:b/>
          <w:bCs/>
          <w:color w:val="000000"/>
          <w:sz w:val="36"/>
          <w:szCs w:val="36"/>
        </w:rPr>
        <w:t>ÚČASTNÍKA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5BBCADE4" w14:textId="66B2922B" w:rsidR="00784E45" w:rsidRPr="00AE0000" w:rsidRDefault="00B94AC2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>
        <w:rPr>
          <w:b/>
          <w:bCs/>
          <w:iCs/>
          <w:sz w:val="32"/>
          <w:szCs w:val="32"/>
        </w:rPr>
        <w:t>17-129 Servis tiskáren“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107882">
        <w:rPr>
          <w:rFonts w:cs="Arial"/>
          <w:noProof/>
          <w:sz w:val="22"/>
          <w:szCs w:val="22"/>
        </w:rPr>
        <w:t>………………………………………………………………….……..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>V …………………… dne ………………………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D7DAA">
        <w:rPr>
          <w:rFonts w:cs="Arial"/>
          <w:szCs w:val="22"/>
        </w:rPr>
        <w:t>………………………………………</w:t>
      </w:r>
    </w:p>
    <w:p w14:paraId="463188D1" w14:textId="45F6E6BD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B94AC2">
        <w:rPr>
          <w:rFonts w:cs="Arial"/>
          <w:szCs w:val="22"/>
        </w:rPr>
        <w:t>účastníka</w:t>
      </w:r>
    </w:p>
    <w:p w14:paraId="755A8227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2C401645" w14:textId="6985D47C" w:rsidR="005C06C9" w:rsidRPr="00FC3CB8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75" w:name="_Příloha_č._4"/>
      <w:bookmarkStart w:id="76" w:name="_Příloha_č._3B"/>
      <w:bookmarkStart w:id="77" w:name="_Toc378773428"/>
      <w:bookmarkStart w:id="78" w:name="_Toc384720773"/>
      <w:bookmarkStart w:id="79" w:name="_Toc481571049"/>
      <w:bookmarkEnd w:id="75"/>
      <w:bookmarkEnd w:id="76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77"/>
      <w:bookmarkEnd w:id="78"/>
      <w:r w:rsidR="00F3414A">
        <w:rPr>
          <w:sz w:val="22"/>
          <w:szCs w:val="22"/>
        </w:rPr>
        <w:t xml:space="preserve"> způsobilosti</w:t>
      </w:r>
      <w:bookmarkEnd w:id="79"/>
    </w:p>
    <w:p w14:paraId="31A31189" w14:textId="77777777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2F34FB">
        <w:t>ÚČASTNÍKA</w:t>
      </w:r>
    </w:p>
    <w:p w14:paraId="3670238A" w14:textId="77777777" w:rsidR="00F3414A" w:rsidRDefault="00F3414A" w:rsidP="003D6E98">
      <w:pPr>
        <w:pStyle w:val="Nzev"/>
        <w:rPr>
          <w:sz w:val="28"/>
          <w:szCs w:val="28"/>
        </w:rPr>
      </w:pPr>
    </w:p>
    <w:p w14:paraId="57E47EA6" w14:textId="3B9C615C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F3414A">
        <w:rPr>
          <w:sz w:val="28"/>
          <w:szCs w:val="28"/>
        </w:rPr>
        <w:t xml:space="preserve"> způsobilosti</w:t>
      </w:r>
    </w:p>
    <w:p w14:paraId="2D208E0F" w14:textId="77777777" w:rsidR="00F3414A" w:rsidRDefault="00F3414A" w:rsidP="00F3414A">
      <w:pPr>
        <w:pStyle w:val="Nzev"/>
        <w:widowControl w:val="0"/>
        <w:rPr>
          <w:color w:val="000000"/>
          <w:sz w:val="28"/>
          <w:szCs w:val="28"/>
        </w:rPr>
      </w:pPr>
    </w:p>
    <w:p w14:paraId="553DFF03" w14:textId="4D1B588A" w:rsidR="00F3414A" w:rsidRPr="00FC3CB8" w:rsidRDefault="00F3414A" w:rsidP="00F3414A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466CF553" w14:textId="3A035626" w:rsidR="00F3414A" w:rsidRDefault="00B94AC2" w:rsidP="00F3414A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>
        <w:rPr>
          <w:b/>
          <w:bCs/>
          <w:iCs/>
          <w:sz w:val="32"/>
          <w:szCs w:val="32"/>
        </w:rPr>
        <w:t>17-129 Servis tiskáren“</w:t>
      </w:r>
    </w:p>
    <w:p w14:paraId="6828397B" w14:textId="77777777" w:rsidR="0010748E" w:rsidRPr="00FC3CB8" w:rsidRDefault="0010748E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A320C82" w14:textId="77777777" w:rsidR="0010748E" w:rsidRDefault="0010748E" w:rsidP="0010748E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73DB83E3" w14:textId="39D62D8B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B94AC2">
        <w:rPr>
          <w:rFonts w:cs="Arial"/>
          <w:noProof/>
          <w:szCs w:val="22"/>
        </w:rPr>
        <w:t>účastník</w:t>
      </w:r>
      <w:r w:rsidRPr="009D7DAA">
        <w:rPr>
          <w:rFonts w:cs="Arial"/>
          <w:noProof/>
          <w:szCs w:val="22"/>
        </w:rPr>
        <w:t>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</w:t>
      </w:r>
      <w:r w:rsidR="006E1D47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:</w:t>
      </w:r>
      <w:r w:rsidRPr="008A2423">
        <w:rPr>
          <w:rFonts w:cs="Arial"/>
          <w:noProof/>
          <w:szCs w:val="22"/>
        </w:rPr>
        <w:t xml:space="preserve"> </w:t>
      </w:r>
    </w:p>
    <w:p w14:paraId="475F96A6" w14:textId="048D6EE7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 xml:space="preserve">byl v zemi svého sídla v posledních 5 letech před zahájením zadávacího řízení pravomocně odsouzen pro trestný čin nebo obdobný trestný čin podle právního řádu země sídla </w:t>
      </w:r>
      <w:r w:rsidR="00B94AC2">
        <w:rPr>
          <w:rFonts w:cs="Arial"/>
        </w:rPr>
        <w:t>účastníka</w:t>
      </w:r>
      <w:r w:rsidRPr="006E1D47">
        <w:rPr>
          <w:rFonts w:cs="Arial"/>
        </w:rPr>
        <w:t>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 xml:space="preserve">, </w:t>
      </w:r>
      <w:r w:rsidR="00B94AC2">
        <w:rPr>
          <w:rFonts w:cs="Arial"/>
        </w:rPr>
        <w:t>účastník</w:t>
      </w:r>
      <w:r w:rsidR="00386A16">
        <w:rPr>
          <w:rFonts w:cs="Arial"/>
        </w:rPr>
        <w:t xml:space="preserve">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</w:t>
      </w:r>
      <w:r w:rsidR="00B94AC2">
        <w:rPr>
          <w:rFonts w:cs="Arial"/>
        </w:rPr>
        <w:t>účastníka</w:t>
      </w:r>
      <w:r w:rsidRPr="006E1D47">
        <w:rPr>
          <w:rFonts w:cs="Arial"/>
        </w:rPr>
        <w:t xml:space="preserve">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923297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14FA4E77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61A0E05A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73CBD494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6DA7239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400CE1AC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</w:t>
      </w:r>
      <w:r w:rsidR="003E729B">
        <w:rPr>
          <w:rFonts w:cs="Arial"/>
        </w:rPr>
        <w:t xml:space="preserve">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93A5588" w14:textId="77777777" w:rsidR="00386A16" w:rsidRPr="006E1D47" w:rsidRDefault="00386A16" w:rsidP="006E1D47">
      <w:pPr>
        <w:pStyle w:val="Zpat"/>
        <w:spacing w:before="60" w:after="60"/>
        <w:jc w:val="both"/>
        <w:rPr>
          <w:rFonts w:cs="Arial"/>
        </w:rPr>
      </w:pPr>
    </w:p>
    <w:p w14:paraId="5DF01846" w14:textId="0B15A189" w:rsidR="006E1D47" w:rsidRPr="006E1D47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</w:rPr>
      </w:pPr>
      <w:r w:rsidRPr="006E1D47">
        <w:rPr>
          <w:rFonts w:cs="Arial"/>
        </w:rPr>
        <w:t xml:space="preserve"> </w:t>
      </w:r>
      <w:r>
        <w:rPr>
          <w:rFonts w:cs="Arial"/>
        </w:rPr>
        <w:t>není  v likvidaci</w:t>
      </w:r>
      <w:r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Pr="006E1D47">
        <w:rPr>
          <w:rFonts w:cs="Arial"/>
        </w:rPr>
        <w:t xml:space="preserve">vydáno rozhodnutí o úpadku, nebyla vůči němu nařízena nucená správa podle jiného právního předpisu nebo v obdobné situaci podle právního řádu země sídla </w:t>
      </w:r>
      <w:r w:rsidR="00B94AC2">
        <w:rPr>
          <w:rFonts w:cs="Arial"/>
        </w:rPr>
        <w:t>účastníka</w:t>
      </w:r>
      <w:r w:rsidRPr="006E1D47">
        <w:rPr>
          <w:rFonts w:cs="Arial"/>
        </w:rPr>
        <w:t>.</w:t>
      </w:r>
    </w:p>
    <w:p w14:paraId="5EE01569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55A25122" w14:textId="77777777" w:rsidR="006E1D47" w:rsidRPr="009D7DAA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F0F6615" w14:textId="0B438E1A" w:rsidR="00FF358A" w:rsidRPr="009D7DAA" w:rsidRDefault="00B504DA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>V</w:t>
      </w:r>
      <w:r w:rsidR="00FF358A" w:rsidRPr="009D7DAA">
        <w:rPr>
          <w:rFonts w:cs="Arial"/>
        </w:rPr>
        <w:t>…………………… dne ……………………</w:t>
      </w:r>
    </w:p>
    <w:p w14:paraId="1CCC2094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D7DAA">
        <w:rPr>
          <w:rFonts w:cs="Arial"/>
          <w:sz w:val="20"/>
          <w:szCs w:val="20"/>
        </w:rPr>
        <w:t>…………………………………………</w:t>
      </w:r>
    </w:p>
    <w:p w14:paraId="5E0A8549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54A83236" w14:textId="3AA7D5A2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 </w:t>
      </w:r>
      <w:r w:rsidR="00B94AC2">
        <w:rPr>
          <w:rFonts w:cs="Arial"/>
          <w:sz w:val="20"/>
          <w:szCs w:val="20"/>
        </w:rPr>
        <w:t>o</w:t>
      </w:r>
      <w:r w:rsidRPr="00E92AC0">
        <w:rPr>
          <w:rFonts w:cs="Arial"/>
          <w:sz w:val="20"/>
          <w:szCs w:val="20"/>
        </w:rPr>
        <w:t>právněné</w:t>
      </w:r>
      <w:r w:rsidR="00F315B3">
        <w:rPr>
          <w:rFonts w:cs="Arial"/>
          <w:sz w:val="20"/>
          <w:szCs w:val="20"/>
        </w:rPr>
        <w:t xml:space="preserve"> </w:t>
      </w:r>
      <w:r w:rsidRPr="00E92AC0">
        <w:rPr>
          <w:rFonts w:cs="Arial"/>
          <w:sz w:val="20"/>
          <w:szCs w:val="20"/>
        </w:rPr>
        <w:t xml:space="preserve">jednat jménem </w:t>
      </w:r>
      <w:r w:rsidR="00B94AC2">
        <w:rPr>
          <w:rFonts w:cs="Arial"/>
          <w:sz w:val="20"/>
          <w:szCs w:val="20"/>
        </w:rPr>
        <w:t>účastníka</w:t>
      </w:r>
      <w:r w:rsidR="00367888" w:rsidRPr="00FC3CB8">
        <w:br w:type="page"/>
      </w:r>
    </w:p>
    <w:p w14:paraId="3F95998F" w14:textId="578CE503" w:rsidR="001A32E2" w:rsidRPr="00C009B5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0" w:name="_Příloha_č._5"/>
      <w:bookmarkStart w:id="81" w:name="_Příloha_č._3C"/>
      <w:bookmarkStart w:id="82" w:name="_Příloha_č._3D"/>
      <w:bookmarkStart w:id="83" w:name="_Toc428881723"/>
      <w:bookmarkStart w:id="84" w:name="_Toc431909489"/>
      <w:bookmarkStart w:id="85" w:name="_Toc432601075"/>
      <w:bookmarkStart w:id="86" w:name="_Toc432768177"/>
      <w:bookmarkStart w:id="87" w:name="_Toc481571050"/>
      <w:bookmarkEnd w:id="80"/>
      <w:bookmarkEnd w:id="81"/>
      <w:bookmarkEnd w:id="82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51166D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2F34FB">
        <w:rPr>
          <w:sz w:val="22"/>
          <w:szCs w:val="22"/>
        </w:rPr>
        <w:t>účastníka</w:t>
      </w:r>
      <w:r w:rsidRPr="00C009B5">
        <w:rPr>
          <w:sz w:val="22"/>
          <w:szCs w:val="22"/>
        </w:rPr>
        <w:t xml:space="preserve"> – další předpoklady</w:t>
      </w:r>
      <w:bookmarkEnd w:id="83"/>
      <w:bookmarkEnd w:id="84"/>
      <w:bookmarkEnd w:id="85"/>
      <w:bookmarkEnd w:id="86"/>
      <w:bookmarkEnd w:id="87"/>
    </w:p>
    <w:p w14:paraId="6930D884" w14:textId="68E247B3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2F34FB">
        <w:t>ÚČASTNÍKA</w:t>
      </w:r>
    </w:p>
    <w:p w14:paraId="4BE59F6E" w14:textId="4FBAFA4A" w:rsidR="00784E45" w:rsidRDefault="00784E45" w:rsidP="00784E45">
      <w:pPr>
        <w:pStyle w:val="Podnadpis"/>
      </w:pPr>
    </w:p>
    <w:p w14:paraId="69062BEF" w14:textId="77777777" w:rsidR="00784E45" w:rsidRPr="00FC3CB8" w:rsidRDefault="00784E45" w:rsidP="00784E4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2CD05F9F" w14:textId="0DAF7490" w:rsidR="00784E45" w:rsidRPr="00AE0000" w:rsidRDefault="00B94AC2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>
        <w:rPr>
          <w:b/>
          <w:bCs/>
          <w:iCs/>
          <w:sz w:val="32"/>
          <w:szCs w:val="32"/>
        </w:rPr>
        <w:t>17-129 Servis tiskáren“</w:t>
      </w:r>
    </w:p>
    <w:p w14:paraId="50F1218A" w14:textId="77777777" w:rsidR="00784E45" w:rsidRPr="00FC3CB8" w:rsidRDefault="00784E45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320BD07" w14:textId="4DA08F9C" w:rsidR="00784E45" w:rsidRPr="00784E45" w:rsidRDefault="00784E45" w:rsidP="0010748E">
      <w:pPr>
        <w:pStyle w:val="Zkladntext"/>
        <w:jc w:val="center"/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11EF2A6E" w14:textId="2240FC03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B94AC2">
        <w:rPr>
          <w:rFonts w:cs="Arial"/>
          <w:szCs w:val="22"/>
        </w:rPr>
        <w:t>účastník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14:paraId="1F3B75B6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71F7FFD" w14:textId="1CDEB698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6C300E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2F34FB"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E7DE195" w14:textId="77777777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2F34FB">
        <w:t>účastníkem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777777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V…………………….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……………………..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14:paraId="204F8C36" w14:textId="77777777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A32E2" w:rsidRPr="00C009B5">
        <w:rPr>
          <w:rFonts w:cs="Arial"/>
          <w:szCs w:val="22"/>
        </w:rPr>
        <w:t xml:space="preserve"> a podpis osoby </w:t>
      </w:r>
    </w:p>
    <w:p w14:paraId="26C2C657" w14:textId="015EEE99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B94AC2">
        <w:rPr>
          <w:rFonts w:cs="Arial"/>
          <w:szCs w:val="22"/>
        </w:rPr>
        <w:t>účastníka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E70847B" w14:textId="388777E9" w:rsidR="0059427F" w:rsidRDefault="0059427F" w:rsidP="009F227D">
      <w:pPr>
        <w:pStyle w:val="Nadpis3"/>
        <w:ind w:hanging="1843"/>
        <w:jc w:val="right"/>
        <w:rPr>
          <w:sz w:val="22"/>
          <w:szCs w:val="22"/>
        </w:rPr>
      </w:pPr>
      <w:bookmarkStart w:id="88" w:name="_Příloha_č._4_1"/>
      <w:bookmarkStart w:id="89" w:name="_Toc481571051"/>
      <w:bookmarkEnd w:id="88"/>
      <w:r w:rsidRPr="0059427F">
        <w:rPr>
          <w:sz w:val="22"/>
          <w:szCs w:val="22"/>
        </w:rPr>
        <w:lastRenderedPageBreak/>
        <w:t>Příloha č. 3D – Čestné prohlášení – § 4b zákona č. 159/2006 Sb., o střetu zájmů</w:t>
      </w:r>
      <w:bookmarkEnd w:id="89"/>
    </w:p>
    <w:p w14:paraId="3F82E199" w14:textId="3F3E4C02" w:rsidR="0059427F" w:rsidRDefault="0059427F" w:rsidP="0059427F">
      <w:pPr>
        <w:pStyle w:val="Zkladntext"/>
      </w:pPr>
    </w:p>
    <w:p w14:paraId="53F6AF75" w14:textId="2C534B2F" w:rsidR="0059427F" w:rsidRDefault="0059427F" w:rsidP="0059427F">
      <w:pPr>
        <w:pStyle w:val="Zkladntext"/>
      </w:pPr>
    </w:p>
    <w:p w14:paraId="12780C8A" w14:textId="03EB288A" w:rsidR="0059427F" w:rsidRDefault="0059427F" w:rsidP="0059427F">
      <w:pPr>
        <w:pStyle w:val="Zkladntext"/>
      </w:pPr>
    </w:p>
    <w:p w14:paraId="33F9225F" w14:textId="1757C1E9" w:rsidR="0059427F" w:rsidRPr="005263FE" w:rsidRDefault="0059427F" w:rsidP="0059427F">
      <w:pPr>
        <w:keepNext/>
        <w:jc w:val="center"/>
        <w:rPr>
          <w:rFonts w:cs="Arial"/>
          <w:b/>
          <w:sz w:val="32"/>
          <w:szCs w:val="32"/>
        </w:rPr>
      </w:pPr>
      <w:r w:rsidRPr="005263FE">
        <w:rPr>
          <w:rFonts w:cs="Arial"/>
          <w:b/>
          <w:sz w:val="32"/>
          <w:szCs w:val="32"/>
        </w:rPr>
        <w:t xml:space="preserve">ČESTNÉ PROHLÁŠENÍ </w:t>
      </w:r>
      <w:r w:rsidR="004B101E">
        <w:rPr>
          <w:rFonts w:cs="Arial"/>
          <w:b/>
          <w:sz w:val="32"/>
          <w:szCs w:val="32"/>
        </w:rPr>
        <w:t>ÚČASTNÍKA</w:t>
      </w:r>
    </w:p>
    <w:p w14:paraId="2BC6D590" w14:textId="77777777" w:rsidR="005263FE" w:rsidRDefault="005263FE" w:rsidP="0059427F">
      <w:pPr>
        <w:pStyle w:val="Nzev"/>
        <w:widowControl w:val="0"/>
        <w:rPr>
          <w:color w:val="000000"/>
          <w:sz w:val="28"/>
          <w:szCs w:val="28"/>
        </w:rPr>
      </w:pPr>
    </w:p>
    <w:p w14:paraId="77A870A6" w14:textId="6EDCE840" w:rsidR="0059427F" w:rsidRPr="00FC3CB8" w:rsidRDefault="0059427F" w:rsidP="0059427F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13F67DDA" w14:textId="683A7DDD" w:rsidR="0059427F" w:rsidRPr="00AE0000" w:rsidRDefault="00B94AC2" w:rsidP="0059427F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>
        <w:rPr>
          <w:b/>
          <w:bCs/>
          <w:iCs/>
          <w:sz w:val="32"/>
          <w:szCs w:val="32"/>
        </w:rPr>
        <w:t>17-129 Servis tiskáren“</w:t>
      </w:r>
    </w:p>
    <w:p w14:paraId="7246DD3F" w14:textId="77777777" w:rsidR="0059427F" w:rsidRPr="00FC3CB8" w:rsidRDefault="0059427F" w:rsidP="0059427F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23A2BDEA" w14:textId="77777777" w:rsidR="0059427F" w:rsidRDefault="0059427F" w:rsidP="0059427F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355C6F95" w14:textId="77777777" w:rsidR="0059427F" w:rsidRPr="0035363D" w:rsidRDefault="0059427F" w:rsidP="0059427F">
      <w:pPr>
        <w:keepNext/>
        <w:jc w:val="center"/>
        <w:rPr>
          <w:rFonts w:cs="Arial"/>
          <w:b/>
          <w:sz w:val="28"/>
          <w:szCs w:val="22"/>
        </w:rPr>
      </w:pPr>
    </w:p>
    <w:p w14:paraId="36317C19" w14:textId="77777777" w:rsidR="0059427F" w:rsidRPr="00C448AA" w:rsidRDefault="0059427F" w:rsidP="0059427F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</w:t>
      </w:r>
      <w:proofErr w:type="spellStart"/>
      <w:r w:rsidRPr="00C448AA">
        <w:rPr>
          <w:rFonts w:cs="Arial"/>
          <w:szCs w:val="22"/>
        </w:rPr>
        <w:t>ust</w:t>
      </w:r>
      <w:proofErr w:type="spellEnd"/>
      <w:r w:rsidRPr="00C448AA">
        <w:rPr>
          <w:rFonts w:cs="Arial"/>
          <w:szCs w:val="22"/>
        </w:rPr>
        <w:t>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2372A42D" w14:textId="77777777" w:rsidR="0059427F" w:rsidRPr="00C448AA" w:rsidRDefault="0059427F" w:rsidP="0059427F">
      <w:pPr>
        <w:keepNext/>
        <w:ind w:left="4956"/>
        <w:rPr>
          <w:rFonts w:cs="Arial"/>
          <w:szCs w:val="22"/>
        </w:rPr>
      </w:pPr>
    </w:p>
    <w:p w14:paraId="001104B4" w14:textId="77777777" w:rsidR="0059427F" w:rsidRPr="00C448AA" w:rsidRDefault="0059427F" w:rsidP="0059427F">
      <w:pPr>
        <w:keepNext/>
        <w:ind w:left="4956"/>
        <w:rPr>
          <w:rFonts w:cs="Arial"/>
          <w:szCs w:val="22"/>
        </w:rPr>
      </w:pPr>
    </w:p>
    <w:p w14:paraId="27EE2344" w14:textId="77777777" w:rsidR="0059427F" w:rsidRPr="00C448AA" w:rsidRDefault="0059427F" w:rsidP="0059427F">
      <w:pPr>
        <w:keepNext/>
        <w:ind w:left="4956"/>
        <w:rPr>
          <w:rFonts w:cs="Arial"/>
          <w:szCs w:val="22"/>
        </w:rPr>
      </w:pPr>
    </w:p>
    <w:p w14:paraId="75CBB22E" w14:textId="77777777" w:rsidR="0059427F" w:rsidRDefault="0059427F" w:rsidP="0059427F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227F8B52" w14:textId="77777777" w:rsidR="0059427F" w:rsidRDefault="0059427F" w:rsidP="0059427F">
      <w:pPr>
        <w:keepNext/>
        <w:rPr>
          <w:rFonts w:cs="Arial"/>
          <w:szCs w:val="22"/>
        </w:rPr>
      </w:pPr>
    </w:p>
    <w:p w14:paraId="12107EF7" w14:textId="77777777" w:rsidR="0059427F" w:rsidRDefault="0059427F" w:rsidP="0059427F">
      <w:pPr>
        <w:keepNext/>
        <w:rPr>
          <w:rFonts w:cs="Arial"/>
          <w:szCs w:val="22"/>
        </w:rPr>
      </w:pPr>
    </w:p>
    <w:p w14:paraId="1DE389B9" w14:textId="77777777" w:rsidR="0059427F" w:rsidRDefault="0059427F" w:rsidP="0059427F">
      <w:pPr>
        <w:keepNext/>
        <w:rPr>
          <w:rFonts w:cs="Arial"/>
          <w:szCs w:val="22"/>
        </w:rPr>
      </w:pPr>
    </w:p>
    <w:p w14:paraId="3D273654" w14:textId="77777777" w:rsidR="0059427F" w:rsidRPr="00C009B5" w:rsidRDefault="0059427F" w:rsidP="0059427F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V…………………….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……………………..</w:t>
      </w:r>
    </w:p>
    <w:p w14:paraId="245C103B" w14:textId="77777777" w:rsidR="0059427F" w:rsidRDefault="0059427F" w:rsidP="0059427F">
      <w:pPr>
        <w:keepNext/>
        <w:rPr>
          <w:rFonts w:cs="Arial"/>
          <w:szCs w:val="22"/>
        </w:rPr>
      </w:pPr>
    </w:p>
    <w:p w14:paraId="7AE7677E" w14:textId="77777777" w:rsidR="0059427F" w:rsidRDefault="0059427F" w:rsidP="0059427F">
      <w:pPr>
        <w:keepNext/>
        <w:rPr>
          <w:rFonts w:cs="Arial"/>
          <w:szCs w:val="22"/>
        </w:rPr>
      </w:pPr>
    </w:p>
    <w:p w14:paraId="1A7A5898" w14:textId="77777777" w:rsidR="0059427F" w:rsidRDefault="0059427F" w:rsidP="0059427F">
      <w:pPr>
        <w:keepNext/>
        <w:rPr>
          <w:rFonts w:cs="Arial"/>
          <w:szCs w:val="22"/>
        </w:rPr>
      </w:pPr>
    </w:p>
    <w:p w14:paraId="62A57098" w14:textId="77777777" w:rsidR="0059427F" w:rsidRDefault="0059427F" w:rsidP="0059427F">
      <w:pPr>
        <w:keepNext/>
        <w:rPr>
          <w:rFonts w:cs="Arial"/>
          <w:szCs w:val="22"/>
        </w:rPr>
      </w:pPr>
    </w:p>
    <w:p w14:paraId="7FDD6BF4" w14:textId="77777777" w:rsidR="0059427F" w:rsidRDefault="0059427F" w:rsidP="0059427F">
      <w:pPr>
        <w:keepNext/>
        <w:rPr>
          <w:rFonts w:cs="Arial"/>
          <w:szCs w:val="22"/>
        </w:rPr>
      </w:pPr>
    </w:p>
    <w:p w14:paraId="6C836FB1" w14:textId="77777777" w:rsidR="0059427F" w:rsidRDefault="0059427F" w:rsidP="0059427F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........……………………………….</w:t>
      </w:r>
    </w:p>
    <w:p w14:paraId="0960C37A" w14:textId="26B2EFDD" w:rsidR="0059427F" w:rsidRDefault="0059427F" w:rsidP="0059427F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</w:t>
      </w:r>
      <w:r w:rsidR="00B94AC2">
        <w:rPr>
          <w:rFonts w:cs="Arial"/>
          <w:szCs w:val="22"/>
        </w:rPr>
        <w:t>účastníka</w:t>
      </w:r>
    </w:p>
    <w:p w14:paraId="6F7ED85F" w14:textId="29EF59C4" w:rsidR="0059427F" w:rsidRDefault="0059427F" w:rsidP="0059427F">
      <w:pPr>
        <w:pStyle w:val="Zkladntext"/>
      </w:pPr>
    </w:p>
    <w:p w14:paraId="5E536C2C" w14:textId="61954C49" w:rsidR="0059427F" w:rsidRDefault="0059427F" w:rsidP="0059427F">
      <w:pPr>
        <w:pStyle w:val="Zkladntext"/>
      </w:pPr>
    </w:p>
    <w:p w14:paraId="379C69A8" w14:textId="42909D31" w:rsidR="0059427F" w:rsidRDefault="0059427F" w:rsidP="0059427F">
      <w:pPr>
        <w:pStyle w:val="Zkladntext"/>
      </w:pPr>
    </w:p>
    <w:p w14:paraId="40EB3851" w14:textId="16235393" w:rsidR="0059427F" w:rsidRDefault="0059427F" w:rsidP="0059427F">
      <w:pPr>
        <w:pStyle w:val="Zkladntext"/>
      </w:pPr>
    </w:p>
    <w:p w14:paraId="6449EC84" w14:textId="533962B7" w:rsidR="0059427F" w:rsidRDefault="0059427F" w:rsidP="0059427F">
      <w:pPr>
        <w:pStyle w:val="Zkladntext"/>
      </w:pPr>
    </w:p>
    <w:p w14:paraId="5B8CE171" w14:textId="289ADD98" w:rsidR="0059427F" w:rsidRDefault="0059427F" w:rsidP="0059427F">
      <w:pPr>
        <w:pStyle w:val="Zkladntext"/>
      </w:pPr>
    </w:p>
    <w:p w14:paraId="5833E2CA" w14:textId="3EAB450A" w:rsidR="0059427F" w:rsidRDefault="0059427F" w:rsidP="0059427F">
      <w:pPr>
        <w:pStyle w:val="Zkladntext"/>
      </w:pPr>
    </w:p>
    <w:p w14:paraId="4B845B90" w14:textId="2A9A0088" w:rsidR="0059427F" w:rsidRDefault="0059427F" w:rsidP="0059427F">
      <w:pPr>
        <w:pStyle w:val="Zkladntext"/>
      </w:pPr>
    </w:p>
    <w:p w14:paraId="629BE39F" w14:textId="4EBF657B" w:rsidR="009F227D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90" w:name="_Příloha_č._4_2"/>
      <w:bookmarkStart w:id="91" w:name="_Toc481571052"/>
      <w:bookmarkEnd w:id="90"/>
      <w:r w:rsidRPr="00827711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4</w:t>
      </w:r>
      <w:r w:rsidRPr="00827711">
        <w:rPr>
          <w:sz w:val="22"/>
          <w:szCs w:val="22"/>
        </w:rPr>
        <w:t xml:space="preserve"> – Technick</w:t>
      </w:r>
      <w:r w:rsidR="00BD2258">
        <w:rPr>
          <w:sz w:val="22"/>
          <w:szCs w:val="22"/>
        </w:rPr>
        <w:t xml:space="preserve">é podmínky </w:t>
      </w:r>
      <w:r w:rsidR="001A32E2">
        <w:rPr>
          <w:sz w:val="22"/>
          <w:szCs w:val="22"/>
        </w:rPr>
        <w:t>předmětu zakázky</w:t>
      </w:r>
      <w:bookmarkEnd w:id="91"/>
    </w:p>
    <w:p w14:paraId="5F7D4E34" w14:textId="2FF80A0B" w:rsidR="004C6A4C" w:rsidRDefault="004C6A4C" w:rsidP="004C6A4C">
      <w:pPr>
        <w:spacing w:before="240"/>
        <w:contextualSpacing/>
        <w:jc w:val="both"/>
        <w:rPr>
          <w:szCs w:val="20"/>
        </w:rPr>
      </w:pPr>
      <w:r w:rsidRPr="004C6A4C">
        <w:rPr>
          <w:szCs w:val="20"/>
        </w:rPr>
        <w:t>Obecné požadavky na servis:</w:t>
      </w:r>
    </w:p>
    <w:p w14:paraId="59A605F6" w14:textId="77777777" w:rsidR="004C6A4C" w:rsidRPr="004C6A4C" w:rsidRDefault="004C6A4C" w:rsidP="004C6A4C">
      <w:pPr>
        <w:spacing w:before="240"/>
        <w:contextualSpacing/>
        <w:jc w:val="both"/>
        <w:rPr>
          <w:szCs w:val="20"/>
        </w:rPr>
      </w:pPr>
    </w:p>
    <w:p w14:paraId="652E0A9D" w14:textId="77777777" w:rsidR="004C6A4C" w:rsidRPr="004C6A4C" w:rsidRDefault="004C6A4C" w:rsidP="004C6A4C">
      <w:pPr>
        <w:numPr>
          <w:ilvl w:val="0"/>
          <w:numId w:val="12"/>
        </w:numPr>
        <w:suppressAutoHyphens w:val="0"/>
        <w:spacing w:before="240"/>
        <w:ind w:left="284" w:hanging="284"/>
        <w:contextualSpacing/>
        <w:jc w:val="both"/>
        <w:rPr>
          <w:szCs w:val="20"/>
        </w:rPr>
      </w:pPr>
      <w:r w:rsidRPr="004C6A4C">
        <w:rPr>
          <w:szCs w:val="20"/>
        </w:rPr>
        <w:t>objednávka musí být potvrzena poskytovatelem do 3 pracovních dnů</w:t>
      </w:r>
    </w:p>
    <w:p w14:paraId="325A0E31" w14:textId="77777777" w:rsidR="004C6A4C" w:rsidRPr="004C6A4C" w:rsidRDefault="004C6A4C" w:rsidP="004C6A4C">
      <w:pPr>
        <w:numPr>
          <w:ilvl w:val="0"/>
          <w:numId w:val="12"/>
        </w:numPr>
        <w:suppressAutoHyphens w:val="0"/>
        <w:spacing w:before="60"/>
        <w:ind w:left="284" w:hanging="284"/>
        <w:jc w:val="both"/>
        <w:rPr>
          <w:szCs w:val="20"/>
        </w:rPr>
      </w:pPr>
      <w:r w:rsidRPr="004C6A4C">
        <w:rPr>
          <w:szCs w:val="20"/>
        </w:rPr>
        <w:t xml:space="preserve">pravidelná profylaxe (diagnostika, údržba a čištění) tiskáren a multifunkčních zařízení - předpokládaná frekvence 1-2/rok (na základě objednávek); </w:t>
      </w:r>
    </w:p>
    <w:p w14:paraId="43DF2985" w14:textId="77777777" w:rsidR="004C6A4C" w:rsidRPr="004C6A4C" w:rsidRDefault="004C6A4C" w:rsidP="004C6A4C">
      <w:pPr>
        <w:numPr>
          <w:ilvl w:val="0"/>
          <w:numId w:val="12"/>
        </w:numPr>
        <w:suppressAutoHyphens w:val="0"/>
        <w:spacing w:before="60"/>
        <w:ind w:left="284" w:hanging="284"/>
        <w:jc w:val="both"/>
        <w:rPr>
          <w:szCs w:val="20"/>
        </w:rPr>
      </w:pPr>
      <w:r w:rsidRPr="004C6A4C">
        <w:rPr>
          <w:szCs w:val="20"/>
        </w:rPr>
        <w:t xml:space="preserve">po provedené profylaxi vypracuje poskytovatel zprávu, která musí obsahovat: stavové stránky tiskáren, vyjádření o stavu </w:t>
      </w:r>
      <w:proofErr w:type="spellStart"/>
      <w:r w:rsidRPr="004C6A4C">
        <w:rPr>
          <w:szCs w:val="20"/>
        </w:rPr>
        <w:t>profylaxovaných</w:t>
      </w:r>
      <w:proofErr w:type="spellEnd"/>
      <w:r w:rsidRPr="004C6A4C">
        <w:rPr>
          <w:szCs w:val="20"/>
        </w:rPr>
        <w:t xml:space="preserve"> tiskáren, výčet nutných oprav, vyčíslení cen oprav, popřípadě může být detail zprávy upřesněn v objednávce</w:t>
      </w:r>
    </w:p>
    <w:p w14:paraId="6348A43D" w14:textId="77777777" w:rsidR="004C6A4C" w:rsidRPr="004C6A4C" w:rsidRDefault="004C6A4C" w:rsidP="004C6A4C">
      <w:pPr>
        <w:numPr>
          <w:ilvl w:val="0"/>
          <w:numId w:val="12"/>
        </w:numPr>
        <w:suppressAutoHyphens w:val="0"/>
        <w:spacing w:before="60"/>
        <w:ind w:left="284" w:hanging="284"/>
        <w:jc w:val="both"/>
        <w:rPr>
          <w:szCs w:val="20"/>
        </w:rPr>
      </w:pPr>
      <w:r w:rsidRPr="004C6A4C">
        <w:rPr>
          <w:szCs w:val="20"/>
        </w:rPr>
        <w:t>celková doba profylaxe ve všech lokalitách (pražských i mimopražských) – 12 pracovních dní od doručení objednávky</w:t>
      </w:r>
    </w:p>
    <w:p w14:paraId="74D19897" w14:textId="77777777" w:rsidR="004C6A4C" w:rsidRPr="004C6A4C" w:rsidRDefault="004C6A4C" w:rsidP="004C6A4C">
      <w:pPr>
        <w:numPr>
          <w:ilvl w:val="0"/>
          <w:numId w:val="12"/>
        </w:numPr>
        <w:suppressAutoHyphens w:val="0"/>
        <w:spacing w:before="60"/>
        <w:ind w:left="284" w:hanging="284"/>
        <w:jc w:val="both"/>
        <w:rPr>
          <w:szCs w:val="20"/>
        </w:rPr>
      </w:pPr>
      <w:r w:rsidRPr="004C6A4C">
        <w:rPr>
          <w:szCs w:val="20"/>
        </w:rPr>
        <w:t>pro zajištění bezvadného chodu tiskáren v návaznosti na požadovanou záruku musí zpráva z profylaxe obsahovat:</w:t>
      </w:r>
    </w:p>
    <w:p w14:paraId="27D7D04B" w14:textId="77777777" w:rsidR="004C6A4C" w:rsidRPr="004C6A4C" w:rsidRDefault="004C6A4C" w:rsidP="004C6A4C">
      <w:pPr>
        <w:numPr>
          <w:ilvl w:val="1"/>
          <w:numId w:val="12"/>
        </w:numPr>
        <w:suppressAutoHyphens w:val="0"/>
        <w:spacing w:before="60"/>
        <w:ind w:left="993"/>
        <w:jc w:val="both"/>
        <w:rPr>
          <w:szCs w:val="20"/>
        </w:rPr>
      </w:pPr>
      <w:r w:rsidRPr="004C6A4C">
        <w:rPr>
          <w:szCs w:val="20"/>
        </w:rPr>
        <w:t>seznam všech náhradních dílů, které budou muset být v příštích 6 měsících vyměněny a nejsou zahrnuty v nutných opravách,</w:t>
      </w:r>
    </w:p>
    <w:p w14:paraId="1D5E9568" w14:textId="77777777" w:rsidR="004C6A4C" w:rsidRPr="004C6A4C" w:rsidRDefault="004C6A4C" w:rsidP="004C6A4C">
      <w:pPr>
        <w:numPr>
          <w:ilvl w:val="1"/>
          <w:numId w:val="12"/>
        </w:numPr>
        <w:suppressAutoHyphens w:val="0"/>
        <w:spacing w:before="60"/>
        <w:ind w:left="993"/>
        <w:jc w:val="both"/>
        <w:rPr>
          <w:szCs w:val="20"/>
        </w:rPr>
      </w:pPr>
      <w:r w:rsidRPr="004C6A4C">
        <w:rPr>
          <w:szCs w:val="20"/>
        </w:rPr>
        <w:t>seznam plánovaných oprav,</w:t>
      </w:r>
    </w:p>
    <w:p w14:paraId="5096672F" w14:textId="77777777" w:rsidR="004C6A4C" w:rsidRPr="004C6A4C" w:rsidRDefault="004C6A4C" w:rsidP="004C6A4C">
      <w:pPr>
        <w:numPr>
          <w:ilvl w:val="1"/>
          <w:numId w:val="12"/>
        </w:numPr>
        <w:suppressAutoHyphens w:val="0"/>
        <w:spacing w:before="60"/>
        <w:ind w:left="993"/>
        <w:jc w:val="both"/>
        <w:rPr>
          <w:szCs w:val="20"/>
        </w:rPr>
      </w:pPr>
      <w:r w:rsidRPr="004C6A4C">
        <w:rPr>
          <w:szCs w:val="20"/>
        </w:rPr>
        <w:t>vyčíslení cen těchto oprav</w:t>
      </w:r>
    </w:p>
    <w:p w14:paraId="35015CF4" w14:textId="77777777" w:rsidR="004C6A4C" w:rsidRPr="004C6A4C" w:rsidRDefault="004C6A4C" w:rsidP="004C6A4C">
      <w:pPr>
        <w:numPr>
          <w:ilvl w:val="0"/>
          <w:numId w:val="12"/>
        </w:numPr>
        <w:suppressAutoHyphens w:val="0"/>
        <w:spacing w:before="60"/>
        <w:ind w:left="284" w:hanging="284"/>
        <w:jc w:val="both"/>
        <w:rPr>
          <w:szCs w:val="20"/>
        </w:rPr>
      </w:pPr>
      <w:r w:rsidRPr="004C6A4C">
        <w:rPr>
          <w:szCs w:val="20"/>
        </w:rPr>
        <w:t>odstraňování poruch a závad, případně opravy celých tiskáren a multifunkčních zařízení nebo jejich částí – frekvence dle konkrétních potřeb objednatele na základě objednávek</w:t>
      </w:r>
    </w:p>
    <w:p w14:paraId="1057BF2E" w14:textId="77777777" w:rsidR="004C6A4C" w:rsidRPr="004C6A4C" w:rsidRDefault="004C6A4C" w:rsidP="004C6A4C">
      <w:pPr>
        <w:numPr>
          <w:ilvl w:val="0"/>
          <w:numId w:val="12"/>
        </w:numPr>
        <w:suppressAutoHyphens w:val="0"/>
        <w:spacing w:before="60"/>
        <w:ind w:left="284" w:hanging="284"/>
        <w:jc w:val="both"/>
        <w:rPr>
          <w:szCs w:val="20"/>
        </w:rPr>
      </w:pPr>
      <w:r w:rsidRPr="004C6A4C">
        <w:rPr>
          <w:szCs w:val="20"/>
        </w:rPr>
        <w:t>servisní zásah v případě poruchy:</w:t>
      </w:r>
    </w:p>
    <w:p w14:paraId="114E0694" w14:textId="77777777" w:rsidR="004C6A4C" w:rsidRPr="004C6A4C" w:rsidRDefault="004C6A4C" w:rsidP="004C6A4C">
      <w:pPr>
        <w:numPr>
          <w:ilvl w:val="0"/>
          <w:numId w:val="43"/>
        </w:numPr>
        <w:suppressAutoHyphens w:val="0"/>
        <w:spacing w:before="60"/>
        <w:jc w:val="both"/>
        <w:rPr>
          <w:szCs w:val="20"/>
        </w:rPr>
      </w:pPr>
      <w:r w:rsidRPr="004C6A4C">
        <w:rPr>
          <w:szCs w:val="20"/>
        </w:rPr>
        <w:t>místo plnění Praha – do 5 pracovních dnů od doručení objednávky</w:t>
      </w:r>
    </w:p>
    <w:p w14:paraId="795F1E73" w14:textId="77777777" w:rsidR="004C6A4C" w:rsidRPr="004C6A4C" w:rsidRDefault="004C6A4C" w:rsidP="004C6A4C">
      <w:pPr>
        <w:numPr>
          <w:ilvl w:val="0"/>
          <w:numId w:val="43"/>
        </w:numPr>
        <w:suppressAutoHyphens w:val="0"/>
        <w:spacing w:before="60"/>
        <w:jc w:val="both"/>
        <w:rPr>
          <w:szCs w:val="20"/>
        </w:rPr>
      </w:pPr>
      <w:r w:rsidRPr="004C6A4C">
        <w:rPr>
          <w:szCs w:val="20"/>
        </w:rPr>
        <w:t>místo plnění mimopražská lokalita – do 7 pracovních dnů od doručení objednávky</w:t>
      </w:r>
    </w:p>
    <w:p w14:paraId="512014F1" w14:textId="77777777" w:rsidR="004C6A4C" w:rsidRPr="004C6A4C" w:rsidRDefault="004C6A4C" w:rsidP="004C6A4C">
      <w:pPr>
        <w:numPr>
          <w:ilvl w:val="0"/>
          <w:numId w:val="43"/>
        </w:numPr>
        <w:suppressAutoHyphens w:val="0"/>
        <w:spacing w:before="60"/>
        <w:jc w:val="both"/>
        <w:rPr>
          <w:szCs w:val="20"/>
        </w:rPr>
      </w:pPr>
      <w:r w:rsidRPr="004C6A4C">
        <w:rPr>
          <w:szCs w:val="20"/>
        </w:rPr>
        <w:t xml:space="preserve">doba může být po dohodě prodloužena </w:t>
      </w:r>
    </w:p>
    <w:p w14:paraId="56D0426F" w14:textId="77777777" w:rsidR="004C6A4C" w:rsidRPr="004C6A4C" w:rsidRDefault="004C6A4C" w:rsidP="004C6A4C">
      <w:pPr>
        <w:numPr>
          <w:ilvl w:val="0"/>
          <w:numId w:val="44"/>
        </w:numPr>
        <w:suppressAutoHyphens w:val="0"/>
        <w:spacing w:before="60"/>
        <w:ind w:left="284" w:hanging="284"/>
        <w:jc w:val="both"/>
        <w:rPr>
          <w:szCs w:val="20"/>
        </w:rPr>
      </w:pPr>
      <w:r w:rsidRPr="004C6A4C">
        <w:rPr>
          <w:szCs w:val="20"/>
        </w:rPr>
        <w:t>záruka na profylaxe nebo opravy tiskáren a multifunkčních zařízení požadována 6 měsíců od provedení servisu</w:t>
      </w:r>
    </w:p>
    <w:p w14:paraId="0E9170D9" w14:textId="77777777" w:rsidR="004C6A4C" w:rsidRPr="004C6A4C" w:rsidRDefault="004C6A4C" w:rsidP="004C6A4C">
      <w:pPr>
        <w:spacing w:before="120"/>
        <w:jc w:val="both"/>
        <w:rPr>
          <w:color w:val="000000"/>
          <w:szCs w:val="22"/>
        </w:rPr>
      </w:pPr>
    </w:p>
    <w:p w14:paraId="7CA2E41C" w14:textId="77777777" w:rsidR="004C6A4C" w:rsidRPr="004C6A4C" w:rsidRDefault="004C6A4C" w:rsidP="004C6A4C">
      <w:pPr>
        <w:spacing w:before="120"/>
        <w:jc w:val="both"/>
        <w:rPr>
          <w:color w:val="000000"/>
          <w:szCs w:val="22"/>
        </w:rPr>
      </w:pPr>
      <w:r w:rsidRPr="004C6A4C">
        <w:rPr>
          <w:color w:val="000000"/>
          <w:szCs w:val="22"/>
        </w:rPr>
        <w:t>Objednatel vlastní 3 typy tiskáren a multifunkčních zařízení:</w:t>
      </w:r>
    </w:p>
    <w:p w14:paraId="1015F79E" w14:textId="77777777" w:rsidR="004C6A4C" w:rsidRPr="004C6A4C" w:rsidRDefault="004C6A4C" w:rsidP="004C6A4C">
      <w:pPr>
        <w:spacing w:before="120"/>
        <w:jc w:val="both"/>
        <w:rPr>
          <w:b/>
          <w:color w:val="000000"/>
          <w:szCs w:val="22"/>
        </w:rPr>
      </w:pPr>
      <w:r w:rsidRPr="004C6A4C">
        <w:rPr>
          <w:b/>
          <w:color w:val="000000"/>
          <w:szCs w:val="22"/>
        </w:rPr>
        <w:t>1. velké tiskárny</w:t>
      </w:r>
    </w:p>
    <w:p w14:paraId="35C91C2D" w14:textId="77777777" w:rsidR="004C6A4C" w:rsidRPr="004C6A4C" w:rsidRDefault="004C6A4C" w:rsidP="004C6A4C">
      <w:pPr>
        <w:numPr>
          <w:ilvl w:val="0"/>
          <w:numId w:val="45"/>
        </w:numPr>
        <w:suppressAutoHyphens w:val="0"/>
        <w:spacing w:before="120"/>
        <w:ind w:left="568" w:hanging="284"/>
        <w:contextualSpacing/>
        <w:jc w:val="both"/>
        <w:rPr>
          <w:rFonts w:cs="Arial"/>
          <w:szCs w:val="22"/>
        </w:rPr>
      </w:pPr>
      <w:r w:rsidRPr="004C6A4C">
        <w:rPr>
          <w:color w:val="000000"/>
          <w:szCs w:val="22"/>
        </w:rPr>
        <w:t>síťové, zpravidla multifunkční zařízení, barevný tisk, paměť 2 GB, formát papíru A3, hmotnost nad 40 kg</w:t>
      </w:r>
    </w:p>
    <w:p w14:paraId="7F4AB187" w14:textId="77777777" w:rsidR="004C6A4C" w:rsidRPr="004C6A4C" w:rsidRDefault="004C6A4C" w:rsidP="004C6A4C">
      <w:pPr>
        <w:numPr>
          <w:ilvl w:val="0"/>
          <w:numId w:val="45"/>
        </w:numPr>
        <w:suppressAutoHyphens w:val="0"/>
        <w:spacing w:before="120"/>
        <w:ind w:left="568" w:hanging="284"/>
        <w:contextualSpacing/>
        <w:jc w:val="both"/>
        <w:rPr>
          <w:rFonts w:cs="Arial"/>
          <w:szCs w:val="22"/>
        </w:rPr>
      </w:pPr>
      <w:r w:rsidRPr="004C6A4C">
        <w:rPr>
          <w:b/>
          <w:color w:val="000000"/>
          <w:szCs w:val="22"/>
        </w:rPr>
        <w:t>např.:</w:t>
      </w:r>
      <w:r w:rsidRPr="004C6A4C">
        <w:rPr>
          <w:color w:val="000000"/>
          <w:szCs w:val="22"/>
        </w:rPr>
        <w:t xml:space="preserve"> </w:t>
      </w:r>
      <w:proofErr w:type="spellStart"/>
      <w:r w:rsidRPr="004C6A4C">
        <w:rPr>
          <w:color w:val="000000"/>
          <w:szCs w:val="22"/>
        </w:rPr>
        <w:t>TASKalfa</w:t>
      </w:r>
      <w:proofErr w:type="spellEnd"/>
      <w:r w:rsidRPr="004C6A4C">
        <w:rPr>
          <w:color w:val="000000"/>
          <w:szCs w:val="22"/>
        </w:rPr>
        <w:t xml:space="preserve"> 3050ci, </w:t>
      </w:r>
      <w:proofErr w:type="spellStart"/>
      <w:r w:rsidRPr="004C6A4C">
        <w:rPr>
          <w:color w:val="000000"/>
          <w:szCs w:val="22"/>
        </w:rPr>
        <w:t>TASKalfa</w:t>
      </w:r>
      <w:proofErr w:type="spellEnd"/>
      <w:r w:rsidRPr="004C6A4C">
        <w:rPr>
          <w:color w:val="000000"/>
          <w:szCs w:val="22"/>
        </w:rPr>
        <w:t xml:space="preserve"> 3151ci, </w:t>
      </w:r>
      <w:proofErr w:type="spellStart"/>
      <w:r w:rsidRPr="004C6A4C">
        <w:rPr>
          <w:color w:val="000000"/>
          <w:szCs w:val="22"/>
        </w:rPr>
        <w:t>TASKalfa</w:t>
      </w:r>
      <w:proofErr w:type="spellEnd"/>
      <w:r w:rsidRPr="004C6A4C">
        <w:rPr>
          <w:color w:val="000000"/>
          <w:szCs w:val="22"/>
        </w:rPr>
        <w:t xml:space="preserve"> 250ci, </w:t>
      </w:r>
      <w:proofErr w:type="spellStart"/>
      <w:r w:rsidRPr="004C6A4C">
        <w:rPr>
          <w:color w:val="000000"/>
          <w:szCs w:val="22"/>
        </w:rPr>
        <w:t>TASKalfa</w:t>
      </w:r>
      <w:proofErr w:type="spellEnd"/>
      <w:r w:rsidRPr="004C6A4C">
        <w:rPr>
          <w:color w:val="000000"/>
          <w:szCs w:val="22"/>
        </w:rPr>
        <w:t xml:space="preserve"> 2551ci, HP </w:t>
      </w:r>
      <w:proofErr w:type="spellStart"/>
      <w:r w:rsidRPr="004C6A4C">
        <w:rPr>
          <w:color w:val="000000"/>
          <w:szCs w:val="22"/>
        </w:rPr>
        <w:t>LaserJet</w:t>
      </w:r>
      <w:proofErr w:type="spellEnd"/>
      <w:r w:rsidRPr="004C6A4C">
        <w:rPr>
          <w:color w:val="000000"/>
          <w:szCs w:val="22"/>
        </w:rPr>
        <w:t xml:space="preserve"> 4050n, </w:t>
      </w:r>
      <w:proofErr w:type="spellStart"/>
      <w:r w:rsidRPr="004C6A4C">
        <w:rPr>
          <w:color w:val="000000"/>
          <w:szCs w:val="22"/>
        </w:rPr>
        <w:t>Nashuatec</w:t>
      </w:r>
      <w:proofErr w:type="spellEnd"/>
      <w:r w:rsidRPr="004C6A4C">
        <w:rPr>
          <w:color w:val="000000"/>
          <w:szCs w:val="22"/>
        </w:rPr>
        <w:t xml:space="preserve"> MPC2500</w:t>
      </w:r>
    </w:p>
    <w:p w14:paraId="6F89774F" w14:textId="77777777" w:rsidR="004C6A4C" w:rsidRPr="004C6A4C" w:rsidRDefault="004C6A4C" w:rsidP="004C6A4C">
      <w:pPr>
        <w:jc w:val="both"/>
        <w:rPr>
          <w:rFonts w:cs="Arial"/>
          <w:szCs w:val="22"/>
        </w:rPr>
      </w:pPr>
    </w:p>
    <w:p w14:paraId="07B307DD" w14:textId="77777777" w:rsidR="004C6A4C" w:rsidRPr="004C6A4C" w:rsidRDefault="004C6A4C" w:rsidP="004C6A4C">
      <w:pPr>
        <w:jc w:val="both"/>
        <w:rPr>
          <w:rFonts w:cs="Arial"/>
          <w:b/>
          <w:szCs w:val="22"/>
        </w:rPr>
      </w:pPr>
      <w:r w:rsidRPr="004C6A4C">
        <w:rPr>
          <w:rFonts w:cs="Arial"/>
          <w:b/>
          <w:szCs w:val="22"/>
        </w:rPr>
        <w:t>2. střední tiskárny</w:t>
      </w:r>
    </w:p>
    <w:p w14:paraId="7A416DFE" w14:textId="77777777" w:rsidR="004C6A4C" w:rsidRPr="004C6A4C" w:rsidRDefault="004C6A4C" w:rsidP="004C6A4C">
      <w:pPr>
        <w:numPr>
          <w:ilvl w:val="0"/>
          <w:numId w:val="41"/>
        </w:numPr>
        <w:suppressAutoHyphens w:val="0"/>
        <w:spacing w:before="120"/>
        <w:ind w:left="567" w:hanging="283"/>
        <w:contextualSpacing/>
        <w:jc w:val="both"/>
        <w:rPr>
          <w:rFonts w:cs="Arial"/>
          <w:szCs w:val="22"/>
        </w:rPr>
      </w:pPr>
      <w:r w:rsidRPr="004C6A4C">
        <w:rPr>
          <w:rFonts w:cs="Arial"/>
          <w:szCs w:val="22"/>
        </w:rPr>
        <w:t>síťové, zpravidla multifunkční zařízení, barevný tisk, paměť do 1 GB, hmotnost do 40 kg</w:t>
      </w:r>
    </w:p>
    <w:p w14:paraId="3B2598C4" w14:textId="77777777" w:rsidR="004C6A4C" w:rsidRPr="004C6A4C" w:rsidRDefault="004C6A4C" w:rsidP="004C6A4C">
      <w:pPr>
        <w:numPr>
          <w:ilvl w:val="0"/>
          <w:numId w:val="41"/>
        </w:numPr>
        <w:suppressAutoHyphens w:val="0"/>
        <w:spacing w:before="120"/>
        <w:ind w:left="567" w:hanging="283"/>
        <w:contextualSpacing/>
        <w:jc w:val="both"/>
        <w:rPr>
          <w:rFonts w:cs="Arial"/>
          <w:b/>
          <w:szCs w:val="22"/>
        </w:rPr>
      </w:pPr>
      <w:r w:rsidRPr="004C6A4C">
        <w:rPr>
          <w:rFonts w:cs="Arial"/>
          <w:b/>
          <w:szCs w:val="22"/>
        </w:rPr>
        <w:t xml:space="preserve">např.: </w:t>
      </w:r>
      <w:proofErr w:type="spellStart"/>
      <w:r w:rsidRPr="004C6A4C">
        <w:rPr>
          <w:rFonts w:cs="Arial"/>
          <w:szCs w:val="22"/>
        </w:rPr>
        <w:t>Kyocera</w:t>
      </w:r>
      <w:proofErr w:type="spellEnd"/>
      <w:r w:rsidRPr="004C6A4C">
        <w:rPr>
          <w:rFonts w:cs="Arial"/>
          <w:szCs w:val="22"/>
        </w:rPr>
        <w:t xml:space="preserve"> ECOSYS M6026CDN, </w:t>
      </w:r>
      <w:proofErr w:type="spellStart"/>
      <w:r w:rsidRPr="004C6A4C">
        <w:rPr>
          <w:rFonts w:cs="Arial"/>
          <w:szCs w:val="22"/>
        </w:rPr>
        <w:t>Kyocera</w:t>
      </w:r>
      <w:proofErr w:type="spellEnd"/>
      <w:r w:rsidRPr="004C6A4C">
        <w:rPr>
          <w:rFonts w:cs="Arial"/>
          <w:szCs w:val="22"/>
        </w:rPr>
        <w:t xml:space="preserve"> FA C2626MFP, Brother MFC 9970CDW, Triumf Adler P-C 2665MFP, HP LJ 2430, HP LJ CM 2320 </w:t>
      </w:r>
      <w:proofErr w:type="spellStart"/>
      <w:r w:rsidRPr="004C6A4C">
        <w:rPr>
          <w:rFonts w:cs="Arial"/>
          <w:szCs w:val="22"/>
        </w:rPr>
        <w:t>fxi</w:t>
      </w:r>
      <w:proofErr w:type="spellEnd"/>
      <w:r w:rsidRPr="004C6A4C">
        <w:rPr>
          <w:rFonts w:cs="Arial"/>
          <w:szCs w:val="22"/>
        </w:rPr>
        <w:t xml:space="preserve"> </w:t>
      </w:r>
      <w:proofErr w:type="spellStart"/>
      <w:r w:rsidRPr="004C6A4C">
        <w:rPr>
          <w:rFonts w:cs="Arial"/>
          <w:szCs w:val="22"/>
        </w:rPr>
        <w:t>mfp</w:t>
      </w:r>
      <w:proofErr w:type="spellEnd"/>
      <w:r w:rsidRPr="004C6A4C">
        <w:rPr>
          <w:rFonts w:cs="Arial"/>
          <w:szCs w:val="22"/>
        </w:rPr>
        <w:t>, HP LJ 2300dn</w:t>
      </w:r>
    </w:p>
    <w:p w14:paraId="2C627BD5" w14:textId="77777777" w:rsidR="004C6A4C" w:rsidRPr="004C6A4C" w:rsidRDefault="004C6A4C" w:rsidP="004C6A4C">
      <w:pPr>
        <w:jc w:val="both"/>
        <w:rPr>
          <w:rFonts w:cs="Arial"/>
          <w:szCs w:val="22"/>
        </w:rPr>
      </w:pPr>
    </w:p>
    <w:p w14:paraId="5935720B" w14:textId="77777777" w:rsidR="004C6A4C" w:rsidRPr="004C6A4C" w:rsidRDefault="004C6A4C" w:rsidP="004C6A4C">
      <w:pPr>
        <w:jc w:val="both"/>
        <w:rPr>
          <w:rFonts w:cs="Arial"/>
          <w:b/>
          <w:szCs w:val="22"/>
        </w:rPr>
      </w:pPr>
      <w:r w:rsidRPr="004C6A4C">
        <w:rPr>
          <w:rFonts w:cs="Arial"/>
          <w:b/>
          <w:szCs w:val="22"/>
        </w:rPr>
        <w:t>3. malé tiskárny</w:t>
      </w:r>
    </w:p>
    <w:p w14:paraId="7264FDC3" w14:textId="77777777" w:rsidR="004C6A4C" w:rsidRPr="004C6A4C" w:rsidRDefault="004C6A4C" w:rsidP="004C6A4C">
      <w:pPr>
        <w:numPr>
          <w:ilvl w:val="0"/>
          <w:numId w:val="42"/>
        </w:numPr>
        <w:suppressAutoHyphens w:val="0"/>
        <w:spacing w:before="120"/>
        <w:ind w:left="568" w:hanging="284"/>
        <w:contextualSpacing/>
        <w:jc w:val="both"/>
        <w:rPr>
          <w:rFonts w:cs="Arial"/>
          <w:b/>
          <w:szCs w:val="22"/>
        </w:rPr>
      </w:pPr>
      <w:r w:rsidRPr="004C6A4C">
        <w:rPr>
          <w:rFonts w:cs="Arial"/>
          <w:szCs w:val="22"/>
        </w:rPr>
        <w:t>zpravidla lokální tiskárna, paměť do 256 MB, hmotnost do 10 kg</w:t>
      </w:r>
    </w:p>
    <w:p w14:paraId="27682604" w14:textId="77777777" w:rsidR="004C6A4C" w:rsidRPr="004C6A4C" w:rsidRDefault="004C6A4C" w:rsidP="004C6A4C">
      <w:pPr>
        <w:numPr>
          <w:ilvl w:val="0"/>
          <w:numId w:val="42"/>
        </w:numPr>
        <w:suppressAutoHyphens w:val="0"/>
        <w:spacing w:before="120"/>
        <w:ind w:left="568" w:hanging="284"/>
        <w:contextualSpacing/>
        <w:jc w:val="both"/>
        <w:rPr>
          <w:rFonts w:cs="Arial"/>
          <w:b/>
          <w:szCs w:val="22"/>
        </w:rPr>
      </w:pPr>
      <w:r w:rsidRPr="004C6A4C">
        <w:rPr>
          <w:rFonts w:cs="Arial"/>
          <w:b/>
          <w:szCs w:val="22"/>
        </w:rPr>
        <w:t>např.:</w:t>
      </w:r>
      <w:r w:rsidRPr="004C6A4C">
        <w:rPr>
          <w:rFonts w:cs="Arial"/>
          <w:szCs w:val="22"/>
        </w:rPr>
        <w:t xml:space="preserve"> </w:t>
      </w:r>
      <w:proofErr w:type="spellStart"/>
      <w:r w:rsidRPr="004C6A4C">
        <w:rPr>
          <w:rFonts w:cs="Arial"/>
          <w:szCs w:val="22"/>
        </w:rPr>
        <w:t>Kyocera</w:t>
      </w:r>
      <w:proofErr w:type="spellEnd"/>
      <w:r w:rsidRPr="004C6A4C">
        <w:rPr>
          <w:rFonts w:cs="Arial"/>
          <w:szCs w:val="22"/>
        </w:rPr>
        <w:t xml:space="preserve"> FS-1370DN, HP LJ Pro M125nw, EPSON L550, EPSON LQ 680 Pro, HP LJ 1320n, HP LJ 1022</w:t>
      </w:r>
    </w:p>
    <w:p w14:paraId="61872AD0" w14:textId="77777777" w:rsidR="004C6A4C" w:rsidRPr="004C6A4C" w:rsidRDefault="004C6A4C" w:rsidP="004C6A4C">
      <w:pPr>
        <w:spacing w:before="120"/>
        <w:jc w:val="both"/>
        <w:rPr>
          <w:rFonts w:cs="Arial"/>
          <w:b/>
          <w:szCs w:val="22"/>
        </w:rPr>
      </w:pPr>
    </w:p>
    <w:p w14:paraId="17C7756A" w14:textId="198252B8" w:rsidR="00696A79" w:rsidRPr="00696A79" w:rsidRDefault="004C6A4C" w:rsidP="004C6A4C">
      <w:pPr>
        <w:spacing w:before="120"/>
        <w:jc w:val="both"/>
        <w:rPr>
          <w:rFonts w:cs="Arial"/>
          <w:b/>
          <w:szCs w:val="22"/>
        </w:rPr>
      </w:pPr>
      <w:r w:rsidRPr="004C6A4C">
        <w:rPr>
          <w:rFonts w:cs="Arial"/>
          <w:b/>
          <w:szCs w:val="22"/>
        </w:rPr>
        <w:t>Objednatel upozorňuje, že kromě výše uvedených typů tiskáren si vyhrazuje právo na servis dalších typů tiskáren a multifunkčních zařízení výše neuvedených.</w:t>
      </w:r>
    </w:p>
    <w:sectPr w:rsidR="00696A79" w:rsidRPr="00696A79" w:rsidSect="00B662D0"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C612" w14:textId="77777777" w:rsidR="004C3322" w:rsidRDefault="004C3322">
      <w:r>
        <w:separator/>
      </w:r>
    </w:p>
  </w:endnote>
  <w:endnote w:type="continuationSeparator" w:id="0">
    <w:p w14:paraId="7D9ACF1B" w14:textId="77777777" w:rsidR="004C3322" w:rsidRDefault="004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57B68B1E" w:rsidR="004C3322" w:rsidRDefault="004C3322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A5DD5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r w:rsidR="00FA5DD5">
      <w:fldChar w:fldCharType="begin"/>
    </w:r>
    <w:r w:rsidR="00FA5DD5">
      <w:instrText xml:space="preserve"> NUMPAGES \*Arabic </w:instrText>
    </w:r>
    <w:r w:rsidR="00FA5DD5">
      <w:fldChar w:fldCharType="separate"/>
    </w:r>
    <w:r w:rsidR="00FA5DD5">
      <w:rPr>
        <w:noProof/>
      </w:rPr>
      <w:t>15</w:t>
    </w:r>
    <w:r w:rsidR="00FA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62513931"/>
      <w:docPartObj>
        <w:docPartGallery w:val="Page Numbers (Top of Page)"/>
        <w:docPartUnique/>
      </w:docPartObj>
    </w:sdtPr>
    <w:sdtEndPr/>
    <w:sdtContent>
      <w:p w14:paraId="60A9BF39" w14:textId="77777777" w:rsidR="004C3322" w:rsidRDefault="00FA5DD5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6B19C991" w14:textId="77777777" w:rsidR="004C3322" w:rsidRDefault="004C3322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2A7E9BEA" w:rsidR="004C3322" w:rsidRPr="00E33766" w:rsidRDefault="004C3322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FA5DD5">
          <w:rPr>
            <w:noProof/>
            <w:sz w:val="20"/>
            <w:szCs w:val="20"/>
          </w:rPr>
          <w:t>15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FA5DD5">
          <w:rPr>
            <w:noProof/>
            <w:sz w:val="20"/>
            <w:szCs w:val="20"/>
          </w:rPr>
          <w:t>15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4C3322" w:rsidRPr="00E33766" w:rsidRDefault="004C3322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BD0E" w14:textId="77777777" w:rsidR="004C3322" w:rsidRDefault="004C3322">
      <w:r>
        <w:separator/>
      </w:r>
    </w:p>
  </w:footnote>
  <w:footnote w:type="continuationSeparator" w:id="0">
    <w:p w14:paraId="72348080" w14:textId="77777777" w:rsidR="004C3322" w:rsidRDefault="004C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77777777" w:rsidR="004C3322" w:rsidRPr="008B491C" w:rsidRDefault="004C3322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3C1D040A" w14:textId="05FFA8F7" w:rsidR="004C3322" w:rsidRPr="00C06A69" w:rsidRDefault="004C3322" w:rsidP="0026714B">
    <w:pPr>
      <w:pStyle w:val="Zhlav"/>
      <w:pBdr>
        <w:bottom w:val="single" w:sz="6" w:space="1" w:color="auto"/>
      </w:pBdr>
    </w:pPr>
    <w:r>
      <w:t>17-129 Servis tiskáren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05225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7</w:t>
    </w:r>
    <w:r w:rsidRPr="00642F32">
      <w:rPr>
        <w:rFonts w:cs="Arial"/>
        <w:szCs w:val="22"/>
      </w:rPr>
      <w:t>-SSHR</w:t>
    </w:r>
  </w:p>
  <w:p w14:paraId="4030C142" w14:textId="77777777" w:rsidR="004C3322" w:rsidRPr="0026714B" w:rsidRDefault="004C3322" w:rsidP="0026714B">
    <w:pPr>
      <w:pStyle w:val="Zhlav"/>
    </w:pPr>
  </w:p>
  <w:p w14:paraId="2972E1B6" w14:textId="77777777" w:rsidR="004C3322" w:rsidRPr="00581B8A" w:rsidRDefault="004C3322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77777777" w:rsidR="004C3322" w:rsidRPr="008B491C" w:rsidRDefault="004C3322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65300FE2" w14:textId="00224EFE" w:rsidR="004C3322" w:rsidRPr="00C06A69" w:rsidRDefault="004C3322" w:rsidP="0026714B">
    <w:pPr>
      <w:pStyle w:val="Zhlav"/>
      <w:pBdr>
        <w:bottom w:val="single" w:sz="6" w:space="1" w:color="auto"/>
      </w:pBdr>
    </w:pPr>
    <w:r>
      <w:t>1</w:t>
    </w:r>
    <w:r w:rsidRPr="00606131">
      <w:t>7-</w:t>
    </w:r>
    <w:r>
      <w:t>129 Servis tiskáren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05225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7</w:t>
    </w:r>
    <w:r w:rsidRPr="00642F32">
      <w:rPr>
        <w:rFonts w:cs="Arial"/>
        <w:szCs w:val="22"/>
      </w:rPr>
      <w:t>-SSHR</w:t>
    </w:r>
  </w:p>
  <w:p w14:paraId="7FDE44DD" w14:textId="77777777" w:rsidR="004C3322" w:rsidRPr="0026714B" w:rsidRDefault="004C3322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77777777" w:rsidR="004C3322" w:rsidRPr="008B491C" w:rsidRDefault="004C3322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0CD7C078" w14:textId="5A8E1127" w:rsidR="004C3322" w:rsidRPr="00C06A69" w:rsidRDefault="004C3322" w:rsidP="0026714B">
    <w:pPr>
      <w:pStyle w:val="Zhlav"/>
      <w:pBdr>
        <w:bottom w:val="single" w:sz="6" w:space="1" w:color="auto"/>
      </w:pBdr>
    </w:pPr>
    <w:r>
      <w:t>17-129 Servis tiskáren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05225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7</w:t>
    </w:r>
    <w:r w:rsidRPr="00642F32">
      <w:rPr>
        <w:rFonts w:cs="Arial"/>
        <w:szCs w:val="22"/>
      </w:rPr>
      <w:t>-SSHR</w:t>
    </w:r>
  </w:p>
  <w:p w14:paraId="4BFF6A20" w14:textId="77777777" w:rsidR="004C3322" w:rsidRPr="0026714B" w:rsidRDefault="004C3322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2332772C"/>
    <w:multiLevelType w:val="hybridMultilevel"/>
    <w:tmpl w:val="B87A94EA"/>
    <w:lvl w:ilvl="0" w:tplc="E258F6EC">
      <w:start w:val="17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6332716"/>
    <w:multiLevelType w:val="hybridMultilevel"/>
    <w:tmpl w:val="4D4017D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72B4497"/>
    <w:multiLevelType w:val="hybridMultilevel"/>
    <w:tmpl w:val="50F4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C8B19E9"/>
    <w:multiLevelType w:val="multilevel"/>
    <w:tmpl w:val="AAB0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B4C6F"/>
    <w:multiLevelType w:val="multilevel"/>
    <w:tmpl w:val="8ED2A600"/>
    <w:styleLink w:val="Styl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0863B36"/>
    <w:multiLevelType w:val="multilevel"/>
    <w:tmpl w:val="A1C4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59F571C"/>
    <w:multiLevelType w:val="multilevel"/>
    <w:tmpl w:val="B84CD44A"/>
    <w:styleLink w:val="Styl1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557AF7"/>
    <w:multiLevelType w:val="hybridMultilevel"/>
    <w:tmpl w:val="717AC6D4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2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C9C0672"/>
    <w:multiLevelType w:val="multilevel"/>
    <w:tmpl w:val="8ED2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0876034"/>
    <w:multiLevelType w:val="multilevel"/>
    <w:tmpl w:val="FFC24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647C3024"/>
    <w:multiLevelType w:val="hybridMultilevel"/>
    <w:tmpl w:val="397EF3DC"/>
    <w:lvl w:ilvl="0" w:tplc="E258F6EC">
      <w:start w:val="1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75053A"/>
    <w:multiLevelType w:val="multilevel"/>
    <w:tmpl w:val="2180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5B77605"/>
    <w:multiLevelType w:val="hybridMultilevel"/>
    <w:tmpl w:val="F31C3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313984"/>
    <w:multiLevelType w:val="multilevel"/>
    <w:tmpl w:val="0D8C0B6A"/>
    <w:lvl w:ilvl="0">
      <w:start w:val="1"/>
      <w:numFmt w:val="none"/>
      <w:lvlText w:val="6."/>
      <w:lvlJc w:val="left"/>
      <w:pPr>
        <w:ind w:left="357" w:hanging="357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7.1."/>
      <w:lvlJc w:val="left"/>
      <w:pPr>
        <w:ind w:left="357" w:hanging="357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3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9A23FB"/>
    <w:multiLevelType w:val="multilevel"/>
    <w:tmpl w:val="E512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5394BB3"/>
    <w:multiLevelType w:val="multilevel"/>
    <w:tmpl w:val="B41C16FE"/>
    <w:styleLink w:val="Styl16"/>
    <w:lvl w:ilvl="0">
      <w:start w:val="1"/>
      <w:numFmt w:val="none"/>
      <w:lvlText w:val="6."/>
      <w:lvlJc w:val="left"/>
      <w:pPr>
        <w:ind w:left="357" w:hanging="357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2."/>
      <w:lvlJc w:val="left"/>
      <w:pPr>
        <w:ind w:left="357" w:hanging="357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6" w15:restartNumberingAfterBreak="0">
    <w:nsid w:val="78787366"/>
    <w:multiLevelType w:val="multilevel"/>
    <w:tmpl w:val="B41C16FE"/>
    <w:lvl w:ilvl="0">
      <w:start w:val="1"/>
      <w:numFmt w:val="none"/>
      <w:lvlText w:val="6."/>
      <w:lvlJc w:val="left"/>
      <w:pPr>
        <w:ind w:left="357" w:hanging="357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2."/>
      <w:lvlJc w:val="left"/>
      <w:pPr>
        <w:ind w:left="357" w:hanging="357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7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D893C77"/>
    <w:multiLevelType w:val="multilevel"/>
    <w:tmpl w:val="0405001D"/>
    <w:styleLink w:val="Styl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1"/>
  </w:num>
  <w:num w:numId="3">
    <w:abstractNumId w:val="32"/>
  </w:num>
  <w:num w:numId="4">
    <w:abstractNumId w:val="61"/>
  </w:num>
  <w:num w:numId="5">
    <w:abstractNumId w:val="25"/>
  </w:num>
  <w:num w:numId="6">
    <w:abstractNumId w:val="41"/>
  </w:num>
  <w:num w:numId="7">
    <w:abstractNumId w:val="34"/>
  </w:num>
  <w:num w:numId="8">
    <w:abstractNumId w:val="63"/>
  </w:num>
  <w:num w:numId="9">
    <w:abstractNumId w:val="27"/>
  </w:num>
  <w:num w:numId="10">
    <w:abstractNumId w:val="37"/>
  </w:num>
  <w:num w:numId="11">
    <w:abstractNumId w:val="56"/>
  </w:num>
  <w:num w:numId="12">
    <w:abstractNumId w:val="33"/>
  </w:num>
  <w:num w:numId="13">
    <w:abstractNumId w:val="60"/>
  </w:num>
  <w:num w:numId="14">
    <w:abstractNumId w:val="67"/>
  </w:num>
  <w:num w:numId="15">
    <w:abstractNumId w:val="31"/>
  </w:num>
  <w:num w:numId="16">
    <w:abstractNumId w:val="29"/>
  </w:num>
  <w:num w:numId="17">
    <w:abstractNumId w:val="26"/>
  </w:num>
  <w:num w:numId="18">
    <w:abstractNumId w:val="47"/>
  </w:num>
  <w:num w:numId="19">
    <w:abstractNumId w:val="52"/>
  </w:num>
  <w:num w:numId="20">
    <w:abstractNumId w:val="48"/>
  </w:num>
  <w:num w:numId="21">
    <w:abstractNumId w:val="39"/>
  </w:num>
  <w:num w:numId="22">
    <w:abstractNumId w:val="49"/>
  </w:num>
  <w:num w:numId="23">
    <w:abstractNumId w:val="35"/>
  </w:num>
  <w:num w:numId="24">
    <w:abstractNumId w:val="44"/>
  </w:num>
  <w:num w:numId="25">
    <w:abstractNumId w:val="64"/>
  </w:num>
  <w:num w:numId="26">
    <w:abstractNumId w:val="53"/>
  </w:num>
  <w:num w:numId="27">
    <w:abstractNumId w:val="28"/>
  </w:num>
  <w:num w:numId="28">
    <w:abstractNumId w:val="54"/>
  </w:num>
  <w:num w:numId="29">
    <w:abstractNumId w:val="43"/>
  </w:num>
  <w:num w:numId="30">
    <w:abstractNumId w:val="40"/>
  </w:num>
  <w:num w:numId="31">
    <w:abstractNumId w:val="58"/>
  </w:num>
  <w:num w:numId="32">
    <w:abstractNumId w:val="50"/>
  </w:num>
  <w:num w:numId="33">
    <w:abstractNumId w:val="30"/>
  </w:num>
  <w:num w:numId="34">
    <w:abstractNumId w:val="45"/>
  </w:num>
  <w:num w:numId="35">
    <w:abstractNumId w:val="55"/>
  </w:num>
  <w:num w:numId="36">
    <w:abstractNumId w:val="42"/>
  </w:num>
  <w:num w:numId="37">
    <w:abstractNumId w:val="66"/>
  </w:num>
  <w:num w:numId="38">
    <w:abstractNumId w:val="68"/>
  </w:num>
  <w:num w:numId="39">
    <w:abstractNumId w:val="65"/>
  </w:num>
  <w:num w:numId="40">
    <w:abstractNumId w:val="62"/>
  </w:num>
  <w:num w:numId="41">
    <w:abstractNumId w:val="59"/>
  </w:num>
  <w:num w:numId="42">
    <w:abstractNumId w:val="38"/>
  </w:num>
  <w:num w:numId="43">
    <w:abstractNumId w:val="46"/>
  </w:num>
  <w:num w:numId="44">
    <w:abstractNumId w:val="57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DB7"/>
    <w:rsid w:val="0001393C"/>
    <w:rsid w:val="00013C5E"/>
    <w:rsid w:val="00014488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5777"/>
    <w:rsid w:val="000565F7"/>
    <w:rsid w:val="000607F3"/>
    <w:rsid w:val="00060C74"/>
    <w:rsid w:val="00060DFF"/>
    <w:rsid w:val="0006106A"/>
    <w:rsid w:val="00061305"/>
    <w:rsid w:val="00061A18"/>
    <w:rsid w:val="0006281A"/>
    <w:rsid w:val="00064C16"/>
    <w:rsid w:val="000654F0"/>
    <w:rsid w:val="000748F7"/>
    <w:rsid w:val="00074E2F"/>
    <w:rsid w:val="000750A0"/>
    <w:rsid w:val="000752B1"/>
    <w:rsid w:val="00076731"/>
    <w:rsid w:val="00076D36"/>
    <w:rsid w:val="00080335"/>
    <w:rsid w:val="00080672"/>
    <w:rsid w:val="00082E9C"/>
    <w:rsid w:val="00082FF8"/>
    <w:rsid w:val="000858F1"/>
    <w:rsid w:val="00085DE9"/>
    <w:rsid w:val="00086B08"/>
    <w:rsid w:val="00087952"/>
    <w:rsid w:val="00091CF1"/>
    <w:rsid w:val="000920FA"/>
    <w:rsid w:val="000947E2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1B25"/>
    <w:rsid w:val="000B3725"/>
    <w:rsid w:val="000B663D"/>
    <w:rsid w:val="000C04EE"/>
    <w:rsid w:val="000C1D3B"/>
    <w:rsid w:val="000C1F70"/>
    <w:rsid w:val="000C31A2"/>
    <w:rsid w:val="000C37AC"/>
    <w:rsid w:val="000C3B35"/>
    <w:rsid w:val="000C3F91"/>
    <w:rsid w:val="000C599F"/>
    <w:rsid w:val="000C5FBE"/>
    <w:rsid w:val="000C6FE3"/>
    <w:rsid w:val="000D0B91"/>
    <w:rsid w:val="000D14B7"/>
    <w:rsid w:val="000D2E94"/>
    <w:rsid w:val="000D4C4A"/>
    <w:rsid w:val="000D57EC"/>
    <w:rsid w:val="000D6154"/>
    <w:rsid w:val="000D7713"/>
    <w:rsid w:val="000E1BA0"/>
    <w:rsid w:val="000E4434"/>
    <w:rsid w:val="000E6D82"/>
    <w:rsid w:val="000F1650"/>
    <w:rsid w:val="000F67EF"/>
    <w:rsid w:val="000F7C57"/>
    <w:rsid w:val="001003D1"/>
    <w:rsid w:val="00101865"/>
    <w:rsid w:val="001032DE"/>
    <w:rsid w:val="00103EBE"/>
    <w:rsid w:val="001063EF"/>
    <w:rsid w:val="0010748E"/>
    <w:rsid w:val="00107882"/>
    <w:rsid w:val="00110321"/>
    <w:rsid w:val="00110388"/>
    <w:rsid w:val="001152D8"/>
    <w:rsid w:val="00115A63"/>
    <w:rsid w:val="001161B0"/>
    <w:rsid w:val="0011666A"/>
    <w:rsid w:val="00124497"/>
    <w:rsid w:val="0013580E"/>
    <w:rsid w:val="00137517"/>
    <w:rsid w:val="001376DE"/>
    <w:rsid w:val="001449A5"/>
    <w:rsid w:val="00144E15"/>
    <w:rsid w:val="00150D97"/>
    <w:rsid w:val="00151487"/>
    <w:rsid w:val="00153364"/>
    <w:rsid w:val="0015650F"/>
    <w:rsid w:val="00157FE2"/>
    <w:rsid w:val="00160B52"/>
    <w:rsid w:val="00160F99"/>
    <w:rsid w:val="0016183E"/>
    <w:rsid w:val="001633AD"/>
    <w:rsid w:val="00163D74"/>
    <w:rsid w:val="0016511E"/>
    <w:rsid w:val="0016613F"/>
    <w:rsid w:val="00166734"/>
    <w:rsid w:val="001668BD"/>
    <w:rsid w:val="001670F9"/>
    <w:rsid w:val="00167D39"/>
    <w:rsid w:val="00167ED6"/>
    <w:rsid w:val="0017046A"/>
    <w:rsid w:val="00173052"/>
    <w:rsid w:val="001752CE"/>
    <w:rsid w:val="00176114"/>
    <w:rsid w:val="00177201"/>
    <w:rsid w:val="001803D6"/>
    <w:rsid w:val="001836C1"/>
    <w:rsid w:val="00183F57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32E2"/>
    <w:rsid w:val="001A51C1"/>
    <w:rsid w:val="001A645D"/>
    <w:rsid w:val="001B064D"/>
    <w:rsid w:val="001B1D9D"/>
    <w:rsid w:val="001B21F9"/>
    <w:rsid w:val="001B2307"/>
    <w:rsid w:val="001B55C7"/>
    <w:rsid w:val="001B6541"/>
    <w:rsid w:val="001B6E3F"/>
    <w:rsid w:val="001B718E"/>
    <w:rsid w:val="001B74F2"/>
    <w:rsid w:val="001C19C9"/>
    <w:rsid w:val="001C26E3"/>
    <w:rsid w:val="001C2C89"/>
    <w:rsid w:val="001D611A"/>
    <w:rsid w:val="001D7A45"/>
    <w:rsid w:val="001E0951"/>
    <w:rsid w:val="001E213B"/>
    <w:rsid w:val="001E24AE"/>
    <w:rsid w:val="001E3F69"/>
    <w:rsid w:val="001E4158"/>
    <w:rsid w:val="001E54D7"/>
    <w:rsid w:val="001E5D32"/>
    <w:rsid w:val="001E71F6"/>
    <w:rsid w:val="001E72EB"/>
    <w:rsid w:val="001F1FA0"/>
    <w:rsid w:val="001F2624"/>
    <w:rsid w:val="001F4D56"/>
    <w:rsid w:val="001F6BF1"/>
    <w:rsid w:val="001F71B8"/>
    <w:rsid w:val="002008E1"/>
    <w:rsid w:val="00203394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31953"/>
    <w:rsid w:val="00232136"/>
    <w:rsid w:val="0023370E"/>
    <w:rsid w:val="00235704"/>
    <w:rsid w:val="002409FC"/>
    <w:rsid w:val="00241A42"/>
    <w:rsid w:val="00241C6A"/>
    <w:rsid w:val="00241D69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7039"/>
    <w:rsid w:val="00257516"/>
    <w:rsid w:val="002634BB"/>
    <w:rsid w:val="002666BA"/>
    <w:rsid w:val="0026714B"/>
    <w:rsid w:val="00267DD4"/>
    <w:rsid w:val="0027441F"/>
    <w:rsid w:val="00275B31"/>
    <w:rsid w:val="00275C52"/>
    <w:rsid w:val="00277CBA"/>
    <w:rsid w:val="00281895"/>
    <w:rsid w:val="00285604"/>
    <w:rsid w:val="00287965"/>
    <w:rsid w:val="00291C4E"/>
    <w:rsid w:val="0029291A"/>
    <w:rsid w:val="00292A40"/>
    <w:rsid w:val="0029673D"/>
    <w:rsid w:val="00296CCC"/>
    <w:rsid w:val="00296F2F"/>
    <w:rsid w:val="002A0380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C78"/>
    <w:rsid w:val="002B6D18"/>
    <w:rsid w:val="002C070D"/>
    <w:rsid w:val="002C1052"/>
    <w:rsid w:val="002C1E3A"/>
    <w:rsid w:val="002C299F"/>
    <w:rsid w:val="002C3357"/>
    <w:rsid w:val="002C60BA"/>
    <w:rsid w:val="002C639A"/>
    <w:rsid w:val="002C69B0"/>
    <w:rsid w:val="002C7EE2"/>
    <w:rsid w:val="002D1FDE"/>
    <w:rsid w:val="002D200E"/>
    <w:rsid w:val="002D2024"/>
    <w:rsid w:val="002D209D"/>
    <w:rsid w:val="002D34BE"/>
    <w:rsid w:val="002D3956"/>
    <w:rsid w:val="002D46E9"/>
    <w:rsid w:val="002D56B1"/>
    <w:rsid w:val="002D6928"/>
    <w:rsid w:val="002D6EDF"/>
    <w:rsid w:val="002D79EA"/>
    <w:rsid w:val="002D7CA9"/>
    <w:rsid w:val="002E3AF1"/>
    <w:rsid w:val="002E65A5"/>
    <w:rsid w:val="002E7E98"/>
    <w:rsid w:val="002F2A01"/>
    <w:rsid w:val="002F30E3"/>
    <w:rsid w:val="002F34FB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4BE1"/>
    <w:rsid w:val="003163A9"/>
    <w:rsid w:val="00316706"/>
    <w:rsid w:val="00316787"/>
    <w:rsid w:val="003238D9"/>
    <w:rsid w:val="00323EE2"/>
    <w:rsid w:val="003276EB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4A95"/>
    <w:rsid w:val="003451E1"/>
    <w:rsid w:val="0034589D"/>
    <w:rsid w:val="00355728"/>
    <w:rsid w:val="003557E1"/>
    <w:rsid w:val="00356AB6"/>
    <w:rsid w:val="00357558"/>
    <w:rsid w:val="00357B3F"/>
    <w:rsid w:val="00360119"/>
    <w:rsid w:val="00363AD7"/>
    <w:rsid w:val="0036425B"/>
    <w:rsid w:val="0036658F"/>
    <w:rsid w:val="00367888"/>
    <w:rsid w:val="00372B10"/>
    <w:rsid w:val="00382E10"/>
    <w:rsid w:val="00383C32"/>
    <w:rsid w:val="003853F0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2D1"/>
    <w:rsid w:val="003A7478"/>
    <w:rsid w:val="003B243F"/>
    <w:rsid w:val="003B30B3"/>
    <w:rsid w:val="003B50FC"/>
    <w:rsid w:val="003B5586"/>
    <w:rsid w:val="003B7AED"/>
    <w:rsid w:val="003C1CD1"/>
    <w:rsid w:val="003C79B3"/>
    <w:rsid w:val="003C7BB1"/>
    <w:rsid w:val="003D0B2C"/>
    <w:rsid w:val="003D13B2"/>
    <w:rsid w:val="003D321E"/>
    <w:rsid w:val="003D36A0"/>
    <w:rsid w:val="003D6E98"/>
    <w:rsid w:val="003E224D"/>
    <w:rsid w:val="003E2F4F"/>
    <w:rsid w:val="003E729B"/>
    <w:rsid w:val="003E737B"/>
    <w:rsid w:val="003F050C"/>
    <w:rsid w:val="003F1B64"/>
    <w:rsid w:val="003F3A36"/>
    <w:rsid w:val="003F6B81"/>
    <w:rsid w:val="003F7209"/>
    <w:rsid w:val="004106B0"/>
    <w:rsid w:val="00411E46"/>
    <w:rsid w:val="00412DCC"/>
    <w:rsid w:val="00416C3E"/>
    <w:rsid w:val="00421D21"/>
    <w:rsid w:val="00422B09"/>
    <w:rsid w:val="00422D30"/>
    <w:rsid w:val="00425052"/>
    <w:rsid w:val="0043096C"/>
    <w:rsid w:val="00430AFB"/>
    <w:rsid w:val="00431DD9"/>
    <w:rsid w:val="00432FA5"/>
    <w:rsid w:val="00433024"/>
    <w:rsid w:val="0043306A"/>
    <w:rsid w:val="00433AC7"/>
    <w:rsid w:val="00433DA6"/>
    <w:rsid w:val="00435786"/>
    <w:rsid w:val="00436422"/>
    <w:rsid w:val="004404A4"/>
    <w:rsid w:val="00441D62"/>
    <w:rsid w:val="00442133"/>
    <w:rsid w:val="0044620C"/>
    <w:rsid w:val="00452440"/>
    <w:rsid w:val="00453E9A"/>
    <w:rsid w:val="00454263"/>
    <w:rsid w:val="004644EF"/>
    <w:rsid w:val="004650BF"/>
    <w:rsid w:val="00465EDF"/>
    <w:rsid w:val="00466163"/>
    <w:rsid w:val="004664AD"/>
    <w:rsid w:val="004671E8"/>
    <w:rsid w:val="004678D2"/>
    <w:rsid w:val="00471805"/>
    <w:rsid w:val="00473966"/>
    <w:rsid w:val="00474AE4"/>
    <w:rsid w:val="00476416"/>
    <w:rsid w:val="00476907"/>
    <w:rsid w:val="00481C8E"/>
    <w:rsid w:val="00483FAC"/>
    <w:rsid w:val="00485A13"/>
    <w:rsid w:val="00490458"/>
    <w:rsid w:val="00492D5B"/>
    <w:rsid w:val="00494488"/>
    <w:rsid w:val="00494E91"/>
    <w:rsid w:val="00496939"/>
    <w:rsid w:val="004A11E1"/>
    <w:rsid w:val="004A7B01"/>
    <w:rsid w:val="004A7E60"/>
    <w:rsid w:val="004B101E"/>
    <w:rsid w:val="004B14C4"/>
    <w:rsid w:val="004B325A"/>
    <w:rsid w:val="004B6F7E"/>
    <w:rsid w:val="004B7618"/>
    <w:rsid w:val="004C0728"/>
    <w:rsid w:val="004C3322"/>
    <w:rsid w:val="004C340E"/>
    <w:rsid w:val="004C4040"/>
    <w:rsid w:val="004C653B"/>
    <w:rsid w:val="004C6A4C"/>
    <w:rsid w:val="004C6CCF"/>
    <w:rsid w:val="004D098F"/>
    <w:rsid w:val="004D1A24"/>
    <w:rsid w:val="004D2BBD"/>
    <w:rsid w:val="004D76B5"/>
    <w:rsid w:val="004E105B"/>
    <w:rsid w:val="004F1905"/>
    <w:rsid w:val="004F1D58"/>
    <w:rsid w:val="004F2AD8"/>
    <w:rsid w:val="004F346A"/>
    <w:rsid w:val="005003E8"/>
    <w:rsid w:val="005024D8"/>
    <w:rsid w:val="0050279C"/>
    <w:rsid w:val="00503842"/>
    <w:rsid w:val="005061D9"/>
    <w:rsid w:val="00506A05"/>
    <w:rsid w:val="00510C3F"/>
    <w:rsid w:val="00511464"/>
    <w:rsid w:val="0051166D"/>
    <w:rsid w:val="00511D12"/>
    <w:rsid w:val="00512425"/>
    <w:rsid w:val="005127F5"/>
    <w:rsid w:val="00513206"/>
    <w:rsid w:val="00513FA8"/>
    <w:rsid w:val="005143AB"/>
    <w:rsid w:val="00515322"/>
    <w:rsid w:val="00516E58"/>
    <w:rsid w:val="00517040"/>
    <w:rsid w:val="00517C67"/>
    <w:rsid w:val="00517DD7"/>
    <w:rsid w:val="00522D7A"/>
    <w:rsid w:val="005263FE"/>
    <w:rsid w:val="00527BB5"/>
    <w:rsid w:val="0053272A"/>
    <w:rsid w:val="005337B8"/>
    <w:rsid w:val="00533D06"/>
    <w:rsid w:val="0053436C"/>
    <w:rsid w:val="00535026"/>
    <w:rsid w:val="00535384"/>
    <w:rsid w:val="00540C7C"/>
    <w:rsid w:val="0054109E"/>
    <w:rsid w:val="005426BE"/>
    <w:rsid w:val="00544B9E"/>
    <w:rsid w:val="00546210"/>
    <w:rsid w:val="0054716C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28E2"/>
    <w:rsid w:val="00576716"/>
    <w:rsid w:val="00581B12"/>
    <w:rsid w:val="00581B8A"/>
    <w:rsid w:val="005855C1"/>
    <w:rsid w:val="005868AB"/>
    <w:rsid w:val="0058776B"/>
    <w:rsid w:val="00590B44"/>
    <w:rsid w:val="0059180D"/>
    <w:rsid w:val="00591998"/>
    <w:rsid w:val="005938F6"/>
    <w:rsid w:val="0059427F"/>
    <w:rsid w:val="00594418"/>
    <w:rsid w:val="0059500A"/>
    <w:rsid w:val="00595CBC"/>
    <w:rsid w:val="00595F32"/>
    <w:rsid w:val="005A10DC"/>
    <w:rsid w:val="005A1F07"/>
    <w:rsid w:val="005A1FCD"/>
    <w:rsid w:val="005A27F7"/>
    <w:rsid w:val="005A372E"/>
    <w:rsid w:val="005A3DA6"/>
    <w:rsid w:val="005A551B"/>
    <w:rsid w:val="005B01C5"/>
    <w:rsid w:val="005B10C8"/>
    <w:rsid w:val="005B143F"/>
    <w:rsid w:val="005B160C"/>
    <w:rsid w:val="005B267D"/>
    <w:rsid w:val="005B2EE6"/>
    <w:rsid w:val="005B3991"/>
    <w:rsid w:val="005B45C2"/>
    <w:rsid w:val="005B624E"/>
    <w:rsid w:val="005B7210"/>
    <w:rsid w:val="005B7333"/>
    <w:rsid w:val="005B7FAF"/>
    <w:rsid w:val="005C06C9"/>
    <w:rsid w:val="005C1A1E"/>
    <w:rsid w:val="005C3913"/>
    <w:rsid w:val="005C3C0C"/>
    <w:rsid w:val="005C4F66"/>
    <w:rsid w:val="005C6EDE"/>
    <w:rsid w:val="005C73E8"/>
    <w:rsid w:val="005D0081"/>
    <w:rsid w:val="005D7CEE"/>
    <w:rsid w:val="005E2623"/>
    <w:rsid w:val="005E442F"/>
    <w:rsid w:val="005E6D55"/>
    <w:rsid w:val="005E73D9"/>
    <w:rsid w:val="005F0ACC"/>
    <w:rsid w:val="005F1CBB"/>
    <w:rsid w:val="005F2513"/>
    <w:rsid w:val="005F35B4"/>
    <w:rsid w:val="005F4A86"/>
    <w:rsid w:val="005F6C41"/>
    <w:rsid w:val="005F79E8"/>
    <w:rsid w:val="00602411"/>
    <w:rsid w:val="006047DB"/>
    <w:rsid w:val="006051BD"/>
    <w:rsid w:val="00606120"/>
    <w:rsid w:val="00606131"/>
    <w:rsid w:val="00606E40"/>
    <w:rsid w:val="00607129"/>
    <w:rsid w:val="006103B2"/>
    <w:rsid w:val="0061582A"/>
    <w:rsid w:val="00617F6C"/>
    <w:rsid w:val="006204FB"/>
    <w:rsid w:val="006207E6"/>
    <w:rsid w:val="006224B7"/>
    <w:rsid w:val="006230E9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3C22"/>
    <w:rsid w:val="00644CD3"/>
    <w:rsid w:val="00647C4A"/>
    <w:rsid w:val="00650BA8"/>
    <w:rsid w:val="00651264"/>
    <w:rsid w:val="00651D23"/>
    <w:rsid w:val="00652589"/>
    <w:rsid w:val="00653481"/>
    <w:rsid w:val="006536B8"/>
    <w:rsid w:val="00653C72"/>
    <w:rsid w:val="00654D3B"/>
    <w:rsid w:val="00656909"/>
    <w:rsid w:val="00657253"/>
    <w:rsid w:val="00662099"/>
    <w:rsid w:val="00662DF4"/>
    <w:rsid w:val="00663170"/>
    <w:rsid w:val="006631AB"/>
    <w:rsid w:val="00664B3D"/>
    <w:rsid w:val="00666C13"/>
    <w:rsid w:val="00673094"/>
    <w:rsid w:val="00673B2E"/>
    <w:rsid w:val="00674150"/>
    <w:rsid w:val="00675DC8"/>
    <w:rsid w:val="00676827"/>
    <w:rsid w:val="00676940"/>
    <w:rsid w:val="0067755D"/>
    <w:rsid w:val="006775C7"/>
    <w:rsid w:val="00681061"/>
    <w:rsid w:val="006833A2"/>
    <w:rsid w:val="006840D5"/>
    <w:rsid w:val="00684881"/>
    <w:rsid w:val="006918BF"/>
    <w:rsid w:val="00693D0D"/>
    <w:rsid w:val="006944FE"/>
    <w:rsid w:val="006966EC"/>
    <w:rsid w:val="00696A79"/>
    <w:rsid w:val="0069708F"/>
    <w:rsid w:val="00697C83"/>
    <w:rsid w:val="006A12C2"/>
    <w:rsid w:val="006A31BC"/>
    <w:rsid w:val="006A3778"/>
    <w:rsid w:val="006A388B"/>
    <w:rsid w:val="006A4DBC"/>
    <w:rsid w:val="006B2214"/>
    <w:rsid w:val="006B33E2"/>
    <w:rsid w:val="006B618D"/>
    <w:rsid w:val="006B62C0"/>
    <w:rsid w:val="006B7790"/>
    <w:rsid w:val="006B7859"/>
    <w:rsid w:val="006B79AF"/>
    <w:rsid w:val="006C0D7E"/>
    <w:rsid w:val="006C2128"/>
    <w:rsid w:val="006C2E61"/>
    <w:rsid w:val="006C300E"/>
    <w:rsid w:val="006C4A43"/>
    <w:rsid w:val="006D31B4"/>
    <w:rsid w:val="006D31DB"/>
    <w:rsid w:val="006D55A1"/>
    <w:rsid w:val="006D5DB5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4610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25909"/>
    <w:rsid w:val="007451D6"/>
    <w:rsid w:val="0074753F"/>
    <w:rsid w:val="00750A77"/>
    <w:rsid w:val="00750C97"/>
    <w:rsid w:val="00751C77"/>
    <w:rsid w:val="00754EF1"/>
    <w:rsid w:val="00756196"/>
    <w:rsid w:val="007577DE"/>
    <w:rsid w:val="00760E45"/>
    <w:rsid w:val="007613FB"/>
    <w:rsid w:val="007659FC"/>
    <w:rsid w:val="00765AA1"/>
    <w:rsid w:val="00767C95"/>
    <w:rsid w:val="00770970"/>
    <w:rsid w:val="00770E4C"/>
    <w:rsid w:val="007713BD"/>
    <w:rsid w:val="007744C1"/>
    <w:rsid w:val="00774E6D"/>
    <w:rsid w:val="00775AE3"/>
    <w:rsid w:val="007814E7"/>
    <w:rsid w:val="00782D3E"/>
    <w:rsid w:val="00784E45"/>
    <w:rsid w:val="0078520B"/>
    <w:rsid w:val="00785774"/>
    <w:rsid w:val="007861E0"/>
    <w:rsid w:val="0078666C"/>
    <w:rsid w:val="0079071B"/>
    <w:rsid w:val="00791738"/>
    <w:rsid w:val="00792AED"/>
    <w:rsid w:val="0079314D"/>
    <w:rsid w:val="00794AA3"/>
    <w:rsid w:val="00794D10"/>
    <w:rsid w:val="0079623E"/>
    <w:rsid w:val="00796AA7"/>
    <w:rsid w:val="00796AD5"/>
    <w:rsid w:val="007A1207"/>
    <w:rsid w:val="007A6DAA"/>
    <w:rsid w:val="007B29E6"/>
    <w:rsid w:val="007B2B32"/>
    <w:rsid w:val="007B2E8D"/>
    <w:rsid w:val="007B423E"/>
    <w:rsid w:val="007B613E"/>
    <w:rsid w:val="007B70F1"/>
    <w:rsid w:val="007C0DF4"/>
    <w:rsid w:val="007C1365"/>
    <w:rsid w:val="007C291A"/>
    <w:rsid w:val="007C514F"/>
    <w:rsid w:val="007C729C"/>
    <w:rsid w:val="007D0183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4706"/>
    <w:rsid w:val="007F4BBD"/>
    <w:rsid w:val="007F67B8"/>
    <w:rsid w:val="007F7120"/>
    <w:rsid w:val="00800AB6"/>
    <w:rsid w:val="0080172A"/>
    <w:rsid w:val="00801D7E"/>
    <w:rsid w:val="00802708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029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508FB"/>
    <w:rsid w:val="0085296F"/>
    <w:rsid w:val="00855B75"/>
    <w:rsid w:val="00856098"/>
    <w:rsid w:val="008614AA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2ECA"/>
    <w:rsid w:val="00887BD9"/>
    <w:rsid w:val="008908A0"/>
    <w:rsid w:val="00894313"/>
    <w:rsid w:val="008944FA"/>
    <w:rsid w:val="00895938"/>
    <w:rsid w:val="00895A91"/>
    <w:rsid w:val="00895AF9"/>
    <w:rsid w:val="008A1E4B"/>
    <w:rsid w:val="008A5537"/>
    <w:rsid w:val="008A79BE"/>
    <w:rsid w:val="008B1358"/>
    <w:rsid w:val="008B15A7"/>
    <w:rsid w:val="008B1C97"/>
    <w:rsid w:val="008B373B"/>
    <w:rsid w:val="008B57B9"/>
    <w:rsid w:val="008B6B83"/>
    <w:rsid w:val="008B6EB3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26A3"/>
    <w:rsid w:val="008D3D55"/>
    <w:rsid w:val="008D3F9D"/>
    <w:rsid w:val="008D52C6"/>
    <w:rsid w:val="008D6224"/>
    <w:rsid w:val="008E3BAF"/>
    <w:rsid w:val="008E6380"/>
    <w:rsid w:val="008E6ED2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4DE8"/>
    <w:rsid w:val="00917021"/>
    <w:rsid w:val="00917E89"/>
    <w:rsid w:val="009201F3"/>
    <w:rsid w:val="0092183F"/>
    <w:rsid w:val="00922E39"/>
    <w:rsid w:val="009276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2E0F"/>
    <w:rsid w:val="009441AB"/>
    <w:rsid w:val="00946E8D"/>
    <w:rsid w:val="00946EDF"/>
    <w:rsid w:val="009506E4"/>
    <w:rsid w:val="00950A8A"/>
    <w:rsid w:val="00954E1C"/>
    <w:rsid w:val="00955421"/>
    <w:rsid w:val="00955FD8"/>
    <w:rsid w:val="009560EB"/>
    <w:rsid w:val="00956D4C"/>
    <w:rsid w:val="009636F9"/>
    <w:rsid w:val="00965264"/>
    <w:rsid w:val="00966934"/>
    <w:rsid w:val="0096737C"/>
    <w:rsid w:val="009676A4"/>
    <w:rsid w:val="00967A15"/>
    <w:rsid w:val="00977A72"/>
    <w:rsid w:val="00980083"/>
    <w:rsid w:val="00981107"/>
    <w:rsid w:val="0098145E"/>
    <w:rsid w:val="00981BC8"/>
    <w:rsid w:val="00982CA7"/>
    <w:rsid w:val="00987219"/>
    <w:rsid w:val="00990403"/>
    <w:rsid w:val="0099167D"/>
    <w:rsid w:val="00992F26"/>
    <w:rsid w:val="0099711A"/>
    <w:rsid w:val="009971EB"/>
    <w:rsid w:val="009A1BB0"/>
    <w:rsid w:val="009A21A9"/>
    <w:rsid w:val="009A24FF"/>
    <w:rsid w:val="009A281F"/>
    <w:rsid w:val="009A34A4"/>
    <w:rsid w:val="009A6B53"/>
    <w:rsid w:val="009A72C8"/>
    <w:rsid w:val="009A7375"/>
    <w:rsid w:val="009A7C22"/>
    <w:rsid w:val="009B266D"/>
    <w:rsid w:val="009B43A8"/>
    <w:rsid w:val="009C06DE"/>
    <w:rsid w:val="009C0CD8"/>
    <w:rsid w:val="009C28E3"/>
    <w:rsid w:val="009C5690"/>
    <w:rsid w:val="009C6EF1"/>
    <w:rsid w:val="009D0337"/>
    <w:rsid w:val="009D2641"/>
    <w:rsid w:val="009D3182"/>
    <w:rsid w:val="009D56E5"/>
    <w:rsid w:val="009D7BC7"/>
    <w:rsid w:val="009D7DAA"/>
    <w:rsid w:val="009E053C"/>
    <w:rsid w:val="009E189B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35C"/>
    <w:rsid w:val="009F154F"/>
    <w:rsid w:val="009F227D"/>
    <w:rsid w:val="009F2C0D"/>
    <w:rsid w:val="009F48E4"/>
    <w:rsid w:val="009F6A7F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A22"/>
    <w:rsid w:val="00A3334B"/>
    <w:rsid w:val="00A33E7C"/>
    <w:rsid w:val="00A36713"/>
    <w:rsid w:val="00A41886"/>
    <w:rsid w:val="00A42236"/>
    <w:rsid w:val="00A4309B"/>
    <w:rsid w:val="00A44AE7"/>
    <w:rsid w:val="00A46011"/>
    <w:rsid w:val="00A46F54"/>
    <w:rsid w:val="00A47E7C"/>
    <w:rsid w:val="00A505B6"/>
    <w:rsid w:val="00A50D6A"/>
    <w:rsid w:val="00A520DA"/>
    <w:rsid w:val="00A52537"/>
    <w:rsid w:val="00A54812"/>
    <w:rsid w:val="00A54F0E"/>
    <w:rsid w:val="00A569B3"/>
    <w:rsid w:val="00A579C7"/>
    <w:rsid w:val="00A60670"/>
    <w:rsid w:val="00A63000"/>
    <w:rsid w:val="00A63585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63C"/>
    <w:rsid w:val="00A818A7"/>
    <w:rsid w:val="00A830BE"/>
    <w:rsid w:val="00A83879"/>
    <w:rsid w:val="00A83FBD"/>
    <w:rsid w:val="00A84447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D70"/>
    <w:rsid w:val="00A94EBF"/>
    <w:rsid w:val="00A9692E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5713"/>
    <w:rsid w:val="00AD65F9"/>
    <w:rsid w:val="00AE0000"/>
    <w:rsid w:val="00AE23E9"/>
    <w:rsid w:val="00AE715F"/>
    <w:rsid w:val="00AF08BC"/>
    <w:rsid w:val="00AF186B"/>
    <w:rsid w:val="00AF284D"/>
    <w:rsid w:val="00AF7307"/>
    <w:rsid w:val="00B04FC2"/>
    <w:rsid w:val="00B062B2"/>
    <w:rsid w:val="00B06BFD"/>
    <w:rsid w:val="00B11CFB"/>
    <w:rsid w:val="00B128C0"/>
    <w:rsid w:val="00B15AE7"/>
    <w:rsid w:val="00B16321"/>
    <w:rsid w:val="00B17411"/>
    <w:rsid w:val="00B17F81"/>
    <w:rsid w:val="00B2193D"/>
    <w:rsid w:val="00B230C6"/>
    <w:rsid w:val="00B256B4"/>
    <w:rsid w:val="00B25B58"/>
    <w:rsid w:val="00B262C9"/>
    <w:rsid w:val="00B27FA4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3D03"/>
    <w:rsid w:val="00B44CA4"/>
    <w:rsid w:val="00B46530"/>
    <w:rsid w:val="00B46946"/>
    <w:rsid w:val="00B472E2"/>
    <w:rsid w:val="00B478B1"/>
    <w:rsid w:val="00B47D72"/>
    <w:rsid w:val="00B504DA"/>
    <w:rsid w:val="00B51265"/>
    <w:rsid w:val="00B516B1"/>
    <w:rsid w:val="00B52863"/>
    <w:rsid w:val="00B542F0"/>
    <w:rsid w:val="00B54C3F"/>
    <w:rsid w:val="00B5528D"/>
    <w:rsid w:val="00B55669"/>
    <w:rsid w:val="00B56A1F"/>
    <w:rsid w:val="00B57035"/>
    <w:rsid w:val="00B57742"/>
    <w:rsid w:val="00B61C65"/>
    <w:rsid w:val="00B61DD3"/>
    <w:rsid w:val="00B64725"/>
    <w:rsid w:val="00B66158"/>
    <w:rsid w:val="00B662D0"/>
    <w:rsid w:val="00B66C98"/>
    <w:rsid w:val="00B67589"/>
    <w:rsid w:val="00B70BDD"/>
    <w:rsid w:val="00B7231D"/>
    <w:rsid w:val="00B723BB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80C"/>
    <w:rsid w:val="00B937D3"/>
    <w:rsid w:val="00B94240"/>
    <w:rsid w:val="00B94AC2"/>
    <w:rsid w:val="00B9502A"/>
    <w:rsid w:val="00BA1935"/>
    <w:rsid w:val="00BA5A82"/>
    <w:rsid w:val="00BB16AF"/>
    <w:rsid w:val="00BB3471"/>
    <w:rsid w:val="00BB3E2D"/>
    <w:rsid w:val="00BB47D2"/>
    <w:rsid w:val="00BB69C6"/>
    <w:rsid w:val="00BB7836"/>
    <w:rsid w:val="00BC12DD"/>
    <w:rsid w:val="00BC31A9"/>
    <w:rsid w:val="00BC6F3F"/>
    <w:rsid w:val="00BC71D7"/>
    <w:rsid w:val="00BC7AFB"/>
    <w:rsid w:val="00BD0770"/>
    <w:rsid w:val="00BD09BB"/>
    <w:rsid w:val="00BD2258"/>
    <w:rsid w:val="00BD455F"/>
    <w:rsid w:val="00BD7D32"/>
    <w:rsid w:val="00BE1081"/>
    <w:rsid w:val="00BE1AEF"/>
    <w:rsid w:val="00BE252C"/>
    <w:rsid w:val="00BE33EB"/>
    <w:rsid w:val="00BE3E69"/>
    <w:rsid w:val="00BE4453"/>
    <w:rsid w:val="00BE598F"/>
    <w:rsid w:val="00BE636F"/>
    <w:rsid w:val="00BE6624"/>
    <w:rsid w:val="00BE6908"/>
    <w:rsid w:val="00BE72F8"/>
    <w:rsid w:val="00BF01BF"/>
    <w:rsid w:val="00BF14E6"/>
    <w:rsid w:val="00BF17FF"/>
    <w:rsid w:val="00BF1ED0"/>
    <w:rsid w:val="00BF4D6C"/>
    <w:rsid w:val="00BF62AF"/>
    <w:rsid w:val="00BF6ADE"/>
    <w:rsid w:val="00BF6D86"/>
    <w:rsid w:val="00C00552"/>
    <w:rsid w:val="00C02040"/>
    <w:rsid w:val="00C0297E"/>
    <w:rsid w:val="00C0749A"/>
    <w:rsid w:val="00C108E6"/>
    <w:rsid w:val="00C119BA"/>
    <w:rsid w:val="00C133C1"/>
    <w:rsid w:val="00C1423F"/>
    <w:rsid w:val="00C1529F"/>
    <w:rsid w:val="00C169FF"/>
    <w:rsid w:val="00C175E3"/>
    <w:rsid w:val="00C23491"/>
    <w:rsid w:val="00C23BCD"/>
    <w:rsid w:val="00C2540B"/>
    <w:rsid w:val="00C2595E"/>
    <w:rsid w:val="00C26F98"/>
    <w:rsid w:val="00C31F5B"/>
    <w:rsid w:val="00C35609"/>
    <w:rsid w:val="00C3742E"/>
    <w:rsid w:val="00C37638"/>
    <w:rsid w:val="00C4034A"/>
    <w:rsid w:val="00C41BE3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73698"/>
    <w:rsid w:val="00C741F2"/>
    <w:rsid w:val="00C75F37"/>
    <w:rsid w:val="00C7700D"/>
    <w:rsid w:val="00C770E3"/>
    <w:rsid w:val="00C77B8B"/>
    <w:rsid w:val="00C837DC"/>
    <w:rsid w:val="00C87EBB"/>
    <w:rsid w:val="00C90494"/>
    <w:rsid w:val="00C9092D"/>
    <w:rsid w:val="00C9277E"/>
    <w:rsid w:val="00C94152"/>
    <w:rsid w:val="00C943F9"/>
    <w:rsid w:val="00C96182"/>
    <w:rsid w:val="00C97EFB"/>
    <w:rsid w:val="00CA17CE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EFF"/>
    <w:rsid w:val="00CB7440"/>
    <w:rsid w:val="00CB7BBC"/>
    <w:rsid w:val="00CC2B8B"/>
    <w:rsid w:val="00CC39A5"/>
    <w:rsid w:val="00CC3B64"/>
    <w:rsid w:val="00CC3E9C"/>
    <w:rsid w:val="00CC3EAA"/>
    <w:rsid w:val="00CC5FEE"/>
    <w:rsid w:val="00CD02AC"/>
    <w:rsid w:val="00CD04B9"/>
    <w:rsid w:val="00CD092C"/>
    <w:rsid w:val="00CD0947"/>
    <w:rsid w:val="00CD0AE9"/>
    <w:rsid w:val="00CD2105"/>
    <w:rsid w:val="00CD2F97"/>
    <w:rsid w:val="00CD4BA3"/>
    <w:rsid w:val="00CD61BF"/>
    <w:rsid w:val="00CE015A"/>
    <w:rsid w:val="00CE17B1"/>
    <w:rsid w:val="00CE2B0C"/>
    <w:rsid w:val="00CE44A4"/>
    <w:rsid w:val="00CE4C56"/>
    <w:rsid w:val="00CE57B0"/>
    <w:rsid w:val="00CF3A5D"/>
    <w:rsid w:val="00CF5E2A"/>
    <w:rsid w:val="00D05095"/>
    <w:rsid w:val="00D06F19"/>
    <w:rsid w:val="00D07629"/>
    <w:rsid w:val="00D11809"/>
    <w:rsid w:val="00D1192A"/>
    <w:rsid w:val="00D12FF1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0BB5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60FA2"/>
    <w:rsid w:val="00D61EAD"/>
    <w:rsid w:val="00D634F6"/>
    <w:rsid w:val="00D63F73"/>
    <w:rsid w:val="00D65B15"/>
    <w:rsid w:val="00D6606F"/>
    <w:rsid w:val="00D66297"/>
    <w:rsid w:val="00D66B80"/>
    <w:rsid w:val="00D70416"/>
    <w:rsid w:val="00D70D39"/>
    <w:rsid w:val="00D7249C"/>
    <w:rsid w:val="00D72523"/>
    <w:rsid w:val="00D76224"/>
    <w:rsid w:val="00D76522"/>
    <w:rsid w:val="00D76D53"/>
    <w:rsid w:val="00D81B0D"/>
    <w:rsid w:val="00D81E4F"/>
    <w:rsid w:val="00D8325F"/>
    <w:rsid w:val="00D83D27"/>
    <w:rsid w:val="00D83F15"/>
    <w:rsid w:val="00D8531E"/>
    <w:rsid w:val="00D85B0B"/>
    <w:rsid w:val="00D85E96"/>
    <w:rsid w:val="00D86F46"/>
    <w:rsid w:val="00D87A97"/>
    <w:rsid w:val="00D93532"/>
    <w:rsid w:val="00DA1829"/>
    <w:rsid w:val="00DA24B5"/>
    <w:rsid w:val="00DA3A6D"/>
    <w:rsid w:val="00DA4A8B"/>
    <w:rsid w:val="00DA6CCC"/>
    <w:rsid w:val="00DB004F"/>
    <w:rsid w:val="00DB0695"/>
    <w:rsid w:val="00DB07F7"/>
    <w:rsid w:val="00DB0A91"/>
    <w:rsid w:val="00DB1156"/>
    <w:rsid w:val="00DB2301"/>
    <w:rsid w:val="00DB34B9"/>
    <w:rsid w:val="00DB3680"/>
    <w:rsid w:val="00DB36A5"/>
    <w:rsid w:val="00DB4B2A"/>
    <w:rsid w:val="00DB4C9E"/>
    <w:rsid w:val="00DB64DF"/>
    <w:rsid w:val="00DB6935"/>
    <w:rsid w:val="00DC6216"/>
    <w:rsid w:val="00DC7BD8"/>
    <w:rsid w:val="00DD3C02"/>
    <w:rsid w:val="00DD6376"/>
    <w:rsid w:val="00DD6737"/>
    <w:rsid w:val="00DD6CD4"/>
    <w:rsid w:val="00DD7991"/>
    <w:rsid w:val="00DD7DD0"/>
    <w:rsid w:val="00DE0A15"/>
    <w:rsid w:val="00DE4B17"/>
    <w:rsid w:val="00DE5417"/>
    <w:rsid w:val="00DF14A1"/>
    <w:rsid w:val="00DF4698"/>
    <w:rsid w:val="00DF5128"/>
    <w:rsid w:val="00DF5558"/>
    <w:rsid w:val="00DF6E29"/>
    <w:rsid w:val="00E02DE9"/>
    <w:rsid w:val="00E03F06"/>
    <w:rsid w:val="00E04E25"/>
    <w:rsid w:val="00E05FF7"/>
    <w:rsid w:val="00E146D5"/>
    <w:rsid w:val="00E14A6D"/>
    <w:rsid w:val="00E1512C"/>
    <w:rsid w:val="00E17C29"/>
    <w:rsid w:val="00E21684"/>
    <w:rsid w:val="00E221B8"/>
    <w:rsid w:val="00E24041"/>
    <w:rsid w:val="00E248B9"/>
    <w:rsid w:val="00E24DFE"/>
    <w:rsid w:val="00E26F05"/>
    <w:rsid w:val="00E27DCF"/>
    <w:rsid w:val="00E33766"/>
    <w:rsid w:val="00E342A7"/>
    <w:rsid w:val="00E34D1B"/>
    <w:rsid w:val="00E34E33"/>
    <w:rsid w:val="00E366E0"/>
    <w:rsid w:val="00E36962"/>
    <w:rsid w:val="00E40919"/>
    <w:rsid w:val="00E42C89"/>
    <w:rsid w:val="00E434A7"/>
    <w:rsid w:val="00E43C97"/>
    <w:rsid w:val="00E45819"/>
    <w:rsid w:val="00E45ADB"/>
    <w:rsid w:val="00E466C8"/>
    <w:rsid w:val="00E46BBA"/>
    <w:rsid w:val="00E5011C"/>
    <w:rsid w:val="00E51148"/>
    <w:rsid w:val="00E51B77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53A7"/>
    <w:rsid w:val="00E653C0"/>
    <w:rsid w:val="00E6704F"/>
    <w:rsid w:val="00E6709A"/>
    <w:rsid w:val="00E71A7E"/>
    <w:rsid w:val="00E74848"/>
    <w:rsid w:val="00E74E8A"/>
    <w:rsid w:val="00E76B77"/>
    <w:rsid w:val="00E76D41"/>
    <w:rsid w:val="00E81C96"/>
    <w:rsid w:val="00E824CB"/>
    <w:rsid w:val="00E8463A"/>
    <w:rsid w:val="00E84710"/>
    <w:rsid w:val="00E851ED"/>
    <w:rsid w:val="00E85824"/>
    <w:rsid w:val="00E86545"/>
    <w:rsid w:val="00E90B6D"/>
    <w:rsid w:val="00E9296B"/>
    <w:rsid w:val="00E92E41"/>
    <w:rsid w:val="00E964EE"/>
    <w:rsid w:val="00E97954"/>
    <w:rsid w:val="00EA19E5"/>
    <w:rsid w:val="00EA2A1A"/>
    <w:rsid w:val="00EA4916"/>
    <w:rsid w:val="00EA7020"/>
    <w:rsid w:val="00EB097D"/>
    <w:rsid w:val="00EB2A54"/>
    <w:rsid w:val="00EB5B9E"/>
    <w:rsid w:val="00EB5BF3"/>
    <w:rsid w:val="00EB667F"/>
    <w:rsid w:val="00EC00B9"/>
    <w:rsid w:val="00EC16D6"/>
    <w:rsid w:val="00EC2B6A"/>
    <w:rsid w:val="00EC3079"/>
    <w:rsid w:val="00EC47BF"/>
    <w:rsid w:val="00EC5D52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1586"/>
    <w:rsid w:val="00EE281E"/>
    <w:rsid w:val="00EE3E57"/>
    <w:rsid w:val="00EE50A9"/>
    <w:rsid w:val="00EE6835"/>
    <w:rsid w:val="00EE6B4F"/>
    <w:rsid w:val="00EE6EE4"/>
    <w:rsid w:val="00EF24E2"/>
    <w:rsid w:val="00EF304B"/>
    <w:rsid w:val="00EF4C6F"/>
    <w:rsid w:val="00EF5033"/>
    <w:rsid w:val="00EF5E39"/>
    <w:rsid w:val="00F0089B"/>
    <w:rsid w:val="00F00F53"/>
    <w:rsid w:val="00F05879"/>
    <w:rsid w:val="00F157CC"/>
    <w:rsid w:val="00F1617F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BAD"/>
    <w:rsid w:val="00F3414A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48F9"/>
    <w:rsid w:val="00F57403"/>
    <w:rsid w:val="00F57425"/>
    <w:rsid w:val="00F57619"/>
    <w:rsid w:val="00F6119F"/>
    <w:rsid w:val="00F627AB"/>
    <w:rsid w:val="00F62969"/>
    <w:rsid w:val="00F63C5B"/>
    <w:rsid w:val="00F64724"/>
    <w:rsid w:val="00F66378"/>
    <w:rsid w:val="00F66B29"/>
    <w:rsid w:val="00F67223"/>
    <w:rsid w:val="00F71435"/>
    <w:rsid w:val="00F71604"/>
    <w:rsid w:val="00F71B88"/>
    <w:rsid w:val="00F74722"/>
    <w:rsid w:val="00F74D81"/>
    <w:rsid w:val="00F7505D"/>
    <w:rsid w:val="00F76C2E"/>
    <w:rsid w:val="00F80058"/>
    <w:rsid w:val="00F80685"/>
    <w:rsid w:val="00F85F61"/>
    <w:rsid w:val="00F9059A"/>
    <w:rsid w:val="00F90DEF"/>
    <w:rsid w:val="00F9276C"/>
    <w:rsid w:val="00F92BFD"/>
    <w:rsid w:val="00F9350D"/>
    <w:rsid w:val="00F93B97"/>
    <w:rsid w:val="00F94F70"/>
    <w:rsid w:val="00F96678"/>
    <w:rsid w:val="00FA5DD5"/>
    <w:rsid w:val="00FB0097"/>
    <w:rsid w:val="00FB0467"/>
    <w:rsid w:val="00FB1B1F"/>
    <w:rsid w:val="00FB2094"/>
    <w:rsid w:val="00FB53A5"/>
    <w:rsid w:val="00FC03F8"/>
    <w:rsid w:val="00FC0FCB"/>
    <w:rsid w:val="00FC3CB8"/>
    <w:rsid w:val="00FC6F5F"/>
    <w:rsid w:val="00FD21D7"/>
    <w:rsid w:val="00FD2A43"/>
    <w:rsid w:val="00FD6270"/>
    <w:rsid w:val="00FD66E0"/>
    <w:rsid w:val="00FD6706"/>
    <w:rsid w:val="00FD69F5"/>
    <w:rsid w:val="00FD703A"/>
    <w:rsid w:val="00FD77B8"/>
    <w:rsid w:val="00FD7860"/>
    <w:rsid w:val="00FE0529"/>
    <w:rsid w:val="00FE1591"/>
    <w:rsid w:val="00FE1D51"/>
    <w:rsid w:val="00FE1F5F"/>
    <w:rsid w:val="00FE24A9"/>
    <w:rsid w:val="00FE2B31"/>
    <w:rsid w:val="00FE3A5E"/>
    <w:rsid w:val="00FE3CE2"/>
    <w:rsid w:val="00FE7BFF"/>
    <w:rsid w:val="00FF2C2F"/>
    <w:rsid w:val="00FF358A"/>
    <w:rsid w:val="00FF35E8"/>
    <w:rsid w:val="00FF3B9F"/>
    <w:rsid w:val="00FF55F2"/>
    <w:rsid w:val="00FF5AFB"/>
    <w:rsid w:val="00FF6396"/>
    <w:rsid w:val="00FF65D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4"/>
      </w:numPr>
    </w:pPr>
  </w:style>
  <w:style w:type="paragraph" w:customStyle="1" w:styleId="Styl7">
    <w:name w:val="Styl7"/>
    <w:basedOn w:val="Normln"/>
    <w:rsid w:val="00EF5033"/>
    <w:pPr>
      <w:numPr>
        <w:numId w:val="13"/>
      </w:numPr>
    </w:pPr>
  </w:style>
  <w:style w:type="numbering" w:customStyle="1" w:styleId="Styl2">
    <w:name w:val="Styl2"/>
    <w:uiPriority w:val="99"/>
    <w:rsid w:val="00EF5033"/>
    <w:pPr>
      <w:numPr>
        <w:numId w:val="15"/>
      </w:numPr>
    </w:pPr>
  </w:style>
  <w:style w:type="numbering" w:customStyle="1" w:styleId="Styl3">
    <w:name w:val="Styl3"/>
    <w:uiPriority w:val="99"/>
    <w:rsid w:val="00EF5033"/>
    <w:pPr>
      <w:numPr>
        <w:numId w:val="16"/>
      </w:numPr>
    </w:pPr>
  </w:style>
  <w:style w:type="numbering" w:customStyle="1" w:styleId="Styl4">
    <w:name w:val="Styl4"/>
    <w:uiPriority w:val="99"/>
    <w:rsid w:val="00005115"/>
    <w:pPr>
      <w:numPr>
        <w:numId w:val="17"/>
      </w:numPr>
    </w:pPr>
  </w:style>
  <w:style w:type="numbering" w:customStyle="1" w:styleId="Styl5">
    <w:name w:val="Styl5"/>
    <w:uiPriority w:val="99"/>
    <w:rsid w:val="005C3913"/>
    <w:pPr>
      <w:numPr>
        <w:numId w:val="18"/>
      </w:numPr>
    </w:pPr>
  </w:style>
  <w:style w:type="numbering" w:customStyle="1" w:styleId="Styl6">
    <w:name w:val="Styl6"/>
    <w:uiPriority w:val="99"/>
    <w:rsid w:val="005C3913"/>
    <w:pPr>
      <w:numPr>
        <w:numId w:val="19"/>
      </w:numPr>
    </w:pPr>
  </w:style>
  <w:style w:type="numbering" w:customStyle="1" w:styleId="Styl8">
    <w:name w:val="Styl8"/>
    <w:uiPriority w:val="99"/>
    <w:rsid w:val="005C3913"/>
    <w:pPr>
      <w:numPr>
        <w:numId w:val="20"/>
      </w:numPr>
    </w:pPr>
  </w:style>
  <w:style w:type="numbering" w:customStyle="1" w:styleId="Styl9">
    <w:name w:val="Styl9"/>
    <w:uiPriority w:val="99"/>
    <w:rsid w:val="005C3913"/>
    <w:pPr>
      <w:numPr>
        <w:numId w:val="22"/>
      </w:numPr>
    </w:pPr>
  </w:style>
  <w:style w:type="numbering" w:customStyle="1" w:styleId="Styl10">
    <w:name w:val="Styl10"/>
    <w:uiPriority w:val="99"/>
    <w:rsid w:val="00E964EE"/>
    <w:pPr>
      <w:numPr>
        <w:numId w:val="23"/>
      </w:numPr>
    </w:pPr>
  </w:style>
  <w:style w:type="numbering" w:customStyle="1" w:styleId="Styl11">
    <w:name w:val="Styl11"/>
    <w:uiPriority w:val="99"/>
    <w:rsid w:val="00625521"/>
    <w:pPr>
      <w:numPr>
        <w:numId w:val="32"/>
      </w:numPr>
    </w:pPr>
  </w:style>
  <w:style w:type="numbering" w:customStyle="1" w:styleId="Styl12">
    <w:name w:val="Styl12"/>
    <w:uiPriority w:val="99"/>
    <w:rsid w:val="00625521"/>
    <w:pPr>
      <w:numPr>
        <w:numId w:val="33"/>
      </w:numPr>
    </w:pPr>
  </w:style>
  <w:style w:type="numbering" w:customStyle="1" w:styleId="Styl13">
    <w:name w:val="Styl13"/>
    <w:uiPriority w:val="99"/>
    <w:rsid w:val="00B062B2"/>
    <w:pPr>
      <w:numPr>
        <w:numId w:val="34"/>
      </w:numPr>
    </w:pPr>
  </w:style>
  <w:style w:type="numbering" w:customStyle="1" w:styleId="Styl14">
    <w:name w:val="Styl14"/>
    <w:uiPriority w:val="99"/>
    <w:rsid w:val="001A645D"/>
    <w:pPr>
      <w:numPr>
        <w:numId w:val="36"/>
      </w:numPr>
    </w:pPr>
  </w:style>
  <w:style w:type="numbering" w:customStyle="1" w:styleId="Styl15">
    <w:name w:val="Styl15"/>
    <w:uiPriority w:val="99"/>
    <w:rsid w:val="001A645D"/>
    <w:pPr>
      <w:numPr>
        <w:numId w:val="38"/>
      </w:numPr>
    </w:pPr>
  </w:style>
  <w:style w:type="numbering" w:customStyle="1" w:styleId="Styl16">
    <w:name w:val="Styl16"/>
    <w:uiPriority w:val="99"/>
    <w:rsid w:val="001A645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53D3-A8E2-4EEF-942A-499540E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3476</Words>
  <Characters>20511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23940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Havelková Jana</cp:lastModifiedBy>
  <cp:revision>4</cp:revision>
  <cp:lastPrinted>2017-05-18T07:41:00Z</cp:lastPrinted>
  <dcterms:created xsi:type="dcterms:W3CDTF">2017-05-24T11:25:00Z</dcterms:created>
  <dcterms:modified xsi:type="dcterms:W3CDTF">2017-06-05T07:24:00Z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