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9A" w:rsidRDefault="000B3F9A" w:rsidP="000B3F9A">
      <w:pPr>
        <w:pStyle w:val="Nzev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0B3F9A" w:rsidRPr="000B3F9A" w:rsidRDefault="000B3F9A" w:rsidP="000B3F9A">
      <w:pPr>
        <w:pStyle w:val="Nzev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Příloha č. 1</w:t>
      </w:r>
    </w:p>
    <w:p w:rsidR="000B3F9A" w:rsidRDefault="000B3F9A" w:rsidP="00F958A9">
      <w:pPr>
        <w:pStyle w:val="Nzev"/>
        <w:spacing w:line="240" w:lineRule="auto"/>
        <w:rPr>
          <w:rFonts w:ascii="Times New Roman" w:hAnsi="Times New Roman"/>
          <w:sz w:val="28"/>
        </w:rPr>
      </w:pPr>
    </w:p>
    <w:p w:rsidR="000B3F9A" w:rsidRDefault="000B3F9A" w:rsidP="00F958A9">
      <w:pPr>
        <w:pStyle w:val="Nzev"/>
        <w:spacing w:line="240" w:lineRule="auto"/>
        <w:rPr>
          <w:rFonts w:ascii="Times New Roman" w:hAnsi="Times New Roman"/>
          <w:sz w:val="28"/>
        </w:rPr>
      </w:pPr>
    </w:p>
    <w:p w:rsidR="00F958A9" w:rsidRDefault="00F958A9" w:rsidP="00F958A9">
      <w:pPr>
        <w:pStyle w:val="Nzev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Poučení o zásadách vstupu</w:t>
      </w:r>
      <w:r w:rsidR="00692C32">
        <w:rPr>
          <w:rFonts w:ascii="Times New Roman" w:hAnsi="Times New Roman"/>
          <w:sz w:val="28"/>
        </w:rPr>
        <w:t>, BP a PO</w:t>
      </w:r>
      <w:r>
        <w:rPr>
          <w:rFonts w:ascii="Times New Roman" w:hAnsi="Times New Roman"/>
          <w:sz w:val="28"/>
        </w:rPr>
        <w:t xml:space="preserve"> pro dodavatele prací a služeb </w:t>
      </w:r>
    </w:p>
    <w:p w:rsidR="00F958A9" w:rsidRDefault="00F958A9" w:rsidP="00F958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 Vazební věznici Olomouc</w:t>
      </w:r>
    </w:p>
    <w:p w:rsidR="00AF52B6" w:rsidRDefault="00AF52B6" w:rsidP="00F958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58A9" w:rsidRDefault="00F958A9" w:rsidP="00F958A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Siln"/>
          <w:bCs w:val="0"/>
        </w:rPr>
      </w:pPr>
      <w:r w:rsidRPr="00DA42FF">
        <w:rPr>
          <w:rStyle w:val="Siln"/>
          <w:b w:val="0"/>
          <w:shd w:val="clear" w:color="auto" w:fill="FFFFFF"/>
        </w:rPr>
        <w:t>Do věznice je povolen osobám vstup pouze s platným dokladem totožnosti (např. občanský průkaz, pas)</w:t>
      </w:r>
      <w:r>
        <w:rPr>
          <w:rStyle w:val="Siln"/>
          <w:b w:val="0"/>
          <w:shd w:val="clear" w:color="auto" w:fill="FFFFFF"/>
        </w:rPr>
        <w:t xml:space="preserve"> na základě povolení ředitele vazební věznice.</w:t>
      </w:r>
      <w:r w:rsidRPr="00DA42FF">
        <w:rPr>
          <w:rStyle w:val="Siln"/>
          <w:b w:val="0"/>
          <w:shd w:val="clear" w:color="auto" w:fill="FFFFFF"/>
        </w:rPr>
        <w:t xml:space="preserve"> Vstupující osoby nesmějí být pod vlivem alkoholu či jiných omamných látek. Je zakázáno vnášet do věznice </w:t>
      </w:r>
      <w:r>
        <w:rPr>
          <w:rStyle w:val="Siln"/>
          <w:b w:val="0"/>
          <w:shd w:val="clear" w:color="auto" w:fill="FFFFFF"/>
        </w:rPr>
        <w:t xml:space="preserve">mobilní telefony, </w:t>
      </w:r>
      <w:r w:rsidRPr="00DA42FF">
        <w:rPr>
          <w:rStyle w:val="Siln"/>
          <w:b w:val="0"/>
          <w:shd w:val="clear" w:color="auto" w:fill="FFFFFF"/>
        </w:rPr>
        <w:t>zbraně, alkohol a jiné psychotropní a omamné látky a jakákoliv záznamová zařízení.</w:t>
      </w:r>
      <w:r w:rsidRPr="00DA42FF">
        <w:rPr>
          <w:rStyle w:val="apple-converted-space"/>
          <w:b/>
          <w:bCs/>
          <w:shd w:val="clear" w:color="auto" w:fill="FFFFFF"/>
        </w:rPr>
        <w:t> </w:t>
      </w:r>
      <w:r w:rsidRPr="00DA42FF">
        <w:rPr>
          <w:rStyle w:val="Siln"/>
          <w:b w:val="0"/>
          <w:shd w:val="clear" w:color="auto" w:fill="FFFFFF"/>
        </w:rPr>
        <w:t>Příslušník konající službu na hlavním vchodu do věznice má oprávnění uvedená v § 13 zákona č. 555/1992 Sb.</w:t>
      </w:r>
    </w:p>
    <w:p w:rsidR="00F958A9" w:rsidRPr="00DA42FF" w:rsidRDefault="00F958A9" w:rsidP="00AF52B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0"/>
        </w:rPr>
      </w:pPr>
      <w:r w:rsidRPr="00DA42FF">
        <w:rPr>
          <w:szCs w:val="22"/>
        </w:rPr>
        <w:t xml:space="preserve">Do vnitřních prostor objektu Vazební věznice Olomouc (dále jen věznice) </w:t>
      </w:r>
      <w:r>
        <w:rPr>
          <w:szCs w:val="22"/>
        </w:rPr>
        <w:t>je možno</w:t>
      </w:r>
      <w:r w:rsidRPr="00DA42FF">
        <w:rPr>
          <w:szCs w:val="22"/>
        </w:rPr>
        <w:t xml:space="preserve"> vstupovat pouze se souhlasem kontaktní osoby (zaměstnance věznice) pověřené dohledem nad prováděnými pracemi a po splnění všech bezpečnostních opatření stanovených systémem ochrany věznice (fyzické prověření osoby a zavazadla, přinášeného do objektu věznice). </w:t>
      </w:r>
    </w:p>
    <w:p w:rsidR="00F958A9" w:rsidRPr="00DA42FF" w:rsidRDefault="00F958A9" w:rsidP="00AF52B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0"/>
        </w:rPr>
      </w:pPr>
      <w:r w:rsidRPr="00DA42FF">
        <w:rPr>
          <w:szCs w:val="22"/>
        </w:rPr>
        <w:t>Kontaktní osoba seznámí</w:t>
      </w:r>
      <w:r>
        <w:rPr>
          <w:szCs w:val="22"/>
        </w:rPr>
        <w:t xml:space="preserve"> pracovníky dodavatele</w:t>
      </w:r>
      <w:r w:rsidRPr="00DA42FF">
        <w:rPr>
          <w:szCs w:val="22"/>
        </w:rPr>
        <w:t xml:space="preserve"> s místem výkonu práce. Do jiných prostor objektu není přístup povolen. Pokud to bude zapotřebí,</w:t>
      </w:r>
      <w:r>
        <w:rPr>
          <w:szCs w:val="22"/>
        </w:rPr>
        <w:t xml:space="preserve"> bude pracovníkům dodavatele </w:t>
      </w:r>
      <w:r w:rsidRPr="00DA42FF">
        <w:rPr>
          <w:szCs w:val="22"/>
        </w:rPr>
        <w:t>zajištěn doprovod osoby s ověřenou znalostí objektu věznice. Podle povahy prací bude</w:t>
      </w:r>
      <w:r>
        <w:rPr>
          <w:szCs w:val="22"/>
        </w:rPr>
        <w:t xml:space="preserve"> pracovníkům dodavatele</w:t>
      </w:r>
      <w:r w:rsidRPr="00DA42FF">
        <w:rPr>
          <w:szCs w:val="22"/>
        </w:rPr>
        <w:t xml:space="preserve"> na základě konkrétního požadavku vyhrazena místnost, kter</w:t>
      </w:r>
      <w:r>
        <w:rPr>
          <w:szCs w:val="22"/>
        </w:rPr>
        <w:t>á</w:t>
      </w:r>
      <w:r w:rsidRPr="00DA42FF">
        <w:rPr>
          <w:szCs w:val="22"/>
        </w:rPr>
        <w:t xml:space="preserve"> může</w:t>
      </w:r>
      <w:r>
        <w:rPr>
          <w:szCs w:val="22"/>
        </w:rPr>
        <w:t xml:space="preserve"> být</w:t>
      </w:r>
      <w:r w:rsidRPr="00DA42FF">
        <w:rPr>
          <w:szCs w:val="22"/>
        </w:rPr>
        <w:t xml:space="preserve"> použit</w:t>
      </w:r>
      <w:r>
        <w:rPr>
          <w:szCs w:val="22"/>
        </w:rPr>
        <w:t>a</w:t>
      </w:r>
      <w:r w:rsidRPr="00DA42FF">
        <w:rPr>
          <w:szCs w:val="22"/>
        </w:rPr>
        <w:t xml:space="preserve"> jako pře</w:t>
      </w:r>
      <w:r>
        <w:rPr>
          <w:szCs w:val="22"/>
        </w:rPr>
        <w:t>vlékárna</w:t>
      </w:r>
      <w:r w:rsidRPr="00DA42FF">
        <w:rPr>
          <w:szCs w:val="22"/>
        </w:rPr>
        <w:t xml:space="preserve"> a jídeln</w:t>
      </w:r>
      <w:r>
        <w:rPr>
          <w:szCs w:val="22"/>
        </w:rPr>
        <w:t>a</w:t>
      </w:r>
      <w:r w:rsidRPr="00DA42FF">
        <w:rPr>
          <w:szCs w:val="22"/>
        </w:rPr>
        <w:t>, dále bude</w:t>
      </w:r>
      <w:r>
        <w:rPr>
          <w:szCs w:val="22"/>
        </w:rPr>
        <w:t xml:space="preserve"> pracovníkům dodavatele</w:t>
      </w:r>
      <w:r w:rsidRPr="00DA42FF">
        <w:rPr>
          <w:szCs w:val="22"/>
        </w:rPr>
        <w:t xml:space="preserve"> sděleno, kde se nachází sociální zařízení, které můž</w:t>
      </w:r>
      <w:r>
        <w:rPr>
          <w:szCs w:val="22"/>
        </w:rPr>
        <w:t>ou</w:t>
      </w:r>
      <w:r w:rsidRPr="00DA42FF">
        <w:rPr>
          <w:szCs w:val="22"/>
        </w:rPr>
        <w:t xml:space="preserve"> v případě potřeby po dobu pobytu v objektu používat. </w:t>
      </w:r>
      <w:r>
        <w:rPr>
          <w:szCs w:val="22"/>
        </w:rPr>
        <w:t>S ohledem na limitované možnosti</w:t>
      </w:r>
      <w:r w:rsidRPr="00DA42FF">
        <w:rPr>
          <w:szCs w:val="22"/>
        </w:rPr>
        <w:t xml:space="preserve"> věznice </w:t>
      </w:r>
      <w:r>
        <w:rPr>
          <w:szCs w:val="22"/>
        </w:rPr>
        <w:t xml:space="preserve">budou dodavateli </w:t>
      </w:r>
      <w:r w:rsidRPr="00DA42FF">
        <w:rPr>
          <w:szCs w:val="22"/>
        </w:rPr>
        <w:t>poskytnuty i vhodné prostory pro uložení pracovních pomůcek, nářadí a materiálu.</w:t>
      </w:r>
    </w:p>
    <w:p w:rsidR="00F958A9" w:rsidRPr="00DA42FF" w:rsidRDefault="00F958A9" w:rsidP="00AF52B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0"/>
        </w:rPr>
      </w:pPr>
      <w:r w:rsidRPr="00DA42FF">
        <w:rPr>
          <w:szCs w:val="22"/>
        </w:rPr>
        <w:t>Př</w:t>
      </w:r>
      <w:r>
        <w:rPr>
          <w:szCs w:val="22"/>
        </w:rPr>
        <w:t>i pohybu po věznici jsou pracovníci dodavatele povinni</w:t>
      </w:r>
      <w:r w:rsidRPr="00DA42FF">
        <w:rPr>
          <w:szCs w:val="22"/>
        </w:rPr>
        <w:t xml:space="preserve"> respektovat bezpečnostní značení umístěné v objektu věznice. </w:t>
      </w:r>
    </w:p>
    <w:p w:rsidR="00F958A9" w:rsidRDefault="00F958A9" w:rsidP="00AF52B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DA42FF">
        <w:rPr>
          <w:szCs w:val="22"/>
        </w:rPr>
        <w:t>Ve všech prostorách věz</w:t>
      </w:r>
      <w:r>
        <w:rPr>
          <w:szCs w:val="22"/>
        </w:rPr>
        <w:t>nice je zákaz kouření, který jsou pracovníci dodavatele</w:t>
      </w:r>
      <w:r w:rsidRPr="00DA42FF">
        <w:rPr>
          <w:szCs w:val="22"/>
        </w:rPr>
        <w:t xml:space="preserve"> povinn</w:t>
      </w:r>
      <w:r>
        <w:rPr>
          <w:szCs w:val="22"/>
        </w:rPr>
        <w:t>i</w:t>
      </w:r>
      <w:r w:rsidRPr="00DA42FF">
        <w:rPr>
          <w:szCs w:val="22"/>
        </w:rPr>
        <w:t xml:space="preserve"> dodržovat. </w:t>
      </w:r>
    </w:p>
    <w:p w:rsidR="00F958A9" w:rsidRPr="00DA42FF" w:rsidRDefault="00F958A9" w:rsidP="00AF52B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0"/>
        </w:rPr>
      </w:pPr>
      <w:r w:rsidRPr="00DA42FF">
        <w:rPr>
          <w:szCs w:val="22"/>
        </w:rPr>
        <w:t xml:space="preserve">V objektech věznice jsou provozovány činnosti se zvýšeným požárním nebezpečím. V těchto prostorách, vedle zákazu kouření, platí i zákaz </w:t>
      </w:r>
      <w:r w:rsidR="00AF52B6">
        <w:rPr>
          <w:szCs w:val="22"/>
        </w:rPr>
        <w:t>manipulace</w:t>
      </w:r>
      <w:r w:rsidRPr="00DA42FF">
        <w:rPr>
          <w:szCs w:val="22"/>
        </w:rPr>
        <w:t xml:space="preserve"> s otevřeným ohněm. </w:t>
      </w:r>
    </w:p>
    <w:p w:rsidR="00F958A9" w:rsidRPr="00DA42FF" w:rsidRDefault="00F958A9" w:rsidP="00AF52B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  <w:r>
        <w:t>Údržbové práce vyžadující použití otevřeného ohně (např. svařování, atd.) se mohou provádět pouze na základě zvláštního povolení ředitele věznice a za požárního dohledu jmenovitě určené osoby.</w:t>
      </w:r>
    </w:p>
    <w:p w:rsidR="00F958A9" w:rsidRPr="00DA42FF" w:rsidRDefault="00F958A9" w:rsidP="00AF52B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rPr>
          <w:szCs w:val="22"/>
        </w:rPr>
        <w:t xml:space="preserve">Každý úraz, který utrpí zaměstnanci dodavatele, musí být bezodkladně nahlášen </w:t>
      </w:r>
      <w:r w:rsidRPr="00DA42FF">
        <w:rPr>
          <w:szCs w:val="22"/>
        </w:rPr>
        <w:t>kontaktní osobě věznice nebo na vrátnici pracovníkům ostrahy, kteří zajistí podle potřeby poskytnutí první pomoci a přivolání rychlé záchranné služby. Místo, kde došlo k</w:t>
      </w:r>
      <w:r>
        <w:rPr>
          <w:szCs w:val="22"/>
        </w:rPr>
        <w:t> </w:t>
      </w:r>
      <w:r w:rsidRPr="00DA42FF">
        <w:rPr>
          <w:szCs w:val="22"/>
        </w:rPr>
        <w:t>úrazu</w:t>
      </w:r>
      <w:r>
        <w:rPr>
          <w:szCs w:val="22"/>
        </w:rPr>
        <w:t>,</w:t>
      </w:r>
      <w:r w:rsidRPr="00DA42FF">
        <w:rPr>
          <w:szCs w:val="22"/>
        </w:rPr>
        <w:t xml:space="preserve"> </w:t>
      </w:r>
      <w:r>
        <w:rPr>
          <w:szCs w:val="22"/>
        </w:rPr>
        <w:t xml:space="preserve">musí být ponecháno </w:t>
      </w:r>
      <w:r w:rsidRPr="00DA42FF">
        <w:rPr>
          <w:szCs w:val="22"/>
        </w:rPr>
        <w:t xml:space="preserve">v tom stavu, v jakém bylo v době, kdy k úrazu došlo. </w:t>
      </w:r>
    </w:p>
    <w:p w:rsidR="00F958A9" w:rsidRPr="00DA42FF" w:rsidRDefault="00F958A9" w:rsidP="00AF52B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0"/>
        </w:rPr>
      </w:pPr>
      <w:r>
        <w:t xml:space="preserve">V případě vzniku požáru jsou zaměstnanci dodavatele povinni tuto skutečnost bezodkladně oznámit kterémukoliv zaměstnanci věznice. </w:t>
      </w:r>
    </w:p>
    <w:p w:rsidR="00F958A9" w:rsidRDefault="00F958A9" w:rsidP="00AF52B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Před zahájením vlastní práce dodavatel předá kontaktní osobě (pokud to charakter práce vyžaduje) písemnou informaci o rizicích, které dodavatelem prováděné činnosti představují a jaká opatření k ochraně zaměstnanců dodavatele ale i dalších osob budou dodavatelem provedena samostatně, nebo za součinnosti objednatele.</w:t>
      </w:r>
    </w:p>
    <w:p w:rsidR="00F958A9" w:rsidRDefault="00F958A9" w:rsidP="00AF52B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V případě zákazu vstupu nepovolaných osob na místo výkonu prací dodavatel zajistí jeho označení vhodným bezpečnostním značením.</w:t>
      </w:r>
    </w:p>
    <w:p w:rsidR="000E4D54" w:rsidRDefault="00A42E98" w:rsidP="000E4D5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V případě prací, při kterých pracovníci dodavatele přijdou do kontaktu s vězněnými osobami, j</w:t>
      </w:r>
      <w:r w:rsidR="000E4D54">
        <w:t xml:space="preserve">e zakázáno jim předávat </w:t>
      </w:r>
      <w:r>
        <w:t xml:space="preserve">a od nich přebírat </w:t>
      </w:r>
      <w:r w:rsidR="000E4D54">
        <w:t xml:space="preserve">finanční částky a </w:t>
      </w:r>
      <w:r>
        <w:t xml:space="preserve">jakékoliv </w:t>
      </w:r>
      <w:r w:rsidR="000E4D54">
        <w:t xml:space="preserve">předměty, </w:t>
      </w:r>
    </w:p>
    <w:p w:rsidR="000E4D54" w:rsidRDefault="000E4D54" w:rsidP="000E4D54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které nemají vztah k pracovním úkolům, které vstupující osoba plní ve vazební věznici </w:t>
      </w:r>
    </w:p>
    <w:p w:rsidR="000E4D54" w:rsidRDefault="000E4D54" w:rsidP="000E4D54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(zejména korespondence, jídlo, alkohol, ústní i písemné vzkazy a léky). </w:t>
      </w:r>
    </w:p>
    <w:p w:rsidR="000E4D54" w:rsidRDefault="000E4D54" w:rsidP="000E4D5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 xml:space="preserve">S obviněnými nebo odsouzenými je zakázáno hovořit o věcech a problémech, které </w:t>
      </w:r>
    </w:p>
    <w:p w:rsidR="000E4D54" w:rsidRDefault="000E4D54" w:rsidP="000E4D54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nejsou v souladu s účelem vstupu do vazební věznice, postavením a zastávanou funkcí vstupující osoby. </w:t>
      </w:r>
    </w:p>
    <w:p w:rsidR="00484615" w:rsidRDefault="000E4D54" w:rsidP="000E4D5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lastRenderedPageBreak/>
        <w:t xml:space="preserve">V případě, že osobě bylo povoleno vnášení </w:t>
      </w:r>
      <w:r w:rsidR="00484615">
        <w:t xml:space="preserve">mobilního telefonu či </w:t>
      </w:r>
      <w:r>
        <w:t xml:space="preserve">záznamové techniky do prostorů vazební věznice, je zakázáno fotografování, filmování odsouzených (obviněných) a nahrávání rozhovorů a </w:t>
      </w:r>
      <w:r w:rsidR="00484615">
        <w:t>používání této techniky</w:t>
      </w:r>
      <w:r>
        <w:t xml:space="preserve"> odsouzeným</w:t>
      </w:r>
      <w:r w:rsidR="00484615">
        <w:t>i</w:t>
      </w:r>
      <w:r>
        <w:t xml:space="preserve"> (obviněným</w:t>
      </w:r>
      <w:r w:rsidR="00484615">
        <w:t>i)</w:t>
      </w:r>
      <w:r>
        <w:t>.</w:t>
      </w:r>
    </w:p>
    <w:p w:rsidR="000E4D54" w:rsidRDefault="00484615" w:rsidP="0048461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 xml:space="preserve">V případech zjištění porušení těchto pravidel může ředitel vazební věznice rozhodnout o zrušení vydaného povolení ke vstupu do vazební věznice. </w:t>
      </w:r>
      <w:r>
        <w:cr/>
      </w:r>
      <w:r w:rsidR="000E4D54">
        <w:t xml:space="preserve"> </w:t>
      </w:r>
    </w:p>
    <w:p w:rsidR="000E4D54" w:rsidRDefault="000E4D54" w:rsidP="000E4D54">
      <w:pPr>
        <w:autoSpaceDE w:val="0"/>
        <w:autoSpaceDN w:val="0"/>
        <w:adjustRightInd w:val="0"/>
        <w:jc w:val="both"/>
      </w:pPr>
    </w:p>
    <w:p w:rsidR="000E4D54" w:rsidRDefault="000E4D54" w:rsidP="000E4D54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484615" w:rsidRPr="00484615" w:rsidRDefault="00484615" w:rsidP="00484615">
      <w:pPr>
        <w:tabs>
          <w:tab w:val="num" w:pos="-2880"/>
        </w:tabs>
        <w:autoSpaceDE w:val="0"/>
        <w:autoSpaceDN w:val="0"/>
        <w:adjustRightInd w:val="0"/>
        <w:jc w:val="both"/>
        <w:rPr>
          <w:b/>
          <w:bCs/>
          <w:szCs w:val="22"/>
        </w:rPr>
      </w:pPr>
      <w:r w:rsidRPr="00484615">
        <w:rPr>
          <w:b/>
          <w:bCs/>
          <w:szCs w:val="22"/>
        </w:rPr>
        <w:t xml:space="preserve">Porušení „Poučení pro osoby vstupující do Vazební věznice </w:t>
      </w:r>
      <w:r>
        <w:rPr>
          <w:b/>
          <w:bCs/>
          <w:szCs w:val="22"/>
        </w:rPr>
        <w:t>Olomouc</w:t>
      </w:r>
      <w:r w:rsidRPr="00484615">
        <w:rPr>
          <w:b/>
          <w:bCs/>
          <w:szCs w:val="22"/>
        </w:rPr>
        <w:t xml:space="preserve">“ může být </w:t>
      </w:r>
    </w:p>
    <w:p w:rsidR="00484615" w:rsidRPr="00484615" w:rsidRDefault="00484615" w:rsidP="00484615">
      <w:pPr>
        <w:tabs>
          <w:tab w:val="num" w:pos="-2880"/>
        </w:tabs>
        <w:autoSpaceDE w:val="0"/>
        <w:autoSpaceDN w:val="0"/>
        <w:adjustRightInd w:val="0"/>
        <w:jc w:val="both"/>
        <w:rPr>
          <w:b/>
          <w:bCs/>
          <w:szCs w:val="22"/>
        </w:rPr>
      </w:pPr>
      <w:r w:rsidRPr="00484615">
        <w:rPr>
          <w:b/>
          <w:bCs/>
          <w:szCs w:val="22"/>
        </w:rPr>
        <w:t xml:space="preserve">také podnětem k zahájení trestního řízení z důvodu maření výkonu úředního rozhodnutí </w:t>
      </w:r>
    </w:p>
    <w:p w:rsidR="00484615" w:rsidRPr="00484615" w:rsidRDefault="00484615" w:rsidP="00484615">
      <w:pPr>
        <w:tabs>
          <w:tab w:val="num" w:pos="-2880"/>
        </w:tabs>
        <w:autoSpaceDE w:val="0"/>
        <w:autoSpaceDN w:val="0"/>
        <w:adjustRightInd w:val="0"/>
        <w:jc w:val="both"/>
        <w:rPr>
          <w:b/>
          <w:bCs/>
          <w:szCs w:val="22"/>
        </w:rPr>
      </w:pPr>
      <w:r w:rsidRPr="00484615">
        <w:rPr>
          <w:b/>
          <w:bCs/>
          <w:szCs w:val="22"/>
        </w:rPr>
        <w:t xml:space="preserve">dle ustanovení § 337 odst. 1 písm. g), h) zákona č. 40/2009 Sb., trestní zákoník, </w:t>
      </w:r>
      <w:proofErr w:type="gramStart"/>
      <w:r w:rsidRPr="00484615">
        <w:rPr>
          <w:b/>
          <w:bCs/>
          <w:szCs w:val="22"/>
        </w:rPr>
        <w:t>ve</w:t>
      </w:r>
      <w:proofErr w:type="gramEnd"/>
      <w:r w:rsidRPr="00484615">
        <w:rPr>
          <w:b/>
          <w:bCs/>
          <w:szCs w:val="22"/>
        </w:rPr>
        <w:t xml:space="preserve"> </w:t>
      </w:r>
    </w:p>
    <w:p w:rsidR="00484615" w:rsidRDefault="00484615" w:rsidP="00484615">
      <w:pPr>
        <w:tabs>
          <w:tab w:val="num" w:pos="-2880"/>
        </w:tabs>
        <w:autoSpaceDE w:val="0"/>
        <w:autoSpaceDN w:val="0"/>
        <w:adjustRightInd w:val="0"/>
        <w:jc w:val="both"/>
        <w:rPr>
          <w:b/>
          <w:bCs/>
          <w:szCs w:val="22"/>
        </w:rPr>
      </w:pPr>
      <w:r w:rsidRPr="00484615">
        <w:rPr>
          <w:b/>
          <w:bCs/>
          <w:szCs w:val="22"/>
        </w:rPr>
        <w:t xml:space="preserve">znění pozdějších předpisů. </w:t>
      </w:r>
      <w:r w:rsidRPr="00484615">
        <w:rPr>
          <w:b/>
          <w:bCs/>
          <w:szCs w:val="22"/>
        </w:rPr>
        <w:cr/>
      </w:r>
      <w:r>
        <w:rPr>
          <w:b/>
          <w:bCs/>
          <w:szCs w:val="22"/>
        </w:rPr>
        <w:t>------------------------------------------------------------------------------------------------------------------------</w:t>
      </w:r>
    </w:p>
    <w:p w:rsidR="00484615" w:rsidRDefault="00484615" w:rsidP="006F2FA8">
      <w:pPr>
        <w:tabs>
          <w:tab w:val="num" w:pos="-2880"/>
        </w:tabs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F958A9" w:rsidRDefault="00F958A9" w:rsidP="006F2FA8">
      <w:pPr>
        <w:tabs>
          <w:tab w:val="num" w:pos="-2880"/>
        </w:tabs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 xml:space="preserve">Prohlášení dodavatele prací nebo služeb: </w:t>
      </w:r>
      <w:r>
        <w:rPr>
          <w:szCs w:val="22"/>
        </w:rPr>
        <w:t>S výše uvedeným poučením jsem byl seznámen a zavazuji se k plnění pokynů, které Vazební věznice Olomouc pro dodavatele prací a služeb stanovuje.</w:t>
      </w:r>
    </w:p>
    <w:p w:rsidR="000B3F9A" w:rsidRDefault="000B3F9A" w:rsidP="000B3F9A">
      <w:pPr>
        <w:tabs>
          <w:tab w:val="num" w:pos="-2880"/>
        </w:tabs>
        <w:autoSpaceDE w:val="0"/>
        <w:autoSpaceDN w:val="0"/>
        <w:adjustRightInd w:val="0"/>
        <w:jc w:val="both"/>
        <w:rPr>
          <w:szCs w:val="22"/>
        </w:rPr>
      </w:pPr>
    </w:p>
    <w:p w:rsidR="00F958A9" w:rsidRDefault="00F958A9" w:rsidP="000B3F9A">
      <w:pPr>
        <w:tabs>
          <w:tab w:val="num" w:pos="-2880"/>
        </w:tabs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Poznámka: Toto poučení nevylučuje použití dalších bezpečnostních opatření, která vyplývají z pracovních rizik dodavatelem prováděných prací a předpokládá ze strany dodavatele (nebo jeho zaměstnanců) dodržování zásad bezpečné práce ve smyslu obecně závazných předpisů.</w:t>
      </w:r>
    </w:p>
    <w:p w:rsidR="00F958A9" w:rsidRDefault="00F958A9" w:rsidP="00B215E2">
      <w:pPr>
        <w:tabs>
          <w:tab w:val="num" w:pos="-2880"/>
        </w:tabs>
        <w:autoSpaceDE w:val="0"/>
        <w:autoSpaceDN w:val="0"/>
        <w:adjustRightInd w:val="0"/>
        <w:ind w:left="-142"/>
        <w:jc w:val="both"/>
        <w:rPr>
          <w:szCs w:val="22"/>
        </w:rPr>
      </w:pPr>
    </w:p>
    <w:p w:rsidR="00F958A9" w:rsidRPr="00B215E2" w:rsidRDefault="00F958A9" w:rsidP="000B3F9A">
      <w:pPr>
        <w:tabs>
          <w:tab w:val="num" w:pos="-2880"/>
        </w:tabs>
        <w:autoSpaceDE w:val="0"/>
        <w:autoSpaceDN w:val="0"/>
        <w:adjustRightInd w:val="0"/>
        <w:jc w:val="both"/>
        <w:rPr>
          <w:b/>
          <w:szCs w:val="22"/>
        </w:rPr>
      </w:pPr>
      <w:r w:rsidRPr="00B215E2">
        <w:rPr>
          <w:b/>
          <w:szCs w:val="22"/>
        </w:rPr>
        <w:t xml:space="preserve">V Olomouci dne: </w:t>
      </w:r>
      <w:r w:rsidRPr="00B215E2">
        <w:rPr>
          <w:b/>
          <w:szCs w:val="22"/>
        </w:rPr>
        <w:tab/>
      </w:r>
      <w:r w:rsidRPr="00B215E2">
        <w:rPr>
          <w:b/>
          <w:szCs w:val="22"/>
        </w:rPr>
        <w:tab/>
      </w:r>
      <w:r w:rsidRPr="00B215E2">
        <w:rPr>
          <w:b/>
          <w:szCs w:val="22"/>
        </w:rPr>
        <w:tab/>
      </w:r>
      <w:r w:rsidRPr="00B215E2">
        <w:rPr>
          <w:b/>
          <w:szCs w:val="22"/>
        </w:rPr>
        <w:tab/>
      </w:r>
      <w:r w:rsidRPr="00B215E2">
        <w:rPr>
          <w:b/>
          <w:szCs w:val="22"/>
        </w:rPr>
        <w:tab/>
      </w:r>
    </w:p>
    <w:sectPr w:rsidR="00F958A9" w:rsidRPr="00B215E2" w:rsidSect="00B74CC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134" w:bottom="993" w:left="1134" w:header="17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7C" w:rsidRDefault="00C72F7C" w:rsidP="00F958A9">
      <w:r>
        <w:separator/>
      </w:r>
    </w:p>
  </w:endnote>
  <w:endnote w:type="continuationSeparator" w:id="0">
    <w:p w:rsidR="00C72F7C" w:rsidRDefault="00C72F7C" w:rsidP="00F9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54" w:rsidRDefault="000E4D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4D54" w:rsidRDefault="000E4D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28076"/>
      <w:docPartObj>
        <w:docPartGallery w:val="Page Numbers (Bottom of Page)"/>
        <w:docPartUnique/>
      </w:docPartObj>
    </w:sdtPr>
    <w:sdtContent>
      <w:p w:rsidR="00B74CC6" w:rsidRDefault="00B74CC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4D54" w:rsidRDefault="000E4D54" w:rsidP="000B3F9A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54" w:rsidRDefault="000E4D54" w:rsidP="00692C3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7C" w:rsidRDefault="00C72F7C" w:rsidP="00F958A9">
      <w:r>
        <w:separator/>
      </w:r>
    </w:p>
  </w:footnote>
  <w:footnote w:type="continuationSeparator" w:id="0">
    <w:p w:rsidR="00C72F7C" w:rsidRDefault="00C72F7C" w:rsidP="00F9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ook w:val="04A0" w:firstRow="1" w:lastRow="0" w:firstColumn="1" w:lastColumn="0" w:noHBand="0" w:noVBand="1"/>
    </w:tblPr>
    <w:tblGrid>
      <w:gridCol w:w="1304"/>
      <w:gridCol w:w="8222"/>
    </w:tblGrid>
    <w:tr w:rsidR="000E4D54" w:rsidRPr="000D292F" w:rsidTr="00692C32">
      <w:trPr>
        <w:trHeight w:val="1415"/>
      </w:trPr>
      <w:tc>
        <w:tcPr>
          <w:tcW w:w="1304" w:type="dxa"/>
          <w:tcMar>
            <w:left w:w="28" w:type="dxa"/>
            <w:right w:w="28" w:type="dxa"/>
          </w:tcMar>
          <w:vAlign w:val="center"/>
        </w:tcPr>
        <w:p w:rsidR="000E4D54" w:rsidRPr="000D292F" w:rsidRDefault="000E4D54" w:rsidP="00692C32">
          <w:pPr>
            <w:keepNext/>
            <w:jc w:val="center"/>
          </w:pPr>
        </w:p>
      </w:tc>
      <w:tc>
        <w:tcPr>
          <w:tcW w:w="8222" w:type="dxa"/>
          <w:tcMar>
            <w:left w:w="142" w:type="dxa"/>
            <w:right w:w="85" w:type="dxa"/>
          </w:tcMar>
          <w:vAlign w:val="center"/>
        </w:tcPr>
        <w:p w:rsidR="000E4D54" w:rsidRPr="000D292F" w:rsidRDefault="000E4D54" w:rsidP="00692C32">
          <w:pPr>
            <w:rPr>
              <w:rFonts w:ascii="Arial" w:hAnsi="Arial" w:cs="Arial"/>
            </w:rPr>
          </w:pPr>
        </w:p>
      </w:tc>
    </w:tr>
  </w:tbl>
  <w:p w:rsidR="000E4D54" w:rsidRPr="009E2E51" w:rsidRDefault="000E4D54" w:rsidP="000B3F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F6AC7"/>
    <w:multiLevelType w:val="hybridMultilevel"/>
    <w:tmpl w:val="1400C23E"/>
    <w:lvl w:ilvl="0" w:tplc="D1123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A9"/>
    <w:rsid w:val="000B3F9A"/>
    <w:rsid w:val="000E4D54"/>
    <w:rsid w:val="00484615"/>
    <w:rsid w:val="004876E5"/>
    <w:rsid w:val="004B661E"/>
    <w:rsid w:val="004F3B13"/>
    <w:rsid w:val="00692C32"/>
    <w:rsid w:val="006F2FA8"/>
    <w:rsid w:val="009252AD"/>
    <w:rsid w:val="00975263"/>
    <w:rsid w:val="00A42E98"/>
    <w:rsid w:val="00AF52B6"/>
    <w:rsid w:val="00B215E2"/>
    <w:rsid w:val="00B74CC6"/>
    <w:rsid w:val="00C72F7C"/>
    <w:rsid w:val="00C905F5"/>
    <w:rsid w:val="00E17C1C"/>
    <w:rsid w:val="00F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58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5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58A9"/>
    <w:rPr>
      <w:sz w:val="24"/>
      <w:szCs w:val="24"/>
    </w:rPr>
  </w:style>
  <w:style w:type="character" w:styleId="slostrnky">
    <w:name w:val="page number"/>
    <w:basedOn w:val="Standardnpsmoodstavce"/>
    <w:rsid w:val="00F958A9"/>
  </w:style>
  <w:style w:type="paragraph" w:styleId="Zpat">
    <w:name w:val="footer"/>
    <w:basedOn w:val="Normln"/>
    <w:link w:val="ZpatChar"/>
    <w:uiPriority w:val="99"/>
    <w:rsid w:val="00F958A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958A9"/>
    <w:rPr>
      <w:sz w:val="24"/>
    </w:rPr>
  </w:style>
  <w:style w:type="paragraph" w:styleId="Nzev">
    <w:name w:val="Title"/>
    <w:basedOn w:val="Normln"/>
    <w:link w:val="NzevChar"/>
    <w:qFormat/>
    <w:rsid w:val="00F958A9"/>
    <w:pPr>
      <w:autoSpaceDE w:val="0"/>
      <w:autoSpaceDN w:val="0"/>
      <w:adjustRightInd w:val="0"/>
      <w:spacing w:line="360" w:lineRule="auto"/>
      <w:jc w:val="center"/>
    </w:pPr>
    <w:rPr>
      <w:rFonts w:ascii="TimesNewRoman" w:hAnsi="TimesNewRoman"/>
      <w:b/>
      <w:bCs/>
      <w:sz w:val="26"/>
      <w:szCs w:val="28"/>
    </w:rPr>
  </w:style>
  <w:style w:type="character" w:customStyle="1" w:styleId="NzevChar">
    <w:name w:val="Název Char"/>
    <w:basedOn w:val="Standardnpsmoodstavce"/>
    <w:link w:val="Nzev"/>
    <w:rsid w:val="00F958A9"/>
    <w:rPr>
      <w:rFonts w:ascii="TimesNewRoman" w:hAnsi="TimesNewRoman"/>
      <w:b/>
      <w:bCs/>
      <w:sz w:val="26"/>
      <w:szCs w:val="28"/>
    </w:rPr>
  </w:style>
  <w:style w:type="character" w:styleId="Siln">
    <w:name w:val="Strong"/>
    <w:uiPriority w:val="22"/>
    <w:qFormat/>
    <w:rsid w:val="00F958A9"/>
    <w:rPr>
      <w:b/>
      <w:bCs/>
    </w:rPr>
  </w:style>
  <w:style w:type="character" w:customStyle="1" w:styleId="apple-converted-space">
    <w:name w:val="apple-converted-space"/>
    <w:rsid w:val="00F958A9"/>
  </w:style>
  <w:style w:type="paragraph" w:styleId="Textbubliny">
    <w:name w:val="Balloon Text"/>
    <w:basedOn w:val="Normln"/>
    <w:link w:val="TextbublinyChar"/>
    <w:rsid w:val="00F95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58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5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58A9"/>
    <w:rPr>
      <w:sz w:val="24"/>
      <w:szCs w:val="24"/>
    </w:rPr>
  </w:style>
  <w:style w:type="character" w:styleId="slostrnky">
    <w:name w:val="page number"/>
    <w:basedOn w:val="Standardnpsmoodstavce"/>
    <w:rsid w:val="00F958A9"/>
  </w:style>
  <w:style w:type="paragraph" w:styleId="Zpat">
    <w:name w:val="footer"/>
    <w:basedOn w:val="Normln"/>
    <w:link w:val="ZpatChar"/>
    <w:uiPriority w:val="99"/>
    <w:rsid w:val="00F958A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958A9"/>
    <w:rPr>
      <w:sz w:val="24"/>
    </w:rPr>
  </w:style>
  <w:style w:type="paragraph" w:styleId="Nzev">
    <w:name w:val="Title"/>
    <w:basedOn w:val="Normln"/>
    <w:link w:val="NzevChar"/>
    <w:qFormat/>
    <w:rsid w:val="00F958A9"/>
    <w:pPr>
      <w:autoSpaceDE w:val="0"/>
      <w:autoSpaceDN w:val="0"/>
      <w:adjustRightInd w:val="0"/>
      <w:spacing w:line="360" w:lineRule="auto"/>
      <w:jc w:val="center"/>
    </w:pPr>
    <w:rPr>
      <w:rFonts w:ascii="TimesNewRoman" w:hAnsi="TimesNewRoman"/>
      <w:b/>
      <w:bCs/>
      <w:sz w:val="26"/>
      <w:szCs w:val="28"/>
    </w:rPr>
  </w:style>
  <w:style w:type="character" w:customStyle="1" w:styleId="NzevChar">
    <w:name w:val="Název Char"/>
    <w:basedOn w:val="Standardnpsmoodstavce"/>
    <w:link w:val="Nzev"/>
    <w:rsid w:val="00F958A9"/>
    <w:rPr>
      <w:rFonts w:ascii="TimesNewRoman" w:hAnsi="TimesNewRoman"/>
      <w:b/>
      <w:bCs/>
      <w:sz w:val="26"/>
      <w:szCs w:val="28"/>
    </w:rPr>
  </w:style>
  <w:style w:type="character" w:styleId="Siln">
    <w:name w:val="Strong"/>
    <w:uiPriority w:val="22"/>
    <w:qFormat/>
    <w:rsid w:val="00F958A9"/>
    <w:rPr>
      <w:b/>
      <w:bCs/>
    </w:rPr>
  </w:style>
  <w:style w:type="character" w:customStyle="1" w:styleId="apple-converted-space">
    <w:name w:val="apple-converted-space"/>
    <w:rsid w:val="00F958A9"/>
  </w:style>
  <w:style w:type="paragraph" w:styleId="Textbubliny">
    <w:name w:val="Balloon Text"/>
    <w:basedOn w:val="Normln"/>
    <w:link w:val="TextbublinyChar"/>
    <w:rsid w:val="00F95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9E71F5E3</Template>
  <TotalTime>7</TotalTime>
  <Pages>2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Tilkeridis Petr</dc:creator>
  <cp:lastModifiedBy>Tilkeridis Petr</cp:lastModifiedBy>
  <cp:revision>4</cp:revision>
  <cp:lastPrinted>2014-03-26T08:48:00Z</cp:lastPrinted>
  <dcterms:created xsi:type="dcterms:W3CDTF">2014-04-04T06:14:00Z</dcterms:created>
  <dcterms:modified xsi:type="dcterms:W3CDTF">2014-05-02T11:17:00Z</dcterms:modified>
</cp:coreProperties>
</file>