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2" w:rsidRPr="00E948B8" w:rsidRDefault="00380B12" w:rsidP="00380B12">
      <w:pPr>
        <w:pStyle w:val="Nadpis8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343076">
        <w:rPr>
          <w:rFonts w:ascii="Times New Roman" w:hAnsi="Times New Roman"/>
          <w:b/>
          <w:color w:val="auto"/>
          <w:sz w:val="28"/>
          <w:szCs w:val="28"/>
          <w:u w:val="single"/>
        </w:rPr>
        <w:t>Technické</w:t>
      </w:r>
      <w:r w:rsidR="00D11156" w:rsidRPr="0034307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343076">
        <w:rPr>
          <w:rFonts w:ascii="Times New Roman" w:hAnsi="Times New Roman"/>
          <w:b/>
          <w:color w:val="auto"/>
          <w:sz w:val="28"/>
          <w:szCs w:val="28"/>
          <w:u w:val="single"/>
        </w:rPr>
        <w:t>podmínky</w:t>
      </w:r>
    </w:p>
    <w:p w:rsidR="00380B12" w:rsidRPr="00E948B8" w:rsidRDefault="00380B12" w:rsidP="00380B12">
      <w:pPr>
        <w:rPr>
          <w:sz w:val="20"/>
          <w:szCs w:val="20"/>
        </w:rPr>
      </w:pPr>
    </w:p>
    <w:p w:rsidR="00003C19" w:rsidRDefault="004C6887" w:rsidP="004C6887">
      <w:pPr>
        <w:ind w:firstLine="708"/>
        <w:jc w:val="both"/>
      </w:pPr>
      <w:r>
        <w:rPr>
          <w:lang w:val="x-none"/>
        </w:rPr>
        <w:t>Předmět</w:t>
      </w:r>
      <w:r>
        <w:t>em</w:t>
      </w:r>
      <w:r>
        <w:rPr>
          <w:lang w:val="x-none"/>
        </w:rPr>
        <w:t xml:space="preserve"> této </w:t>
      </w:r>
      <w:r>
        <w:t>zakázky</w:t>
      </w:r>
      <w:r>
        <w:rPr>
          <w:lang w:val="x-none"/>
        </w:rPr>
        <w:t xml:space="preserve"> je</w:t>
      </w:r>
      <w:r>
        <w:t xml:space="preserve"> poskytnutí </w:t>
      </w:r>
      <w:r w:rsidR="00003C19">
        <w:t>následujících licencí:</w:t>
      </w:r>
    </w:p>
    <w:p w:rsidR="00003C19" w:rsidRDefault="00003C19" w:rsidP="004C6887">
      <w:pPr>
        <w:ind w:firstLine="708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307"/>
      </w:tblGrid>
      <w:tr w:rsidR="00003C19" w:rsidTr="00C14745">
        <w:trPr>
          <w:trHeight w:val="454"/>
        </w:trPr>
        <w:tc>
          <w:tcPr>
            <w:tcW w:w="2943" w:type="dxa"/>
            <w:vAlign w:val="center"/>
          </w:tcPr>
          <w:p w:rsidR="00003C19" w:rsidRPr="002A1F77" w:rsidRDefault="00003C19" w:rsidP="004C6887">
            <w:pPr>
              <w:jc w:val="both"/>
              <w:rPr>
                <w:sz w:val="24"/>
                <w:szCs w:val="24"/>
              </w:rPr>
            </w:pPr>
            <w:r w:rsidRPr="002A1F77">
              <w:rPr>
                <w:sz w:val="24"/>
                <w:szCs w:val="24"/>
              </w:rPr>
              <w:t>Označení produktu</w:t>
            </w:r>
          </w:p>
        </w:tc>
        <w:tc>
          <w:tcPr>
            <w:tcW w:w="4962" w:type="dxa"/>
            <w:vAlign w:val="center"/>
          </w:tcPr>
          <w:p w:rsidR="00003C19" w:rsidRPr="002A1F77" w:rsidRDefault="002A1F77" w:rsidP="004C6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</w:t>
            </w:r>
          </w:p>
        </w:tc>
        <w:tc>
          <w:tcPr>
            <w:tcW w:w="1307" w:type="dxa"/>
            <w:vAlign w:val="center"/>
          </w:tcPr>
          <w:p w:rsidR="002A1F77" w:rsidRPr="002A1F77" w:rsidRDefault="002A1F77" w:rsidP="004C6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</w:tr>
      <w:tr w:rsidR="00003C19" w:rsidTr="00C14745">
        <w:trPr>
          <w:trHeight w:val="454"/>
        </w:trPr>
        <w:tc>
          <w:tcPr>
            <w:tcW w:w="2943" w:type="dxa"/>
            <w:vAlign w:val="center"/>
          </w:tcPr>
          <w:p w:rsidR="00003C19" w:rsidRPr="002A1F77" w:rsidRDefault="00AC50E8" w:rsidP="004C6887">
            <w:pPr>
              <w:jc w:val="both"/>
              <w:rPr>
                <w:sz w:val="24"/>
                <w:szCs w:val="24"/>
              </w:rPr>
            </w:pPr>
            <w:proofErr w:type="spellStart"/>
            <w:r w:rsidRPr="00AC50E8">
              <w:rPr>
                <w:sz w:val="24"/>
                <w:szCs w:val="24"/>
              </w:rPr>
              <w:t>FlowMon</w:t>
            </w:r>
            <w:proofErr w:type="spellEnd"/>
            <w:r w:rsidRPr="00AC50E8">
              <w:rPr>
                <w:sz w:val="24"/>
                <w:szCs w:val="24"/>
              </w:rPr>
              <w:t xml:space="preserve"> APM </w:t>
            </w:r>
            <w:proofErr w:type="spellStart"/>
            <w:r w:rsidRPr="00AC50E8">
              <w:rPr>
                <w:sz w:val="24"/>
                <w:szCs w:val="24"/>
              </w:rPr>
              <w:t>Corporate</w:t>
            </w:r>
            <w:proofErr w:type="spellEnd"/>
          </w:p>
        </w:tc>
        <w:tc>
          <w:tcPr>
            <w:tcW w:w="4962" w:type="dxa"/>
            <w:vAlign w:val="center"/>
          </w:tcPr>
          <w:p w:rsidR="00003C19" w:rsidRPr="002A1F77" w:rsidRDefault="00AC50E8" w:rsidP="004C6887">
            <w:pPr>
              <w:jc w:val="both"/>
              <w:rPr>
                <w:sz w:val="24"/>
                <w:szCs w:val="24"/>
              </w:rPr>
            </w:pPr>
            <w:r w:rsidRPr="00AC50E8">
              <w:rPr>
                <w:sz w:val="24"/>
                <w:szCs w:val="24"/>
              </w:rPr>
              <w:t xml:space="preserve">10 000 </w:t>
            </w:r>
            <w:proofErr w:type="spellStart"/>
            <w:r w:rsidRPr="00AC50E8">
              <w:rPr>
                <w:sz w:val="24"/>
                <w:szCs w:val="24"/>
              </w:rPr>
              <w:t>tpm</w:t>
            </w:r>
            <w:proofErr w:type="spellEnd"/>
            <w:r w:rsidRPr="00AC50E8">
              <w:rPr>
                <w:sz w:val="24"/>
                <w:szCs w:val="24"/>
              </w:rPr>
              <w:t>*, 1/10GbE, centrální konzole, 8 sond</w:t>
            </w:r>
            <w:r>
              <w:rPr>
                <w:sz w:val="24"/>
                <w:szCs w:val="24"/>
              </w:rPr>
              <w:t xml:space="preserve"> včetně ročního GS</w:t>
            </w:r>
          </w:p>
        </w:tc>
        <w:tc>
          <w:tcPr>
            <w:tcW w:w="1307" w:type="dxa"/>
            <w:vAlign w:val="center"/>
          </w:tcPr>
          <w:p w:rsidR="00003C19" w:rsidRPr="002A1F77" w:rsidRDefault="002A1F77" w:rsidP="004C6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kus</w:t>
            </w:r>
          </w:p>
        </w:tc>
      </w:tr>
      <w:tr w:rsidR="00003C19" w:rsidTr="00C14745">
        <w:trPr>
          <w:trHeight w:val="454"/>
        </w:trPr>
        <w:tc>
          <w:tcPr>
            <w:tcW w:w="2943" w:type="dxa"/>
            <w:vAlign w:val="center"/>
          </w:tcPr>
          <w:p w:rsidR="00003C19" w:rsidRPr="002A1F77" w:rsidRDefault="00AC50E8" w:rsidP="004C6887">
            <w:pPr>
              <w:jc w:val="both"/>
              <w:rPr>
                <w:sz w:val="24"/>
                <w:szCs w:val="24"/>
              </w:rPr>
            </w:pPr>
            <w:proofErr w:type="spellStart"/>
            <w:r w:rsidRPr="00AC50E8">
              <w:rPr>
                <w:sz w:val="24"/>
                <w:szCs w:val="24"/>
              </w:rPr>
              <w:t>FlowMon</w:t>
            </w:r>
            <w:proofErr w:type="spellEnd"/>
            <w:r w:rsidRPr="00AC50E8">
              <w:rPr>
                <w:sz w:val="24"/>
                <w:szCs w:val="24"/>
              </w:rPr>
              <w:t xml:space="preserve"> ADS </w:t>
            </w:r>
            <w:proofErr w:type="spellStart"/>
            <w:r w:rsidRPr="00AC50E8">
              <w:rPr>
                <w:sz w:val="24"/>
                <w:szCs w:val="24"/>
              </w:rPr>
              <w:t>Corporate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47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upgrade</w:t>
            </w:r>
            <w:r w:rsidR="00C14745">
              <w:rPr>
                <w:sz w:val="24"/>
                <w:szCs w:val="24"/>
              </w:rPr>
              <w:t xml:space="preserve"> z verze </w:t>
            </w:r>
            <w:proofErr w:type="spellStart"/>
            <w:r w:rsidR="00C14745">
              <w:rPr>
                <w:sz w:val="24"/>
                <w:szCs w:val="24"/>
              </w:rPr>
              <w:t>Bussiness</w:t>
            </w:r>
            <w:proofErr w:type="spellEnd"/>
          </w:p>
        </w:tc>
        <w:tc>
          <w:tcPr>
            <w:tcW w:w="4962" w:type="dxa"/>
            <w:vAlign w:val="center"/>
          </w:tcPr>
          <w:p w:rsidR="00003C19" w:rsidRPr="002A1F77" w:rsidRDefault="00AC50E8" w:rsidP="004C6887">
            <w:pPr>
              <w:jc w:val="both"/>
              <w:rPr>
                <w:sz w:val="24"/>
                <w:szCs w:val="24"/>
              </w:rPr>
            </w:pPr>
            <w:r w:rsidRPr="00AC50E8">
              <w:rPr>
                <w:sz w:val="24"/>
                <w:szCs w:val="24"/>
              </w:rPr>
              <w:t>3 FCP*, výkon až 3000 toků/s na FCP</w:t>
            </w:r>
            <w:r>
              <w:rPr>
                <w:sz w:val="24"/>
                <w:szCs w:val="24"/>
              </w:rPr>
              <w:t xml:space="preserve"> – upgrade ze stávající verze </w:t>
            </w:r>
            <w:proofErr w:type="spellStart"/>
            <w:r>
              <w:rPr>
                <w:sz w:val="24"/>
                <w:szCs w:val="24"/>
              </w:rPr>
              <w:t>Bussiness</w:t>
            </w:r>
            <w:proofErr w:type="spellEnd"/>
            <w:r>
              <w:rPr>
                <w:sz w:val="24"/>
                <w:szCs w:val="24"/>
              </w:rPr>
              <w:t xml:space="preserve"> včetně ročního GS</w:t>
            </w:r>
          </w:p>
        </w:tc>
        <w:tc>
          <w:tcPr>
            <w:tcW w:w="1307" w:type="dxa"/>
            <w:vAlign w:val="center"/>
          </w:tcPr>
          <w:p w:rsidR="00003C19" w:rsidRPr="002A1F77" w:rsidRDefault="00AC50E8" w:rsidP="00AC5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kus</w:t>
            </w:r>
          </w:p>
        </w:tc>
      </w:tr>
    </w:tbl>
    <w:p w:rsidR="00003C19" w:rsidRDefault="00003C19" w:rsidP="004C6887">
      <w:pPr>
        <w:ind w:firstLine="708"/>
        <w:jc w:val="both"/>
      </w:pPr>
    </w:p>
    <w:p w:rsidR="00003C19" w:rsidRDefault="00003C19" w:rsidP="00003C19">
      <w:pPr>
        <w:jc w:val="both"/>
      </w:pPr>
    </w:p>
    <w:p w:rsidR="004C6887" w:rsidRDefault="00637092" w:rsidP="004C6887">
      <w:pPr>
        <w:jc w:val="both"/>
      </w:pPr>
      <w:r>
        <w:t xml:space="preserve">Stávající Gold Support pro produkt </w:t>
      </w:r>
      <w:proofErr w:type="spellStart"/>
      <w:r w:rsidR="00AC50E8" w:rsidRPr="00AC50E8">
        <w:t>FlowMon</w:t>
      </w:r>
      <w:proofErr w:type="spellEnd"/>
      <w:r w:rsidR="00AC50E8" w:rsidRPr="00AC50E8">
        <w:t xml:space="preserve"> ADS Business</w:t>
      </w:r>
      <w:r>
        <w:t xml:space="preserve"> má zadavatel zakoupen do 31. 1. 2017</w:t>
      </w:r>
      <w:r w:rsidR="00D53C24">
        <w:t>. Dob</w:t>
      </w:r>
      <w:r w:rsidR="00FA50FD">
        <w:t>u</w:t>
      </w:r>
      <w:r w:rsidR="00D53C24">
        <w:t xml:space="preserve"> platnosti poptávaných Gold Support licencí požadujeme sjednotit do 31. 1. 2018. </w:t>
      </w:r>
      <w:r w:rsidR="004C6887">
        <w:t xml:space="preserve">Poskytovatel </w:t>
      </w:r>
      <w:r w:rsidR="005902CF">
        <w:t xml:space="preserve">musí </w:t>
      </w:r>
      <w:r w:rsidR="004C6887">
        <w:t>aplik</w:t>
      </w:r>
      <w:r w:rsidR="005902CF">
        <w:t>ovat</w:t>
      </w:r>
      <w:r w:rsidR="004C6887">
        <w:t xml:space="preserve"> zakoupen</w:t>
      </w:r>
      <w:r w:rsidR="00D53C24">
        <w:t>é</w:t>
      </w:r>
      <w:r w:rsidR="004C6887">
        <w:t xml:space="preserve"> licenc</w:t>
      </w:r>
      <w:r w:rsidR="00D53C24">
        <w:t>e</w:t>
      </w:r>
      <w:r w:rsidR="004C6887">
        <w:t xml:space="preserve"> tak, aby poskytnut</w:t>
      </w:r>
      <w:r w:rsidR="00D53C24">
        <w:t>é</w:t>
      </w:r>
      <w:r w:rsidR="004C6887">
        <w:t xml:space="preserve"> licence spolu s nabyvatelem nyní užívan</w:t>
      </w:r>
      <w:r w:rsidR="00AC50E8">
        <w:t>ou</w:t>
      </w:r>
      <w:r w:rsidR="004C6887">
        <w:t xml:space="preserve"> licenc</w:t>
      </w:r>
      <w:r w:rsidR="00AC50E8">
        <w:t xml:space="preserve">í </w:t>
      </w:r>
      <w:r w:rsidR="004C6887">
        <w:t>zajistil</w:t>
      </w:r>
      <w:r w:rsidR="00A311DC">
        <w:t>i</w:t>
      </w:r>
      <w:r w:rsidR="004C6887">
        <w:t>, že nabyvatel bude oprávněným uživatelem licenc</w:t>
      </w:r>
      <w:r w:rsidR="00D53C24">
        <w:t xml:space="preserve">í Gold Support </w:t>
      </w:r>
      <w:r w:rsidR="00AC50E8">
        <w:t xml:space="preserve">pro poptávané licence </w:t>
      </w:r>
      <w:r w:rsidR="004C6887">
        <w:t>na dobu jednoho roku</w:t>
      </w:r>
      <w:r w:rsidR="00D53C24">
        <w:t>, tedy do 3</w:t>
      </w:r>
      <w:r w:rsidR="004C6887">
        <w:t>1. 1. 201</w:t>
      </w:r>
      <w:r w:rsidR="00D53C24">
        <w:t>8</w:t>
      </w:r>
      <w:r w:rsidR="004C6887">
        <w:t>.</w:t>
      </w:r>
    </w:p>
    <w:p w:rsidR="00A311DC" w:rsidRPr="004005A1" w:rsidRDefault="00A311DC" w:rsidP="004C6887">
      <w:pPr>
        <w:jc w:val="both"/>
        <w:rPr>
          <w:b/>
          <w:bCs/>
          <w:sz w:val="20"/>
          <w:szCs w:val="20"/>
        </w:rPr>
      </w:pPr>
    </w:p>
    <w:p w:rsidR="00380B12" w:rsidRPr="00E948B8" w:rsidRDefault="00380B12" w:rsidP="00380B12">
      <w:pPr>
        <w:pStyle w:val="Nadpis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u w:val="single"/>
        </w:rPr>
      </w:pPr>
      <w:r w:rsidRPr="00E948B8">
        <w:rPr>
          <w:rFonts w:ascii="Times New Roman" w:hAnsi="Times New Roman"/>
          <w:bCs w:val="0"/>
          <w:color w:val="auto"/>
          <w:sz w:val="24"/>
          <w:szCs w:val="24"/>
          <w:u w:val="single"/>
        </w:rPr>
        <w:t>Společné podmínky</w:t>
      </w:r>
    </w:p>
    <w:p w:rsidR="00380B12" w:rsidRPr="00E948B8" w:rsidRDefault="00380B12" w:rsidP="00380B12">
      <w:pPr>
        <w:rPr>
          <w:sz w:val="20"/>
          <w:szCs w:val="20"/>
        </w:rPr>
      </w:pPr>
    </w:p>
    <w:p w:rsidR="00EC0436" w:rsidRDefault="00EC0436" w:rsidP="00EC0436">
      <w:pPr>
        <w:jc w:val="both"/>
      </w:pPr>
      <w:r w:rsidRPr="006B5987">
        <w:t xml:space="preserve">Obsahem nabídky musí být </w:t>
      </w:r>
      <w:r w:rsidR="002363F9">
        <w:t>poskytnu</w:t>
      </w:r>
      <w:bookmarkStart w:id="0" w:name="_GoBack"/>
      <w:bookmarkEnd w:id="0"/>
      <w:r w:rsidR="002363F9">
        <w:t>tí</w:t>
      </w:r>
      <w:r w:rsidR="006302D9">
        <w:t xml:space="preserve"> výše uveden</w:t>
      </w:r>
      <w:r w:rsidR="00D53C24">
        <w:t>ých</w:t>
      </w:r>
      <w:r w:rsidR="006302D9">
        <w:t xml:space="preserve"> </w:t>
      </w:r>
      <w:r w:rsidR="00C53C1B">
        <w:t>licenc</w:t>
      </w:r>
      <w:r w:rsidR="00D53C24">
        <w:t>í</w:t>
      </w:r>
      <w:r w:rsidRPr="006B5987">
        <w:t xml:space="preserve">. Nabídka musí obsahovat popis a </w:t>
      </w:r>
      <w:r w:rsidR="006302D9">
        <w:t>celkovou</w:t>
      </w:r>
      <w:r w:rsidRPr="006B5987">
        <w:t xml:space="preserve"> cenu nabízen</w:t>
      </w:r>
      <w:r w:rsidR="00D53C24">
        <w:t>ých</w:t>
      </w:r>
      <w:r w:rsidR="002363F9">
        <w:t xml:space="preserve"> licenc</w:t>
      </w:r>
      <w:r w:rsidR="00D53C24">
        <w:t>í</w:t>
      </w:r>
      <w:r w:rsidRPr="006B5987">
        <w:t xml:space="preserve">. Ceny je třeba uvádět bez a včetně DPH. </w:t>
      </w:r>
      <w:r w:rsidR="006302D9">
        <w:t>Plnění prob</w:t>
      </w:r>
      <w:r w:rsidR="002363F9">
        <w:t>ěhne</w:t>
      </w:r>
      <w:r w:rsidR="006302D9">
        <w:t xml:space="preserve"> </w:t>
      </w:r>
      <w:r w:rsidR="002363F9">
        <w:t>do 20 dnů o</w:t>
      </w:r>
      <w:r w:rsidR="006302D9">
        <w:t>d podpisu smlouvy.</w:t>
      </w:r>
    </w:p>
    <w:p w:rsidR="00EC0436" w:rsidRPr="003120A1" w:rsidRDefault="00EC0436" w:rsidP="00EC0436">
      <w:r w:rsidRPr="003120A1">
        <w:t xml:space="preserve">S uchazečem bude uzavřena smlouva podle </w:t>
      </w:r>
      <w:r w:rsidR="005201A3" w:rsidRPr="005201A3">
        <w:t xml:space="preserve">§ 2586 </w:t>
      </w:r>
      <w:r w:rsidRPr="003120A1">
        <w:t xml:space="preserve">zákona č. </w:t>
      </w:r>
      <w:r w:rsidR="005201A3">
        <w:t>89</w:t>
      </w:r>
      <w:r w:rsidRPr="003120A1">
        <w:t>/</w:t>
      </w:r>
      <w:r w:rsidR="005201A3">
        <w:t>2012</w:t>
      </w:r>
      <w:r w:rsidRPr="003120A1">
        <w:t xml:space="preserve"> Sb.</w:t>
      </w:r>
      <w:r w:rsidR="005201A3">
        <w:t>,</w:t>
      </w:r>
      <w:r w:rsidRPr="003120A1">
        <w:t xml:space="preserve"> Ob</w:t>
      </w:r>
      <w:r w:rsidR="005201A3">
        <w:t>čanský</w:t>
      </w:r>
      <w:r w:rsidRPr="003120A1">
        <w:t xml:space="preserve"> zákoník v platném znění. U platebních podmínek je ve smlouvě požadována splatnost faktury 30 dní.</w:t>
      </w:r>
    </w:p>
    <w:p w:rsidR="00EC0436" w:rsidRPr="006B5987" w:rsidRDefault="00EC0436" w:rsidP="00EC0436">
      <w:pPr>
        <w:jc w:val="both"/>
      </w:pPr>
    </w:p>
    <w:p w:rsidR="00380B12" w:rsidRPr="00E948B8" w:rsidRDefault="00380B12" w:rsidP="00380B1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80B12" w:rsidRPr="00E948B8" w:rsidRDefault="00380B12" w:rsidP="00380B12">
      <w:pPr>
        <w:pStyle w:val="Nadpis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/>
          <w:bCs w:val="0"/>
          <w:color w:val="auto"/>
          <w:sz w:val="24"/>
          <w:szCs w:val="24"/>
          <w:u w:val="single"/>
        </w:rPr>
      </w:pPr>
      <w:r w:rsidRPr="00E948B8">
        <w:rPr>
          <w:rFonts w:ascii="Times New Roman" w:hAnsi="Times New Roman"/>
          <w:bCs w:val="0"/>
          <w:color w:val="auto"/>
          <w:sz w:val="24"/>
          <w:szCs w:val="24"/>
          <w:u w:val="single"/>
        </w:rPr>
        <w:t xml:space="preserve">Záruční podmínky </w:t>
      </w:r>
    </w:p>
    <w:p w:rsidR="00082FB1" w:rsidRPr="00E948B8" w:rsidRDefault="006A14D3" w:rsidP="00380B12">
      <w:pPr>
        <w:jc w:val="both"/>
      </w:pPr>
      <w:r w:rsidRPr="00E066DA">
        <w:t xml:space="preserve">Zadavatel požaduje </w:t>
      </w:r>
      <w:r w:rsidR="00EC0436">
        <w:t>záruku 6 měsíců na provedené práce.</w:t>
      </w:r>
    </w:p>
    <w:sectPr w:rsidR="00082FB1" w:rsidRPr="00E948B8" w:rsidSect="00FA4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40" w:rsidRDefault="00D70140" w:rsidP="00F919FC">
      <w:r>
        <w:separator/>
      </w:r>
    </w:p>
  </w:endnote>
  <w:endnote w:type="continuationSeparator" w:id="0">
    <w:p w:rsidR="00D70140" w:rsidRDefault="00D70140" w:rsidP="00F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40" w:rsidRDefault="00D70140" w:rsidP="00F919FC">
      <w:r>
        <w:separator/>
      </w:r>
    </w:p>
  </w:footnote>
  <w:footnote w:type="continuationSeparator" w:id="0">
    <w:p w:rsidR="00D70140" w:rsidRDefault="00D70140" w:rsidP="00F9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FC" w:rsidRDefault="00F919FC" w:rsidP="00F919FC">
    <w:pPr>
      <w:pStyle w:val="Zhlav"/>
      <w:tabs>
        <w:tab w:val="clear" w:pos="4536"/>
        <w:tab w:val="clear" w:pos="9072"/>
        <w:tab w:val="left" w:pos="1656"/>
      </w:tabs>
    </w:pPr>
    <w:r>
      <w:t xml:space="preserve">Příloha </w:t>
    </w:r>
    <w:proofErr w:type="gramStart"/>
    <w:r>
      <w:t>č.2</w:t>
    </w:r>
    <w:proofErr w:type="gram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036"/>
    <w:multiLevelType w:val="hybridMultilevel"/>
    <w:tmpl w:val="BFEAF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C20"/>
    <w:multiLevelType w:val="hybridMultilevel"/>
    <w:tmpl w:val="38322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CCC"/>
    <w:multiLevelType w:val="hybridMultilevel"/>
    <w:tmpl w:val="2094401E"/>
    <w:lvl w:ilvl="0" w:tplc="8B78F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238F"/>
    <w:multiLevelType w:val="hybridMultilevel"/>
    <w:tmpl w:val="3ECC6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098"/>
    <w:multiLevelType w:val="hybridMultilevel"/>
    <w:tmpl w:val="EBA8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7BD"/>
    <w:multiLevelType w:val="hybridMultilevel"/>
    <w:tmpl w:val="07A47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1DF"/>
    <w:multiLevelType w:val="hybridMultilevel"/>
    <w:tmpl w:val="8FC87EBC"/>
    <w:lvl w:ilvl="0" w:tplc="ABA44C2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035"/>
    <w:multiLevelType w:val="hybridMultilevel"/>
    <w:tmpl w:val="34D6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19B"/>
    <w:multiLevelType w:val="hybridMultilevel"/>
    <w:tmpl w:val="B3D232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C7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08A5"/>
    <w:multiLevelType w:val="hybridMultilevel"/>
    <w:tmpl w:val="C438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9FF"/>
    <w:multiLevelType w:val="hybridMultilevel"/>
    <w:tmpl w:val="031A4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01A9"/>
    <w:multiLevelType w:val="hybridMultilevel"/>
    <w:tmpl w:val="B52E460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ED5"/>
    <w:multiLevelType w:val="hybridMultilevel"/>
    <w:tmpl w:val="5C466C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D32D0"/>
    <w:multiLevelType w:val="hybridMultilevel"/>
    <w:tmpl w:val="29EEE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35D0"/>
    <w:multiLevelType w:val="hybridMultilevel"/>
    <w:tmpl w:val="61906FAA"/>
    <w:lvl w:ilvl="0" w:tplc="ABA44C2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5536"/>
    <w:multiLevelType w:val="hybridMultilevel"/>
    <w:tmpl w:val="7020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313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705D"/>
    <w:multiLevelType w:val="hybridMultilevel"/>
    <w:tmpl w:val="E39EA118"/>
    <w:lvl w:ilvl="0" w:tplc="ABA44C2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46C1"/>
    <w:multiLevelType w:val="hybridMultilevel"/>
    <w:tmpl w:val="324AB25E"/>
    <w:lvl w:ilvl="0" w:tplc="CC8C9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63546"/>
    <w:multiLevelType w:val="hybridMultilevel"/>
    <w:tmpl w:val="F8CA0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40E53"/>
    <w:multiLevelType w:val="hybridMultilevel"/>
    <w:tmpl w:val="7D0A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77596"/>
    <w:multiLevelType w:val="hybridMultilevel"/>
    <w:tmpl w:val="9F0C2F52"/>
    <w:lvl w:ilvl="0" w:tplc="ABA44C2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35791"/>
    <w:multiLevelType w:val="hybridMultilevel"/>
    <w:tmpl w:val="622EE3AA"/>
    <w:lvl w:ilvl="0" w:tplc="57107F6C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7971"/>
    <w:multiLevelType w:val="hybridMultilevel"/>
    <w:tmpl w:val="59AC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341E"/>
    <w:multiLevelType w:val="hybridMultilevel"/>
    <w:tmpl w:val="539CFA54"/>
    <w:lvl w:ilvl="0" w:tplc="0136B0DE">
      <w:start w:val="1"/>
      <w:numFmt w:val="lowerLetter"/>
      <w:lvlText w:val="%1 - 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0"/>
  </w:num>
  <w:num w:numId="20">
    <w:abstractNumId w:val="2"/>
  </w:num>
  <w:num w:numId="21">
    <w:abstractNumId w:val="5"/>
  </w:num>
  <w:num w:numId="22">
    <w:abstractNumId w:val="19"/>
  </w:num>
  <w:num w:numId="23">
    <w:abstractNumId w:val="21"/>
  </w:num>
  <w:num w:numId="24">
    <w:abstractNumId w:val="6"/>
  </w:num>
  <w:num w:numId="25">
    <w:abstractNumId w:val="14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12"/>
    <w:rsid w:val="00003C19"/>
    <w:rsid w:val="00042BE5"/>
    <w:rsid w:val="00082FB1"/>
    <w:rsid w:val="000931D4"/>
    <w:rsid w:val="000A3483"/>
    <w:rsid w:val="000A5EF3"/>
    <w:rsid w:val="000C3D3E"/>
    <w:rsid w:val="000E08B5"/>
    <w:rsid w:val="00105669"/>
    <w:rsid w:val="001143B4"/>
    <w:rsid w:val="00196F8B"/>
    <w:rsid w:val="001B6221"/>
    <w:rsid w:val="001C73DF"/>
    <w:rsid w:val="001D67E0"/>
    <w:rsid w:val="001F10BE"/>
    <w:rsid w:val="00202629"/>
    <w:rsid w:val="002363F9"/>
    <w:rsid w:val="002447C5"/>
    <w:rsid w:val="00273568"/>
    <w:rsid w:val="002A1F77"/>
    <w:rsid w:val="002D24D8"/>
    <w:rsid w:val="002F129B"/>
    <w:rsid w:val="00343076"/>
    <w:rsid w:val="00347EBF"/>
    <w:rsid w:val="00380B12"/>
    <w:rsid w:val="003A0AD6"/>
    <w:rsid w:val="003A761D"/>
    <w:rsid w:val="003B70DC"/>
    <w:rsid w:val="003E079A"/>
    <w:rsid w:val="003E45D4"/>
    <w:rsid w:val="004005A1"/>
    <w:rsid w:val="00415190"/>
    <w:rsid w:val="00462CA9"/>
    <w:rsid w:val="00487B4B"/>
    <w:rsid w:val="004C6887"/>
    <w:rsid w:val="004E0961"/>
    <w:rsid w:val="005201A3"/>
    <w:rsid w:val="00536A25"/>
    <w:rsid w:val="00557AAB"/>
    <w:rsid w:val="005902CF"/>
    <w:rsid w:val="005C3A65"/>
    <w:rsid w:val="005D744D"/>
    <w:rsid w:val="005E595F"/>
    <w:rsid w:val="006302D9"/>
    <w:rsid w:val="00637092"/>
    <w:rsid w:val="006A14D3"/>
    <w:rsid w:val="006D30B1"/>
    <w:rsid w:val="006D75EF"/>
    <w:rsid w:val="006F3DC7"/>
    <w:rsid w:val="006F6B3D"/>
    <w:rsid w:val="007866F3"/>
    <w:rsid w:val="007C5FBD"/>
    <w:rsid w:val="00821C0F"/>
    <w:rsid w:val="00861CB0"/>
    <w:rsid w:val="008941F3"/>
    <w:rsid w:val="008B2AAE"/>
    <w:rsid w:val="008C4034"/>
    <w:rsid w:val="009045C8"/>
    <w:rsid w:val="009823AC"/>
    <w:rsid w:val="009A7BF0"/>
    <w:rsid w:val="00A311DC"/>
    <w:rsid w:val="00A425BF"/>
    <w:rsid w:val="00A5613A"/>
    <w:rsid w:val="00A8741E"/>
    <w:rsid w:val="00A87C78"/>
    <w:rsid w:val="00A90A77"/>
    <w:rsid w:val="00AC50E8"/>
    <w:rsid w:val="00B12464"/>
    <w:rsid w:val="00B578F3"/>
    <w:rsid w:val="00B67CD4"/>
    <w:rsid w:val="00BA1E4E"/>
    <w:rsid w:val="00BA706B"/>
    <w:rsid w:val="00BC4F13"/>
    <w:rsid w:val="00C03053"/>
    <w:rsid w:val="00C14745"/>
    <w:rsid w:val="00C41856"/>
    <w:rsid w:val="00C53C1B"/>
    <w:rsid w:val="00CD4E67"/>
    <w:rsid w:val="00CE4B42"/>
    <w:rsid w:val="00D0427D"/>
    <w:rsid w:val="00D11156"/>
    <w:rsid w:val="00D228C5"/>
    <w:rsid w:val="00D53C24"/>
    <w:rsid w:val="00D70140"/>
    <w:rsid w:val="00DB6029"/>
    <w:rsid w:val="00DB6FDC"/>
    <w:rsid w:val="00E24029"/>
    <w:rsid w:val="00EC0436"/>
    <w:rsid w:val="00ED5646"/>
    <w:rsid w:val="00EF0EA9"/>
    <w:rsid w:val="00F12668"/>
    <w:rsid w:val="00F919FC"/>
    <w:rsid w:val="00FA220F"/>
    <w:rsid w:val="00FA4AF0"/>
    <w:rsid w:val="00FA50F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39B9-3DA4-41BC-B5DE-7B3F005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/>
        <w:sz w:val="16"/>
        <w:szCs w:val="1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B12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0B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0B1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0B12"/>
    <w:rPr>
      <w:rFonts w:ascii="Cambria" w:eastAsia="Times New Roman" w:hAnsi="Cambria"/>
      <w:bCs/>
      <w:color w:val="365F91"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B12"/>
    <w:rPr>
      <w:rFonts w:ascii="Cambria" w:eastAsia="Times New Roman" w:hAnsi="Cambria"/>
      <w:b w:val="0"/>
      <w:color w:val="404040"/>
      <w:sz w:val="20"/>
      <w:szCs w:val="20"/>
      <w:lang w:eastAsia="cs-CZ"/>
    </w:rPr>
  </w:style>
  <w:style w:type="paragraph" w:customStyle="1" w:styleId="Default">
    <w:name w:val="Default"/>
    <w:uiPriority w:val="99"/>
    <w:rsid w:val="0038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80B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80B12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80B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0B12"/>
    <w:rPr>
      <w:rFonts w:ascii="Times New Roman" w:eastAsia="Times New Roman" w:hAnsi="Times New Roman"/>
      <w:b w:val="0"/>
      <w:lang w:eastAsia="cs-CZ"/>
    </w:rPr>
  </w:style>
  <w:style w:type="paragraph" w:customStyle="1" w:styleId="Nadpis2H2PAMajorSectionRFPAliatelJKMajorSectionALMajorSectionh2B2l2Header2HeaderHeader2VHead2Podkapitola1Nadpis21Podkapitola1Podkapitola11Podkapitola12Podkapitola13Podkapitola14Podkapitola15Podkapitola111">
    <w:name w:val="Nadpis 2.H2.PA Major Section.RFP Aliatel.JK Major Section.AL Major Section.h2.B.2.l2.Header 2.Header.Header2.V_Head2.Podkapitola1.Nadpis 21.Podkapitola 1.Podkapitola 11.Podkapitola 12.Podkapitola 13.Podkapitola 14.Podkapitola 15.Podkapitola 111"/>
    <w:basedOn w:val="Normln"/>
    <w:next w:val="Normln"/>
    <w:rsid w:val="00380B12"/>
    <w:pPr>
      <w:keepNext/>
      <w:overflowPunct w:val="0"/>
      <w:autoSpaceDE w:val="0"/>
      <w:autoSpaceDN w:val="0"/>
      <w:adjustRightInd w:val="0"/>
      <w:spacing w:before="120"/>
      <w:jc w:val="both"/>
    </w:pPr>
    <w:rPr>
      <w:b/>
      <w:szCs w:val="20"/>
    </w:rPr>
  </w:style>
  <w:style w:type="paragraph" w:customStyle="1" w:styleId="Zkladntext21">
    <w:name w:val="Základní text 21"/>
    <w:basedOn w:val="Normln"/>
    <w:rsid w:val="00380B12"/>
    <w:pPr>
      <w:widowControl w:val="0"/>
      <w:suppressAutoHyphens/>
      <w:spacing w:after="113"/>
      <w:jc w:val="both"/>
    </w:pPr>
    <w:rPr>
      <w:rFonts w:cs="Tahoma"/>
      <w:szCs w:val="20"/>
    </w:rPr>
  </w:style>
  <w:style w:type="paragraph" w:customStyle="1" w:styleId="Zkladntextodsazen21">
    <w:name w:val="Základní text odsazený 21"/>
    <w:basedOn w:val="Normln"/>
    <w:rsid w:val="00380B12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80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B12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02D9"/>
    <w:rPr>
      <w:rFonts w:ascii="Times New Roman" w:eastAsia="Times New Roman" w:hAnsi="Times New Roman"/>
      <w:b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A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9FC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9FC"/>
    <w:rPr>
      <w:rFonts w:ascii="Times New Roman" w:eastAsia="Times New Roman" w:hAnsi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u010721</dc:creator>
  <cp:keywords/>
  <dc:description/>
  <cp:lastModifiedBy>Dula Václav Ing.</cp:lastModifiedBy>
  <cp:revision>59</cp:revision>
  <cp:lastPrinted>2014-07-18T07:00:00Z</cp:lastPrinted>
  <dcterms:created xsi:type="dcterms:W3CDTF">2011-09-12T09:44:00Z</dcterms:created>
  <dcterms:modified xsi:type="dcterms:W3CDTF">2016-11-09T07:16:00Z</dcterms:modified>
</cp:coreProperties>
</file>