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AE" w:rsidRDefault="000C48AE" w:rsidP="00E657C5">
      <w:pPr>
        <w:pStyle w:val="Title"/>
        <w:spacing w:line="276" w:lineRule="auto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Obchodní a platební podmínky Zadavatele pro</w:t>
      </w:r>
    </w:p>
    <w:p w:rsidR="000C48AE" w:rsidRPr="00905F10" w:rsidRDefault="000C48AE" w:rsidP="00E657C5">
      <w:pPr>
        <w:pStyle w:val="Title"/>
        <w:spacing w:line="276" w:lineRule="auto"/>
        <w:rPr>
          <w:rFonts w:cs="Arial"/>
          <w:color w:val="000000"/>
          <w:sz w:val="28"/>
          <w:szCs w:val="28"/>
        </w:rPr>
      </w:pPr>
      <w:r w:rsidRPr="00905F10">
        <w:rPr>
          <w:rFonts w:cs="Arial"/>
          <w:color w:val="000000"/>
          <w:sz w:val="28"/>
          <w:szCs w:val="28"/>
        </w:rPr>
        <w:t xml:space="preserve"> návrh S M L O U V Y uchazeče  o Poskytování IP MPLS datové služby pro územní pracoviště resortu Ministerstva financí</w:t>
      </w:r>
    </w:p>
    <w:p w:rsidR="000C48AE" w:rsidRDefault="000C48AE" w:rsidP="008865AA">
      <w:pPr>
        <w:pStyle w:val="Title"/>
        <w:spacing w:line="240" w:lineRule="auto"/>
        <w:rPr>
          <w:rFonts w:cs="Arial"/>
          <w:color w:val="000000"/>
          <w:sz w:val="36"/>
          <w:szCs w:val="36"/>
        </w:rPr>
      </w:pPr>
      <w:r>
        <w:t>Hvožďanská 2053/3 Praha 4</w:t>
      </w:r>
    </w:p>
    <w:p w:rsidR="000C48AE" w:rsidRDefault="000C48AE" w:rsidP="008865A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C48AE" w:rsidRDefault="000C48AE" w:rsidP="008865A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C1FD2">
        <w:rPr>
          <w:rFonts w:ascii="Arial" w:hAnsi="Arial" w:cs="Arial"/>
          <w:sz w:val="22"/>
          <w:szCs w:val="22"/>
        </w:rPr>
        <w:t xml:space="preserve">v souladu s ustanovením § </w:t>
      </w:r>
      <w:r>
        <w:rPr>
          <w:rFonts w:ascii="Arial" w:hAnsi="Arial" w:cs="Arial"/>
          <w:sz w:val="22"/>
          <w:szCs w:val="22"/>
        </w:rPr>
        <w:t>1746 odst. 2</w:t>
      </w:r>
      <w:r w:rsidRPr="00EC0D2B">
        <w:rPr>
          <w:rFonts w:ascii="Arial" w:hAnsi="Arial" w:cs="Arial"/>
          <w:sz w:val="22"/>
          <w:szCs w:val="22"/>
        </w:rPr>
        <w:t xml:space="preserve"> </w:t>
      </w:r>
      <w:r w:rsidRPr="005C1FD2">
        <w:rPr>
          <w:rFonts w:ascii="Arial" w:hAnsi="Arial" w:cs="Arial"/>
          <w:sz w:val="22"/>
          <w:szCs w:val="22"/>
        </w:rPr>
        <w:t>zákona č. 89/2012 Sb., občanský zákoník</w:t>
      </w:r>
      <w:r>
        <w:rPr>
          <w:rFonts w:ascii="Arial" w:hAnsi="Arial" w:cs="Arial"/>
          <w:sz w:val="22"/>
          <w:szCs w:val="22"/>
        </w:rPr>
        <w:t xml:space="preserve"> </w:t>
      </w:r>
      <w:r w:rsidRPr="005C1FD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76133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76133A">
        <w:rPr>
          <w:rFonts w:ascii="Arial" w:hAnsi="Arial" w:cs="Arial"/>
          <w:sz w:val="22"/>
          <w:szCs w:val="22"/>
        </w:rPr>
        <w:t xml:space="preserve">souladu se zákonem č. 137/2006 Sb., o veřejných zakázkách, ve znění pozdějších předpisů jako veřejná zakázka malého rozsahu zadaná  na E-tržišti státní správy </w:t>
      </w:r>
    </w:p>
    <w:p w:rsidR="000C48AE" w:rsidRPr="008865AA" w:rsidRDefault="000C48AE" w:rsidP="008865AA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Pr="002B2FA0">
          <w:rPr>
            <w:rStyle w:val="Hyperlink"/>
            <w:rFonts w:ascii="Arial" w:hAnsi="Arial" w:cs="Arial"/>
            <w:sz w:val="22"/>
            <w:szCs w:val="22"/>
          </w:rPr>
          <w:t>www.gemin.cz</w:t>
        </w:r>
      </w:hyperlink>
      <w:r w:rsidRPr="0076133A">
        <w:rPr>
          <w:rFonts w:ascii="Arial" w:hAnsi="Arial" w:cs="Arial"/>
          <w:sz w:val="22"/>
          <w:szCs w:val="22"/>
        </w:rPr>
        <w:t xml:space="preserve"> </w:t>
      </w:r>
    </w:p>
    <w:p w:rsidR="000C48AE" w:rsidRDefault="000C48AE" w:rsidP="00571230">
      <w:pPr>
        <w:jc w:val="center"/>
        <w:rPr>
          <w:rFonts w:ascii="Arial" w:hAnsi="Arial" w:cs="Arial"/>
          <w:sz w:val="22"/>
          <w:szCs w:val="22"/>
        </w:rPr>
      </w:pPr>
      <w:r w:rsidRPr="0076133A">
        <w:rPr>
          <w:rFonts w:ascii="Arial" w:hAnsi="Arial" w:cs="Arial"/>
          <w:sz w:val="22"/>
          <w:szCs w:val="22"/>
        </w:rPr>
        <w:t xml:space="preserve">č.j.: </w:t>
      </w:r>
      <w:r>
        <w:t>MF-51945/2015/5901-9003</w:t>
      </w:r>
    </w:p>
    <w:p w:rsidR="000C48AE" w:rsidRPr="005C1FD2" w:rsidRDefault="000C48AE" w:rsidP="00571230">
      <w:pPr>
        <w:jc w:val="center"/>
        <w:rPr>
          <w:rFonts w:ascii="Arial" w:hAnsi="Arial" w:cs="Arial"/>
          <w:sz w:val="22"/>
          <w:szCs w:val="22"/>
        </w:rPr>
      </w:pPr>
      <w:r w:rsidRPr="005C1FD2">
        <w:rPr>
          <w:rFonts w:ascii="Arial" w:hAnsi="Arial" w:cs="Arial"/>
          <w:sz w:val="22"/>
          <w:szCs w:val="22"/>
        </w:rPr>
        <w:t>mezi smluvními stranami:</w:t>
      </w:r>
    </w:p>
    <w:p w:rsidR="000C48AE" w:rsidRPr="000059D7" w:rsidRDefault="000C48AE" w:rsidP="00571230">
      <w:pPr>
        <w:pStyle w:val="RLdajeosmluvnstran"/>
        <w:rPr>
          <w:rFonts w:ascii="Arial" w:hAnsi="Arial" w:cs="Arial"/>
          <w:sz w:val="20"/>
        </w:rPr>
      </w:pPr>
    </w:p>
    <w:p w:rsidR="000C48AE" w:rsidRPr="000059D7" w:rsidRDefault="000C48AE" w:rsidP="00571230">
      <w:pPr>
        <w:rPr>
          <w:rFonts w:ascii="Arial" w:hAnsi="Arial" w:cs="Arial"/>
          <w:b/>
          <w:color w:val="000000"/>
          <w:sz w:val="22"/>
          <w:lang w:eastAsia="en-US"/>
        </w:rPr>
      </w:pPr>
      <w:r w:rsidRPr="000059D7">
        <w:rPr>
          <w:rFonts w:ascii="Arial" w:hAnsi="Arial" w:cs="Arial"/>
          <w:b/>
          <w:color w:val="000000"/>
          <w:sz w:val="22"/>
          <w:lang w:eastAsia="en-US"/>
        </w:rPr>
        <w:t>A.</w:t>
      </w:r>
      <w:r w:rsidRPr="000059D7">
        <w:rPr>
          <w:rFonts w:ascii="Arial" w:hAnsi="Arial" w:cs="Arial"/>
          <w:b/>
          <w:color w:val="000000"/>
          <w:sz w:val="22"/>
          <w:lang w:eastAsia="en-US"/>
        </w:rPr>
        <w:tab/>
        <w:t>Objednatel</w:t>
      </w:r>
    </w:p>
    <w:p w:rsidR="000C48AE" w:rsidRPr="000059D7" w:rsidRDefault="000C48AE" w:rsidP="00571230">
      <w:pPr>
        <w:rPr>
          <w:rFonts w:ascii="Arial" w:hAnsi="Arial" w:cs="Arial"/>
          <w:sz w:val="22"/>
          <w:lang w:eastAsia="en-US"/>
        </w:rPr>
      </w:pPr>
      <w:r w:rsidRPr="000059D7">
        <w:rPr>
          <w:rFonts w:ascii="Arial" w:hAnsi="Arial" w:cs="Arial"/>
          <w:sz w:val="22"/>
          <w:lang w:eastAsia="en-US"/>
        </w:rPr>
        <w:t>Obchodní název:</w:t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b/>
          <w:sz w:val="22"/>
          <w:lang w:eastAsia="en-US"/>
        </w:rPr>
        <w:t>Česká republika – Ministerstvo financí</w:t>
      </w:r>
    </w:p>
    <w:p w:rsidR="000C48AE" w:rsidRPr="000059D7" w:rsidRDefault="000C48AE" w:rsidP="00571230">
      <w:pPr>
        <w:rPr>
          <w:rFonts w:ascii="Arial" w:hAnsi="Arial" w:cs="Arial"/>
          <w:sz w:val="22"/>
          <w:lang w:eastAsia="en-US"/>
        </w:rPr>
      </w:pPr>
      <w:r w:rsidRPr="000059D7">
        <w:rPr>
          <w:rFonts w:ascii="Arial" w:hAnsi="Arial" w:cs="Arial"/>
          <w:sz w:val="22"/>
          <w:lang w:eastAsia="en-US"/>
        </w:rPr>
        <w:t>Se sídlem:</w:t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  <w:t>Letenská 15, P.O.</w:t>
      </w:r>
      <w:r>
        <w:rPr>
          <w:rFonts w:ascii="Arial" w:hAnsi="Arial" w:cs="Arial"/>
          <w:sz w:val="22"/>
          <w:lang w:eastAsia="en-US"/>
        </w:rPr>
        <w:t xml:space="preserve"> </w:t>
      </w:r>
      <w:r w:rsidRPr="000059D7">
        <w:rPr>
          <w:rFonts w:ascii="Arial" w:hAnsi="Arial" w:cs="Arial"/>
          <w:sz w:val="22"/>
          <w:lang w:eastAsia="en-US"/>
        </w:rPr>
        <w:t>Box 77, 118 10 Praha 1</w:t>
      </w:r>
    </w:p>
    <w:p w:rsidR="000C48AE" w:rsidRPr="000059D7" w:rsidRDefault="000C48AE" w:rsidP="00571230">
      <w:pPr>
        <w:rPr>
          <w:rFonts w:ascii="Arial" w:hAnsi="Arial" w:cs="Arial"/>
          <w:sz w:val="22"/>
          <w:lang w:eastAsia="en-US"/>
        </w:rPr>
      </w:pPr>
      <w:r w:rsidRPr="000059D7">
        <w:rPr>
          <w:rFonts w:ascii="Arial" w:hAnsi="Arial" w:cs="Arial"/>
          <w:sz w:val="22"/>
          <w:lang w:eastAsia="en-US"/>
        </w:rPr>
        <w:t>IČO:</w:t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  <w:t>00006947</w:t>
      </w:r>
    </w:p>
    <w:p w:rsidR="000C48AE" w:rsidRPr="000059D7" w:rsidRDefault="000C48AE" w:rsidP="00571230">
      <w:pPr>
        <w:rPr>
          <w:rFonts w:ascii="Arial" w:hAnsi="Arial" w:cs="Arial"/>
          <w:sz w:val="22"/>
          <w:lang w:eastAsia="en-US"/>
        </w:rPr>
      </w:pPr>
      <w:r w:rsidRPr="000059D7">
        <w:rPr>
          <w:rFonts w:ascii="Arial" w:hAnsi="Arial" w:cs="Arial"/>
          <w:sz w:val="22"/>
          <w:lang w:eastAsia="en-US"/>
        </w:rPr>
        <w:t xml:space="preserve">DIČ: </w:t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  <w:t>CZ00006947</w:t>
      </w:r>
    </w:p>
    <w:p w:rsidR="000C48AE" w:rsidRPr="000059D7" w:rsidRDefault="000C48AE" w:rsidP="00571230">
      <w:pPr>
        <w:rPr>
          <w:rFonts w:ascii="Arial" w:hAnsi="Arial" w:cs="Arial"/>
          <w:sz w:val="22"/>
          <w:lang w:eastAsia="en-US"/>
        </w:rPr>
      </w:pPr>
      <w:r w:rsidRPr="000059D7">
        <w:rPr>
          <w:rFonts w:ascii="Arial" w:hAnsi="Arial" w:cs="Arial"/>
          <w:sz w:val="22"/>
          <w:lang w:eastAsia="en-US"/>
        </w:rPr>
        <w:t>Bankovní spojení:</w:t>
      </w:r>
      <w:r w:rsidRPr="000059D7">
        <w:rPr>
          <w:rFonts w:ascii="Arial" w:hAnsi="Arial" w:cs="Arial"/>
          <w:sz w:val="22"/>
          <w:lang w:eastAsia="en-US"/>
        </w:rPr>
        <w:tab/>
        <w:t>Česká národní banka, pobočka Praha 1</w:t>
      </w:r>
    </w:p>
    <w:p w:rsidR="000C48AE" w:rsidRPr="000059D7" w:rsidRDefault="000C48AE" w:rsidP="00571230">
      <w:pPr>
        <w:rPr>
          <w:rFonts w:ascii="Arial" w:hAnsi="Arial" w:cs="Arial"/>
          <w:sz w:val="22"/>
          <w:lang w:eastAsia="en-US"/>
        </w:rPr>
      </w:pPr>
      <w:r w:rsidRPr="000059D7">
        <w:rPr>
          <w:rFonts w:ascii="Arial" w:hAnsi="Arial" w:cs="Arial"/>
          <w:sz w:val="22"/>
          <w:lang w:eastAsia="en-US"/>
        </w:rPr>
        <w:t xml:space="preserve">Číslo účtu: </w:t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  <w:t>3328001/0710</w:t>
      </w:r>
    </w:p>
    <w:p w:rsidR="000C48AE" w:rsidRDefault="000C48AE" w:rsidP="00571230">
      <w:p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Jednající: </w:t>
      </w:r>
      <w:r>
        <w:rPr>
          <w:rFonts w:ascii="Arial" w:hAnsi="Arial" w:cs="Arial"/>
          <w:sz w:val="22"/>
          <w:lang w:eastAsia="en-US"/>
        </w:rPr>
        <w:tab/>
      </w:r>
      <w:r>
        <w:rPr>
          <w:rFonts w:ascii="Arial" w:hAnsi="Arial" w:cs="Arial"/>
          <w:sz w:val="22"/>
          <w:lang w:eastAsia="en-US"/>
        </w:rPr>
        <w:tab/>
      </w:r>
    </w:p>
    <w:p w:rsidR="000C48AE" w:rsidRDefault="000C48AE" w:rsidP="00571230">
      <w:pPr>
        <w:rPr>
          <w:rFonts w:ascii="Arial" w:hAnsi="Arial" w:cs="Arial"/>
          <w:color w:val="000000"/>
          <w:sz w:val="22"/>
          <w:lang w:eastAsia="en-US"/>
        </w:rPr>
      </w:pPr>
    </w:p>
    <w:p w:rsidR="000C48AE" w:rsidRPr="000059D7" w:rsidRDefault="000C48AE" w:rsidP="00571230">
      <w:pPr>
        <w:rPr>
          <w:rFonts w:ascii="Arial" w:hAnsi="Arial" w:cs="Arial"/>
          <w:sz w:val="22"/>
          <w:lang w:eastAsia="en-US"/>
        </w:rPr>
      </w:pPr>
      <w:r w:rsidRPr="000059D7">
        <w:rPr>
          <w:rFonts w:ascii="Arial" w:hAnsi="Arial" w:cs="Arial"/>
          <w:color w:val="000000"/>
          <w:sz w:val="22"/>
          <w:lang w:eastAsia="en-US"/>
        </w:rPr>
        <w:t>(dále jen „</w:t>
      </w:r>
      <w:r w:rsidRPr="00571011">
        <w:rPr>
          <w:rFonts w:ascii="Arial" w:hAnsi="Arial" w:cs="Arial"/>
          <w:b/>
          <w:color w:val="000000"/>
          <w:sz w:val="22"/>
          <w:lang w:eastAsia="en-US"/>
        </w:rPr>
        <w:t>Objednatel</w:t>
      </w:r>
      <w:r>
        <w:rPr>
          <w:rFonts w:ascii="Arial" w:hAnsi="Arial" w:cs="Arial"/>
          <w:color w:val="000000"/>
          <w:sz w:val="22"/>
          <w:lang w:eastAsia="en-US"/>
        </w:rPr>
        <w:t>“</w:t>
      </w:r>
      <w:r w:rsidRPr="000059D7">
        <w:rPr>
          <w:rFonts w:ascii="Arial" w:hAnsi="Arial" w:cs="Arial"/>
          <w:color w:val="000000"/>
          <w:sz w:val="22"/>
          <w:lang w:eastAsia="en-US"/>
        </w:rPr>
        <w:t xml:space="preserve"> nebo </w:t>
      </w:r>
      <w:r>
        <w:rPr>
          <w:rFonts w:ascii="Arial" w:hAnsi="Arial" w:cs="Arial"/>
          <w:color w:val="000000"/>
          <w:sz w:val="22"/>
          <w:lang w:eastAsia="en-US"/>
        </w:rPr>
        <w:t>„</w:t>
      </w:r>
      <w:r w:rsidRPr="00571011">
        <w:rPr>
          <w:rFonts w:ascii="Arial" w:hAnsi="Arial" w:cs="Arial"/>
          <w:b/>
          <w:color w:val="000000"/>
          <w:sz w:val="22"/>
          <w:lang w:eastAsia="en-US"/>
        </w:rPr>
        <w:t>MF</w:t>
      </w:r>
      <w:r w:rsidRPr="000059D7">
        <w:rPr>
          <w:rFonts w:ascii="Arial" w:hAnsi="Arial" w:cs="Arial"/>
          <w:color w:val="000000"/>
          <w:sz w:val="22"/>
          <w:lang w:eastAsia="en-US"/>
        </w:rPr>
        <w:t>“)</w:t>
      </w:r>
    </w:p>
    <w:p w:rsidR="000C48AE" w:rsidRPr="000059D7" w:rsidRDefault="000C48AE" w:rsidP="00571230">
      <w:pPr>
        <w:rPr>
          <w:rFonts w:ascii="Arial" w:hAnsi="Arial" w:cs="Arial"/>
          <w:sz w:val="22"/>
          <w:lang w:eastAsia="en-US"/>
        </w:rPr>
      </w:pPr>
    </w:p>
    <w:p w:rsidR="000C48AE" w:rsidRPr="000059D7" w:rsidRDefault="000C48AE" w:rsidP="00571230">
      <w:pPr>
        <w:rPr>
          <w:rFonts w:ascii="Arial" w:hAnsi="Arial" w:cs="Arial"/>
          <w:color w:val="000000"/>
          <w:sz w:val="22"/>
          <w:lang w:eastAsia="en-US"/>
        </w:rPr>
      </w:pPr>
      <w:r w:rsidRPr="000059D7">
        <w:rPr>
          <w:rFonts w:ascii="Arial" w:hAnsi="Arial" w:cs="Arial"/>
          <w:color w:val="000000"/>
          <w:sz w:val="22"/>
          <w:lang w:eastAsia="en-US"/>
        </w:rPr>
        <w:t>a</w:t>
      </w:r>
    </w:p>
    <w:p w:rsidR="000C48AE" w:rsidRPr="000059D7" w:rsidRDefault="000C48AE" w:rsidP="00571230">
      <w:pPr>
        <w:rPr>
          <w:rFonts w:ascii="Arial" w:hAnsi="Arial" w:cs="Arial"/>
          <w:color w:val="000000"/>
          <w:sz w:val="22"/>
          <w:lang w:eastAsia="en-US"/>
        </w:rPr>
      </w:pPr>
    </w:p>
    <w:p w:rsidR="000C48AE" w:rsidRPr="000059D7" w:rsidRDefault="000C48AE" w:rsidP="00571230">
      <w:pPr>
        <w:rPr>
          <w:rFonts w:ascii="Arial" w:hAnsi="Arial" w:cs="Arial"/>
          <w:b/>
          <w:color w:val="000000"/>
          <w:sz w:val="22"/>
          <w:lang w:eastAsia="en-US"/>
        </w:rPr>
      </w:pPr>
      <w:r w:rsidRPr="000059D7">
        <w:rPr>
          <w:rFonts w:ascii="Arial" w:hAnsi="Arial" w:cs="Arial"/>
          <w:b/>
          <w:color w:val="000000"/>
          <w:sz w:val="22"/>
          <w:lang w:eastAsia="en-US"/>
        </w:rPr>
        <w:t>B.</w:t>
      </w:r>
      <w:r w:rsidRPr="000059D7">
        <w:rPr>
          <w:rFonts w:ascii="Arial" w:hAnsi="Arial" w:cs="Arial"/>
          <w:b/>
          <w:color w:val="000000"/>
          <w:sz w:val="22"/>
          <w:lang w:eastAsia="en-US"/>
        </w:rPr>
        <w:tab/>
        <w:t>Poskytovatel</w:t>
      </w:r>
    </w:p>
    <w:p w:rsidR="000C48AE" w:rsidRPr="000059D7" w:rsidRDefault="000C48AE" w:rsidP="00571230">
      <w:pPr>
        <w:rPr>
          <w:rFonts w:ascii="Arial" w:hAnsi="Arial" w:cs="Arial"/>
          <w:sz w:val="22"/>
          <w:lang w:eastAsia="en-US"/>
        </w:rPr>
      </w:pPr>
      <w:r w:rsidRPr="000059D7">
        <w:rPr>
          <w:rFonts w:ascii="Arial" w:hAnsi="Arial" w:cs="Arial"/>
          <w:sz w:val="22"/>
          <w:lang w:eastAsia="en-US"/>
        </w:rPr>
        <w:t>Obchodní název:</w:t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</w:r>
    </w:p>
    <w:p w:rsidR="000C48AE" w:rsidRPr="000059D7" w:rsidRDefault="000C48AE" w:rsidP="00571230">
      <w:pPr>
        <w:rPr>
          <w:rFonts w:ascii="Arial" w:hAnsi="Arial" w:cs="Arial"/>
          <w:sz w:val="22"/>
          <w:lang w:eastAsia="en-US"/>
        </w:rPr>
      </w:pPr>
      <w:r w:rsidRPr="000059D7">
        <w:rPr>
          <w:rFonts w:ascii="Arial" w:hAnsi="Arial" w:cs="Arial"/>
          <w:sz w:val="22"/>
          <w:lang w:eastAsia="en-US"/>
        </w:rPr>
        <w:t>Se sídlem:</w:t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  <w:t xml:space="preserve"> </w:t>
      </w:r>
    </w:p>
    <w:p w:rsidR="000C48AE" w:rsidRPr="00BE67C4" w:rsidRDefault="000C48AE" w:rsidP="00571230">
      <w:pPr>
        <w:pStyle w:val="RLdajeosmluvnstran"/>
        <w:spacing w:after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</w:t>
      </w:r>
      <w:r w:rsidRPr="000059D7">
        <w:rPr>
          <w:rFonts w:ascii="Arial" w:hAnsi="Arial" w:cs="Arial"/>
          <w:sz w:val="22"/>
        </w:rPr>
        <w:t>:</w:t>
      </w:r>
      <w:r w:rsidRPr="000059D7">
        <w:rPr>
          <w:rFonts w:ascii="Arial" w:hAnsi="Arial" w:cs="Arial"/>
          <w:sz w:val="22"/>
        </w:rPr>
        <w:tab/>
      </w:r>
      <w:r w:rsidRPr="000059D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</w:p>
    <w:p w:rsidR="000C48AE" w:rsidRDefault="000C48AE" w:rsidP="00571230">
      <w:pPr>
        <w:rPr>
          <w:rFonts w:ascii="Arial" w:hAnsi="Arial" w:cs="Arial"/>
          <w:sz w:val="22"/>
          <w:lang w:eastAsia="en-US"/>
        </w:rPr>
      </w:pPr>
      <w:r w:rsidRPr="000059D7">
        <w:rPr>
          <w:rFonts w:ascii="Arial" w:hAnsi="Arial" w:cs="Arial"/>
          <w:sz w:val="22"/>
          <w:lang w:eastAsia="en-US"/>
        </w:rPr>
        <w:t>IČO:</w:t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</w:r>
      <w:r>
        <w:rPr>
          <w:rFonts w:ascii="Arial" w:hAnsi="Arial" w:cs="Arial"/>
          <w:sz w:val="22"/>
          <w:lang w:eastAsia="en-US"/>
        </w:rPr>
        <w:t xml:space="preserve"> </w:t>
      </w:r>
    </w:p>
    <w:p w:rsidR="000C48AE" w:rsidRPr="000059D7" w:rsidRDefault="000C48AE" w:rsidP="00571230">
      <w:pPr>
        <w:rPr>
          <w:rFonts w:ascii="Arial" w:hAnsi="Arial" w:cs="Arial"/>
          <w:sz w:val="22"/>
          <w:lang w:eastAsia="en-US"/>
        </w:rPr>
      </w:pPr>
      <w:r w:rsidRPr="000059D7">
        <w:rPr>
          <w:rFonts w:ascii="Arial" w:hAnsi="Arial" w:cs="Arial"/>
          <w:sz w:val="22"/>
          <w:lang w:eastAsia="en-US"/>
        </w:rPr>
        <w:t>DIČ:</w:t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</w:r>
      <w:r w:rsidRPr="000059D7">
        <w:rPr>
          <w:rFonts w:ascii="Arial" w:hAnsi="Arial" w:cs="Arial"/>
          <w:sz w:val="22"/>
          <w:lang w:eastAsia="en-US"/>
        </w:rPr>
        <w:tab/>
      </w:r>
    </w:p>
    <w:p w:rsidR="000C48AE" w:rsidRPr="000059D7" w:rsidRDefault="000C48AE" w:rsidP="00571230">
      <w:pPr>
        <w:pStyle w:val="TSdajeosmluvnstran"/>
        <w:ind w:left="2268" w:hanging="2268"/>
        <w:rPr>
          <w:rFonts w:cs="Arial"/>
        </w:rPr>
      </w:pPr>
      <w:r w:rsidRPr="00084131">
        <w:t xml:space="preserve">Bankovní spojení:      </w:t>
      </w:r>
      <w:r>
        <w:t xml:space="preserve"> </w:t>
      </w:r>
    </w:p>
    <w:p w:rsidR="000C48AE" w:rsidRDefault="000C48AE" w:rsidP="00571230">
      <w:pPr>
        <w:pStyle w:val="TSdajeosmluvnstran"/>
        <w:ind w:left="2127" w:hanging="2127"/>
        <w:rPr>
          <w:rFonts w:cs="Arial"/>
        </w:rPr>
      </w:pPr>
      <w:r w:rsidRPr="000059D7">
        <w:rPr>
          <w:rFonts w:cs="Arial"/>
        </w:rPr>
        <w:t>číslo účtu:</w:t>
      </w:r>
      <w:r>
        <w:rPr>
          <w:rFonts w:cs="Arial"/>
        </w:rPr>
        <w:tab/>
      </w:r>
    </w:p>
    <w:p w:rsidR="000C48AE" w:rsidRDefault="000C48AE" w:rsidP="00571230">
      <w:pPr>
        <w:rPr>
          <w:rFonts w:ascii="Arial" w:hAnsi="Arial" w:cs="Arial"/>
          <w:color w:val="000000"/>
          <w:sz w:val="22"/>
          <w:lang w:eastAsia="en-US"/>
        </w:rPr>
      </w:pPr>
    </w:p>
    <w:p w:rsidR="000C48AE" w:rsidRPr="000059D7" w:rsidRDefault="000C48AE" w:rsidP="00571230">
      <w:pPr>
        <w:rPr>
          <w:rFonts w:ascii="Arial" w:hAnsi="Arial" w:cs="Arial"/>
          <w:color w:val="000000"/>
          <w:sz w:val="22"/>
          <w:lang w:eastAsia="en-US"/>
        </w:rPr>
      </w:pPr>
      <w:r w:rsidRPr="000059D7">
        <w:rPr>
          <w:rFonts w:ascii="Arial" w:hAnsi="Arial" w:cs="Arial"/>
          <w:color w:val="000000"/>
          <w:sz w:val="22"/>
          <w:lang w:eastAsia="en-US"/>
        </w:rPr>
        <w:t>(dále jen „</w:t>
      </w:r>
      <w:r w:rsidRPr="00571011">
        <w:rPr>
          <w:rFonts w:ascii="Arial" w:hAnsi="Arial" w:cs="Arial"/>
          <w:b/>
          <w:color w:val="000000"/>
          <w:sz w:val="22"/>
          <w:lang w:eastAsia="en-US"/>
        </w:rPr>
        <w:t>Poskytovatel</w:t>
      </w:r>
      <w:r w:rsidRPr="000059D7">
        <w:rPr>
          <w:rFonts w:ascii="Arial" w:hAnsi="Arial" w:cs="Arial"/>
          <w:color w:val="000000"/>
          <w:sz w:val="22"/>
          <w:lang w:eastAsia="en-US"/>
        </w:rPr>
        <w:t>“)</w:t>
      </w:r>
    </w:p>
    <w:p w:rsidR="000C48AE" w:rsidRDefault="000C48AE" w:rsidP="008865AA">
      <w:pPr>
        <w:pStyle w:val="RLProhlensmluvnchstran"/>
        <w:jc w:val="both"/>
        <w:rPr>
          <w:rFonts w:ascii="Arial" w:hAnsi="Arial" w:cs="Arial"/>
        </w:rPr>
      </w:pPr>
      <w:r w:rsidRPr="00A00F30">
        <w:rPr>
          <w:rFonts w:ascii="Arial" w:hAnsi="Arial" w:cs="Arial"/>
        </w:rPr>
        <w:t>Smluvní strany, vědomy si svých závazků v této Smlouvě obsažených a</w:t>
      </w:r>
      <w:r>
        <w:rPr>
          <w:rFonts w:ascii="Arial" w:hAnsi="Arial" w:cs="Arial"/>
        </w:rPr>
        <w:t> </w:t>
      </w:r>
      <w:r w:rsidRPr="00A00F30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A00F30">
        <w:rPr>
          <w:rFonts w:ascii="Arial" w:hAnsi="Arial" w:cs="Arial"/>
        </w:rPr>
        <w:t>úmyslem být touto Smlouvou vázány, dohodly se na následujícím znění Smlouvy:</w:t>
      </w:r>
    </w:p>
    <w:p w:rsidR="000C48AE" w:rsidRPr="00A00F30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A00F30">
        <w:rPr>
          <w:rFonts w:ascii="Arial" w:hAnsi="Arial" w:cs="Arial"/>
        </w:rPr>
        <w:t>ÚČEL SMLOUVY</w:t>
      </w:r>
    </w:p>
    <w:p w:rsidR="000C48AE" w:rsidRDefault="000C48AE" w:rsidP="00571230">
      <w:pPr>
        <w:pStyle w:val="RLTextlnkuslovan"/>
        <w:numPr>
          <w:ilvl w:val="0"/>
          <w:numId w:val="0"/>
        </w:numPr>
        <w:ind w:left="426"/>
        <w:rPr>
          <w:rFonts w:ascii="Arial" w:hAnsi="Arial" w:cs="Arial"/>
          <w:lang w:eastAsia="en-US"/>
        </w:rPr>
      </w:pPr>
      <w:r w:rsidRPr="00A00F30">
        <w:rPr>
          <w:rFonts w:ascii="Arial" w:hAnsi="Arial" w:cs="Arial"/>
          <w:lang w:eastAsia="en-US"/>
        </w:rPr>
        <w:t>Účelem</w:t>
      </w:r>
      <w:r w:rsidRPr="00A00F30">
        <w:rPr>
          <w:rFonts w:ascii="Arial" w:hAnsi="Arial" w:cs="Arial"/>
        </w:rPr>
        <w:t xml:space="preserve"> této Smlouvy </w:t>
      </w:r>
      <w:r>
        <w:rPr>
          <w:rFonts w:ascii="Arial" w:hAnsi="Arial" w:cs="Arial"/>
        </w:rPr>
        <w:t xml:space="preserve">je: </w:t>
      </w:r>
    </w:p>
    <w:p w:rsidR="000C48AE" w:rsidRDefault="000C48AE" w:rsidP="0049429C">
      <w:pPr>
        <w:pStyle w:val="RLTextlnkuslovan"/>
        <w:numPr>
          <w:ilvl w:val="1"/>
          <w:numId w:val="15"/>
        </w:numPr>
        <w:tabs>
          <w:tab w:val="clear" w:pos="1217"/>
          <w:tab w:val="num" w:pos="993"/>
        </w:tabs>
        <w:ind w:left="993" w:hanging="513"/>
        <w:rPr>
          <w:rFonts w:ascii="Arial" w:hAnsi="Arial" w:cs="Arial"/>
          <w:lang w:eastAsia="en-US"/>
        </w:rPr>
      </w:pPr>
      <w:r w:rsidRPr="0027500C">
        <w:rPr>
          <w:rFonts w:ascii="Arial" w:hAnsi="Arial" w:cs="Arial"/>
        </w:rPr>
        <w:t>Závazek Poskytovatele zajistit řádné a včasné poskytování služeb blíže touto Smlouvou definovaných</w:t>
      </w:r>
      <w:r w:rsidRPr="0027500C">
        <w:rPr>
          <w:rFonts w:ascii="Arial" w:hAnsi="Arial" w:cs="Arial"/>
          <w:iCs/>
        </w:rPr>
        <w:t xml:space="preserve"> tak, aby tyto mohly být využívány Objednatelem.</w:t>
      </w:r>
    </w:p>
    <w:p w:rsidR="000C48AE" w:rsidRPr="0027500C" w:rsidRDefault="000C48AE" w:rsidP="0049429C">
      <w:pPr>
        <w:pStyle w:val="RLTextlnkuslovan"/>
        <w:numPr>
          <w:ilvl w:val="1"/>
          <w:numId w:val="15"/>
        </w:numPr>
        <w:tabs>
          <w:tab w:val="clear" w:pos="1217"/>
          <w:tab w:val="num" w:pos="993"/>
        </w:tabs>
        <w:ind w:left="993" w:hanging="513"/>
        <w:rPr>
          <w:rFonts w:ascii="Arial" w:hAnsi="Arial" w:cs="Arial"/>
          <w:lang w:eastAsia="en-US"/>
        </w:rPr>
      </w:pPr>
      <w:r w:rsidRPr="0027500C">
        <w:rPr>
          <w:rFonts w:ascii="Arial" w:hAnsi="Arial" w:cs="Arial"/>
        </w:rPr>
        <w:t>Závazek Objednatele za poskytnuté služby zaplatit dohodnutou cenu.</w:t>
      </w:r>
    </w:p>
    <w:p w:rsidR="000C48AE" w:rsidRPr="002D269A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2D269A">
        <w:rPr>
          <w:rFonts w:ascii="Arial" w:hAnsi="Arial" w:cs="Arial"/>
        </w:rPr>
        <w:t xml:space="preserve">PŘEDMĚT </w:t>
      </w:r>
      <w:r w:rsidRPr="000059D7">
        <w:rPr>
          <w:rFonts w:ascii="Arial" w:hAnsi="Arial" w:cs="Arial"/>
        </w:rPr>
        <w:t xml:space="preserve">SMLOUVY </w:t>
      </w:r>
    </w:p>
    <w:p w:rsidR="000C48AE" w:rsidRPr="0027500C" w:rsidRDefault="000C48AE" w:rsidP="0027500C">
      <w:pPr>
        <w:pStyle w:val="RLTextlnkuslovan"/>
        <w:tabs>
          <w:tab w:val="clear" w:pos="1217"/>
        </w:tabs>
        <w:ind w:left="993" w:hanging="513"/>
        <w:rPr>
          <w:rFonts w:ascii="Arial" w:hAnsi="Arial" w:cs="Arial"/>
        </w:rPr>
      </w:pPr>
      <w:r w:rsidRPr="0027500C">
        <w:rPr>
          <w:rFonts w:ascii="Arial" w:hAnsi="Arial" w:cs="Arial"/>
        </w:rPr>
        <w:t>Smluvní strany se dohodly, že na základě této Smlouvy bude Poskytovatel poskytovat Objednateli služby elektronických komunikací (dále jen „Služba“), Objednatel bude za Službu platit Poskytovateli dohodnutou cenu.</w:t>
      </w:r>
    </w:p>
    <w:p w:rsidR="000C48AE" w:rsidRPr="003D7270" w:rsidRDefault="000C48AE" w:rsidP="003D7270">
      <w:pPr>
        <w:pStyle w:val="RLTextlnkuslovan"/>
        <w:tabs>
          <w:tab w:val="clear" w:pos="1217"/>
        </w:tabs>
        <w:ind w:left="993" w:hanging="513"/>
        <w:rPr>
          <w:rFonts w:ascii="Arial" w:hAnsi="Arial" w:cs="Arial"/>
        </w:rPr>
      </w:pPr>
      <w:r w:rsidRPr="003D7270">
        <w:rPr>
          <w:rFonts w:ascii="Arial" w:hAnsi="Arial" w:cs="Arial"/>
        </w:rPr>
        <w:t>Specifikace Služby, lokalit</w:t>
      </w:r>
      <w:r>
        <w:rPr>
          <w:rFonts w:ascii="Arial" w:hAnsi="Arial" w:cs="Arial"/>
        </w:rPr>
        <w:t>y</w:t>
      </w:r>
      <w:r w:rsidRPr="003D7270">
        <w:rPr>
          <w:rFonts w:ascii="Arial" w:hAnsi="Arial" w:cs="Arial"/>
        </w:rPr>
        <w:t>, parametrizace, kvalitativních ukazatelů, a</w:t>
      </w:r>
      <w:r>
        <w:rPr>
          <w:rFonts w:ascii="Arial" w:hAnsi="Arial" w:cs="Arial"/>
        </w:rPr>
        <w:t> </w:t>
      </w:r>
      <w:r w:rsidRPr="003D7270">
        <w:rPr>
          <w:rFonts w:ascii="Arial" w:hAnsi="Arial" w:cs="Arial"/>
        </w:rPr>
        <w:t>identifikace ceny je uvedena v </w:t>
      </w:r>
      <w:r w:rsidRPr="003D7270">
        <w:rPr>
          <w:rFonts w:ascii="Arial" w:hAnsi="Arial" w:cs="Arial"/>
          <w:b/>
          <w:i/>
        </w:rPr>
        <w:t>Příloze č.</w:t>
      </w:r>
      <w:r>
        <w:rPr>
          <w:rFonts w:ascii="Arial" w:hAnsi="Arial" w:cs="Arial"/>
          <w:b/>
          <w:i/>
        </w:rPr>
        <w:t xml:space="preserve"> </w:t>
      </w:r>
      <w:r w:rsidRPr="003D7270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, tabulka 1.1.</w:t>
      </w:r>
      <w:r w:rsidRPr="003D7270">
        <w:rPr>
          <w:rFonts w:ascii="Arial" w:hAnsi="Arial" w:cs="Arial"/>
        </w:rPr>
        <w:t xml:space="preserve"> této Smlouvy.  </w:t>
      </w:r>
    </w:p>
    <w:p w:rsidR="000C48AE" w:rsidRPr="003D7270" w:rsidRDefault="000C48AE" w:rsidP="003D7270">
      <w:pPr>
        <w:pStyle w:val="RLTextlnkuslovan"/>
        <w:tabs>
          <w:tab w:val="clear" w:pos="1217"/>
        </w:tabs>
        <w:ind w:left="993" w:hanging="513"/>
        <w:rPr>
          <w:rFonts w:ascii="Arial" w:hAnsi="Arial" w:cs="Arial"/>
        </w:rPr>
      </w:pPr>
      <w:r w:rsidRPr="003D7270">
        <w:rPr>
          <w:rFonts w:ascii="Arial" w:hAnsi="Arial" w:cs="Arial"/>
        </w:rPr>
        <w:t xml:space="preserve">Poskytovatel zahájí poskytování Služby </w:t>
      </w:r>
      <w:r w:rsidRPr="00E657C5">
        <w:rPr>
          <w:rFonts w:ascii="Arial" w:hAnsi="Arial" w:cs="Arial"/>
        </w:rPr>
        <w:t>do územního pracoviště resortu Ministerstva financí</w:t>
      </w:r>
      <w:r w:rsidRPr="003D72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D7270">
        <w:rPr>
          <w:rFonts w:ascii="Arial" w:hAnsi="Arial" w:cs="Arial"/>
          <w:b/>
        </w:rPr>
        <w:t xml:space="preserve">od </w:t>
      </w:r>
      <w:r w:rsidRPr="00E657C5">
        <w:rPr>
          <w:rFonts w:ascii="Arial" w:hAnsi="Arial" w:cs="Arial"/>
          <w:b/>
          <w:highlight w:val="yellow"/>
        </w:rPr>
        <w:t>…………………</w:t>
      </w:r>
      <w:r w:rsidRPr="001A75BC">
        <w:rPr>
          <w:rFonts w:ascii="Arial" w:hAnsi="Arial" w:cs="Arial"/>
          <w:b/>
        </w:rPr>
        <w:t xml:space="preserve"> 00,00</w:t>
      </w:r>
      <w:r>
        <w:rPr>
          <w:rFonts w:ascii="Arial" w:hAnsi="Arial" w:cs="Arial"/>
          <w:b/>
        </w:rPr>
        <w:t xml:space="preserve"> </w:t>
      </w:r>
      <w:r w:rsidRPr="001A75BC">
        <w:rPr>
          <w:rFonts w:ascii="Arial" w:hAnsi="Arial" w:cs="Arial"/>
          <w:b/>
        </w:rPr>
        <w:t>hodin</w:t>
      </w:r>
      <w:r w:rsidRPr="003D7270">
        <w:rPr>
          <w:rFonts w:ascii="Arial" w:hAnsi="Arial" w:cs="Arial"/>
        </w:rPr>
        <w:t>. Poskytovatel se</w:t>
      </w:r>
      <w:r>
        <w:rPr>
          <w:rFonts w:ascii="Arial" w:hAnsi="Arial" w:cs="Arial"/>
        </w:rPr>
        <w:t> </w:t>
      </w:r>
      <w:r w:rsidRPr="003D7270">
        <w:rPr>
          <w:rFonts w:ascii="Arial" w:hAnsi="Arial" w:cs="Arial"/>
        </w:rPr>
        <w:t>zavazuje, že před zahájením poskytování Služby bude o připravenosti k zahájení informovat oprávněné zástupce Objednatele uvedené v</w:t>
      </w:r>
      <w:r>
        <w:rPr>
          <w:rFonts w:ascii="Arial" w:hAnsi="Arial" w:cs="Arial"/>
        </w:rPr>
        <w:t> </w:t>
      </w:r>
      <w:r w:rsidRPr="003D7270">
        <w:rPr>
          <w:rFonts w:ascii="Arial" w:hAnsi="Arial" w:cs="Arial"/>
          <w:b/>
          <w:i/>
        </w:rPr>
        <w:t>Příloze</w:t>
      </w:r>
      <w:r>
        <w:rPr>
          <w:rFonts w:ascii="Arial" w:hAnsi="Arial" w:cs="Arial"/>
          <w:b/>
          <w:i/>
        </w:rPr>
        <w:t xml:space="preserve"> </w:t>
      </w:r>
      <w:r w:rsidRPr="003D7270">
        <w:rPr>
          <w:rFonts w:ascii="Arial" w:hAnsi="Arial" w:cs="Arial"/>
          <w:b/>
          <w:i/>
        </w:rPr>
        <w:t>č.</w:t>
      </w:r>
      <w:r>
        <w:rPr>
          <w:rFonts w:ascii="Arial" w:hAnsi="Arial" w:cs="Arial"/>
          <w:b/>
          <w:i/>
        </w:rPr>
        <w:t xml:space="preserve"> </w:t>
      </w:r>
      <w:r w:rsidRPr="003D7270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 </w:t>
      </w:r>
      <w:r w:rsidRPr="003D7270">
        <w:rPr>
          <w:rFonts w:ascii="Arial" w:hAnsi="Arial" w:cs="Arial"/>
        </w:rPr>
        <w:t>této Smlouvy a nejpozději následující pracovní den po zahájení poskytování Služby předloží Objednateli k podpisu Předávací protokol o</w:t>
      </w:r>
      <w:r>
        <w:rPr>
          <w:rFonts w:ascii="Arial" w:hAnsi="Arial" w:cs="Arial"/>
        </w:rPr>
        <w:t> </w:t>
      </w:r>
      <w:r w:rsidRPr="003D7270">
        <w:rPr>
          <w:rFonts w:ascii="Arial" w:hAnsi="Arial" w:cs="Arial"/>
        </w:rPr>
        <w:t xml:space="preserve">zprovoznění a zahájení poskytování Služby. </w:t>
      </w:r>
    </w:p>
    <w:p w:rsidR="000C48AE" w:rsidRPr="001A75BC" w:rsidRDefault="000C48AE" w:rsidP="001A75BC">
      <w:pPr>
        <w:pStyle w:val="RLTextlnkuslovan"/>
        <w:tabs>
          <w:tab w:val="clear" w:pos="1217"/>
        </w:tabs>
        <w:ind w:left="993" w:hanging="513"/>
        <w:rPr>
          <w:rFonts w:ascii="Arial" w:hAnsi="Arial" w:cs="Arial"/>
        </w:rPr>
      </w:pPr>
      <w:r w:rsidRPr="001A75BC">
        <w:rPr>
          <w:rFonts w:ascii="Arial" w:hAnsi="Arial" w:cs="Arial"/>
        </w:rPr>
        <w:t>Smluvní strany se dohodly, že Objednatel je v rámci Služby oprávněn požadovat její kvalitativní a kvantitativní změny, a to způsobem a postupem uvedeným v této Smlouvě.</w:t>
      </w:r>
    </w:p>
    <w:p w:rsidR="000C48AE" w:rsidRPr="001A75BC" w:rsidRDefault="000C48AE" w:rsidP="001A75BC">
      <w:pPr>
        <w:pStyle w:val="RLTextlnkuslovan"/>
        <w:tabs>
          <w:tab w:val="clear" w:pos="1217"/>
        </w:tabs>
        <w:ind w:left="993" w:hanging="513"/>
        <w:rPr>
          <w:rFonts w:ascii="Arial" w:hAnsi="Arial" w:cs="Arial"/>
        </w:rPr>
      </w:pPr>
      <w:r w:rsidRPr="001A75BC">
        <w:rPr>
          <w:rFonts w:ascii="Arial" w:hAnsi="Arial" w:cs="Arial"/>
        </w:rPr>
        <w:t>Poskytovatel se zavazuje, že Služba bude vyhovovat bezpečnostním standardům, jejichž použití je obvyklé u obdobných služeb.</w:t>
      </w:r>
    </w:p>
    <w:p w:rsidR="000C48AE" w:rsidRPr="001E210C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1E210C">
        <w:rPr>
          <w:rFonts w:ascii="Arial" w:hAnsi="Arial" w:cs="Arial"/>
        </w:rPr>
        <w:t>DOBA A MÍSTO PLNĚNÍ</w:t>
      </w:r>
    </w:p>
    <w:p w:rsidR="000C48AE" w:rsidRPr="004A354F" w:rsidRDefault="000C48AE" w:rsidP="004A354F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Začátek plnění </w:t>
      </w:r>
      <w:r w:rsidRPr="004A354F">
        <w:rPr>
          <w:rFonts w:ascii="Arial" w:hAnsi="Arial" w:cs="Arial"/>
        </w:rPr>
        <w:t>předmětu této Smlouvy je stanoven</w:t>
      </w:r>
      <w:r>
        <w:rPr>
          <w:rFonts w:ascii="Arial" w:hAnsi="Arial" w:cs="Arial"/>
        </w:rPr>
        <w:t xml:space="preserve"> na </w:t>
      </w:r>
      <w:r w:rsidRPr="00734B84">
        <w:rPr>
          <w:rFonts w:ascii="Arial" w:hAnsi="Arial" w:cs="Arial"/>
          <w:highlight w:val="yellow"/>
        </w:rPr>
        <w:t>……………..</w:t>
      </w:r>
      <w:r>
        <w:rPr>
          <w:rFonts w:ascii="Arial" w:hAnsi="Arial" w:cs="Arial"/>
        </w:rPr>
        <w:t xml:space="preserve"> Smlouva se uzavírá na dobu neurčitou </w:t>
      </w:r>
      <w:r w:rsidRPr="004A354F">
        <w:rPr>
          <w:rFonts w:ascii="Arial" w:hAnsi="Arial" w:cs="Arial"/>
        </w:rPr>
        <w:t xml:space="preserve">s možností </w:t>
      </w:r>
      <w:r>
        <w:rPr>
          <w:rFonts w:ascii="Arial" w:hAnsi="Arial" w:cs="Arial"/>
        </w:rPr>
        <w:t xml:space="preserve">jejího </w:t>
      </w:r>
      <w:r w:rsidRPr="004A354F">
        <w:rPr>
          <w:rFonts w:ascii="Arial" w:hAnsi="Arial" w:cs="Arial"/>
        </w:rPr>
        <w:t xml:space="preserve">předčasného ukončení. </w:t>
      </w:r>
    </w:p>
    <w:p w:rsidR="000C48AE" w:rsidRPr="00F967EE" w:rsidRDefault="000C48AE" w:rsidP="004A354F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E027F">
        <w:rPr>
          <w:rFonts w:ascii="Arial" w:hAnsi="Arial" w:cs="Arial"/>
        </w:rPr>
        <w:t xml:space="preserve">Místem plnění </w:t>
      </w:r>
      <w:r>
        <w:rPr>
          <w:rFonts w:ascii="Arial" w:hAnsi="Arial" w:cs="Arial"/>
        </w:rPr>
        <w:t>je</w:t>
      </w:r>
      <w:r w:rsidRPr="00BE0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územní pracoviště Ministerstva financí na adrese </w:t>
      </w:r>
      <w:r>
        <w:rPr>
          <w:rFonts w:ascii="Arial" w:hAnsi="Arial" w:cs="Arial"/>
          <w:b/>
        </w:rPr>
        <w:t xml:space="preserve">Hvožďanská 2053/3, Praha 4  </w:t>
      </w:r>
      <w:r>
        <w:rPr>
          <w:rFonts w:ascii="Arial" w:hAnsi="Arial" w:cs="Arial"/>
        </w:rPr>
        <w:t>.</w:t>
      </w:r>
    </w:p>
    <w:p w:rsidR="000C48AE" w:rsidRPr="00F967EE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BE027F">
        <w:rPr>
          <w:rFonts w:ascii="Arial" w:hAnsi="Arial" w:cs="Arial"/>
        </w:rPr>
        <w:t>PRÁVA DUŠEVNÍHO A JINÉHO VLASTNICTVÍ</w:t>
      </w:r>
    </w:p>
    <w:p w:rsidR="000C48AE" w:rsidRPr="00F967EE" w:rsidRDefault="000C48AE" w:rsidP="004A354F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E027F">
        <w:rPr>
          <w:rFonts w:ascii="Arial" w:hAnsi="Arial" w:cs="Arial"/>
        </w:rPr>
        <w:t>Poskytovatel prohlašuje, že předmět plnění dle této Smlouvy je bez právních vad, zejména že není a nebude zatížen žádnými právy třetích osob, z nichž by pro Objednatele vyplynul jakýkoliv finanční nebo jiný závazek ve prospěch třetí strany. V případě, že bude toto oznámení nepravdivé, je Poskytovatel v plném rozsahu odpovědný za případné následky takovéhoto jednání, přičemž právo Objednatele na případnou náhradu škody a smluvní pokutu zůstává nedotčeno.</w:t>
      </w:r>
    </w:p>
    <w:p w:rsidR="000C48AE" w:rsidRPr="00F967EE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/>
        </w:rPr>
      </w:pPr>
      <w:r w:rsidRPr="00BE027F">
        <w:rPr>
          <w:rFonts w:ascii="Arial" w:hAnsi="Arial"/>
        </w:rPr>
        <w:t>CENA A PLATEBNÍ PODMÍNKY</w:t>
      </w:r>
    </w:p>
    <w:p w:rsidR="000C48AE" w:rsidRDefault="000C48AE" w:rsidP="00905F10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E027F">
        <w:rPr>
          <w:rFonts w:ascii="Arial" w:hAnsi="Arial" w:cs="Arial"/>
        </w:rPr>
        <w:t>Cena Služby, tj. cena za plnění předmětu Smlouvy za první rok období trvání Smlouvy resp. od zahájení poskytování Služby dle odst. 3.</w:t>
      </w:r>
      <w:r>
        <w:rPr>
          <w:rFonts w:ascii="Arial" w:hAnsi="Arial" w:cs="Arial"/>
        </w:rPr>
        <w:t>1</w:t>
      </w:r>
      <w:r w:rsidRPr="00BE027F">
        <w:rPr>
          <w:rFonts w:ascii="Arial" w:hAnsi="Arial" w:cs="Arial"/>
        </w:rPr>
        <w:t>, je dána 12</w:t>
      </w:r>
      <w:r>
        <w:rPr>
          <w:rFonts w:ascii="Arial" w:hAnsi="Arial" w:cs="Arial"/>
        </w:rPr>
        <w:t>-</w:t>
      </w:r>
      <w:r w:rsidRPr="00BE027F">
        <w:rPr>
          <w:rFonts w:ascii="Arial" w:hAnsi="Arial" w:cs="Arial"/>
        </w:rPr>
        <w:t>ti násobk</w:t>
      </w:r>
      <w:r>
        <w:rPr>
          <w:rFonts w:ascii="Arial" w:hAnsi="Arial" w:cs="Arial"/>
        </w:rPr>
        <w:t>em</w:t>
      </w:r>
      <w:r w:rsidRPr="00BE027F">
        <w:rPr>
          <w:rFonts w:ascii="Arial" w:hAnsi="Arial" w:cs="Arial"/>
        </w:rPr>
        <w:t xml:space="preserve"> měsíčního paušálu</w:t>
      </w:r>
      <w:r>
        <w:rPr>
          <w:rFonts w:ascii="Arial" w:hAnsi="Arial" w:cs="Arial"/>
        </w:rPr>
        <w:t xml:space="preserve"> a jednorázovým zřizovacím poplatkem, a činí:</w:t>
      </w:r>
    </w:p>
    <w:p w:rsidR="000C48AE" w:rsidRPr="0076133A" w:rsidRDefault="000C48AE" w:rsidP="00905F10">
      <w:pPr>
        <w:pStyle w:val="RLTextlnkuslovan"/>
        <w:numPr>
          <w:ilvl w:val="0"/>
          <w:numId w:val="0"/>
        </w:numPr>
        <w:ind w:left="1620" w:hanging="66"/>
        <w:rPr>
          <w:rFonts w:ascii="Arial" w:hAnsi="Arial" w:cs="Arial"/>
        </w:rPr>
      </w:pPr>
      <w:r w:rsidRPr="0076133A">
        <w:rPr>
          <w:rFonts w:ascii="Arial" w:hAnsi="Arial" w:cs="Arial"/>
        </w:rPr>
        <w:t>bez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133A">
        <w:rPr>
          <w:rFonts w:ascii="Arial" w:hAnsi="Arial" w:cs="Arial"/>
        </w:rPr>
        <w:t>……………….,- Kč,</w:t>
      </w:r>
    </w:p>
    <w:p w:rsidR="000C48AE" w:rsidRPr="0076133A" w:rsidRDefault="000C48AE" w:rsidP="00905F10">
      <w:pPr>
        <w:pStyle w:val="RLTextlnkuslovan"/>
        <w:numPr>
          <w:ilvl w:val="0"/>
          <w:numId w:val="0"/>
        </w:numPr>
        <w:ind w:left="1620" w:hanging="66"/>
        <w:rPr>
          <w:rFonts w:ascii="Arial" w:hAnsi="Arial" w:cs="Arial"/>
        </w:rPr>
      </w:pPr>
      <w:r w:rsidRPr="0076133A">
        <w:rPr>
          <w:rFonts w:ascii="Arial" w:hAnsi="Arial" w:cs="Arial"/>
        </w:rPr>
        <w:t xml:space="preserve">DPH </w:t>
      </w:r>
      <w:r>
        <w:rPr>
          <w:rFonts w:ascii="Arial" w:hAnsi="Arial" w:cs="Arial"/>
        </w:rPr>
        <w:t xml:space="preserve">21 </w:t>
      </w:r>
      <w:r w:rsidRPr="0076133A"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133A">
        <w:rPr>
          <w:rFonts w:ascii="Arial" w:hAnsi="Arial" w:cs="Arial"/>
        </w:rPr>
        <w:t>……………….,- Kč,</w:t>
      </w:r>
    </w:p>
    <w:p w:rsidR="000C48AE" w:rsidRPr="0076133A" w:rsidRDefault="000C48AE" w:rsidP="00905F10">
      <w:pPr>
        <w:pStyle w:val="RLTextlnkuslovan"/>
        <w:numPr>
          <w:ilvl w:val="0"/>
          <w:numId w:val="0"/>
        </w:numPr>
        <w:ind w:left="1620" w:hanging="66"/>
        <w:rPr>
          <w:rFonts w:ascii="Arial" w:hAnsi="Arial" w:cs="Arial"/>
        </w:rPr>
      </w:pPr>
      <w:r w:rsidRPr="0076133A">
        <w:rPr>
          <w:rFonts w:ascii="Arial" w:hAnsi="Arial" w:cs="Arial"/>
        </w:rPr>
        <w:t>včetně DPH</w:t>
      </w:r>
      <w:r>
        <w:rPr>
          <w:rFonts w:ascii="Arial" w:hAnsi="Arial" w:cs="Arial"/>
        </w:rPr>
        <w:tab/>
      </w:r>
      <w:r w:rsidRPr="0076133A">
        <w:rPr>
          <w:rFonts w:ascii="Arial" w:hAnsi="Arial" w:cs="Arial"/>
        </w:rPr>
        <w:tab/>
        <w:t>……………….,- Kč,</w:t>
      </w:r>
    </w:p>
    <w:p w:rsidR="000C48AE" w:rsidRDefault="000C48AE" w:rsidP="00905F10">
      <w:pPr>
        <w:pStyle w:val="RLTextlnkuslovan"/>
        <w:numPr>
          <w:ilvl w:val="0"/>
          <w:numId w:val="0"/>
        </w:numPr>
        <w:ind w:left="426"/>
        <w:rPr>
          <w:rFonts w:ascii="Arial" w:hAnsi="Arial" w:cs="Arial"/>
        </w:rPr>
      </w:pPr>
    </w:p>
    <w:p w:rsidR="000C48AE" w:rsidRPr="0076133A" w:rsidRDefault="000C48AE" w:rsidP="004A354F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6133A">
        <w:rPr>
          <w:rFonts w:ascii="Arial" w:hAnsi="Arial" w:cs="Arial"/>
        </w:rPr>
        <w:t xml:space="preserve">Celková dohodnutá smluvní cena za </w:t>
      </w:r>
      <w:r>
        <w:rPr>
          <w:rFonts w:ascii="Arial" w:hAnsi="Arial" w:cs="Arial"/>
        </w:rPr>
        <w:t xml:space="preserve"> každých dalších 12 měsíců</w:t>
      </w:r>
      <w:r w:rsidRPr="0076133A">
        <w:rPr>
          <w:rFonts w:ascii="Arial" w:hAnsi="Arial" w:cs="Arial"/>
        </w:rPr>
        <w:t xml:space="preserve"> plnění činí:</w:t>
      </w:r>
    </w:p>
    <w:p w:rsidR="000C48AE" w:rsidRPr="0076133A" w:rsidRDefault="000C48AE" w:rsidP="00571230">
      <w:pPr>
        <w:pStyle w:val="RLTextlnkuslovan"/>
        <w:numPr>
          <w:ilvl w:val="0"/>
          <w:numId w:val="0"/>
        </w:numPr>
        <w:ind w:left="1620" w:hanging="66"/>
        <w:rPr>
          <w:rFonts w:ascii="Arial" w:hAnsi="Arial" w:cs="Arial"/>
        </w:rPr>
      </w:pPr>
      <w:r w:rsidRPr="0076133A">
        <w:rPr>
          <w:rFonts w:ascii="Arial" w:hAnsi="Arial" w:cs="Arial"/>
        </w:rPr>
        <w:t>bez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133A">
        <w:rPr>
          <w:rFonts w:ascii="Arial" w:hAnsi="Arial" w:cs="Arial"/>
        </w:rPr>
        <w:t>……………….,- Kč,</w:t>
      </w:r>
    </w:p>
    <w:p w:rsidR="000C48AE" w:rsidRPr="0076133A" w:rsidRDefault="000C48AE" w:rsidP="00571230">
      <w:pPr>
        <w:pStyle w:val="RLTextlnkuslovan"/>
        <w:numPr>
          <w:ilvl w:val="0"/>
          <w:numId w:val="0"/>
        </w:numPr>
        <w:ind w:left="1620" w:hanging="66"/>
        <w:rPr>
          <w:rFonts w:ascii="Arial" w:hAnsi="Arial" w:cs="Arial"/>
        </w:rPr>
      </w:pPr>
      <w:r w:rsidRPr="0076133A">
        <w:rPr>
          <w:rFonts w:ascii="Arial" w:hAnsi="Arial" w:cs="Arial"/>
        </w:rPr>
        <w:t xml:space="preserve">DPH </w:t>
      </w:r>
      <w:r>
        <w:rPr>
          <w:rFonts w:ascii="Arial" w:hAnsi="Arial" w:cs="Arial"/>
        </w:rPr>
        <w:t>21</w:t>
      </w:r>
      <w:r w:rsidRPr="0076133A"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133A">
        <w:rPr>
          <w:rFonts w:ascii="Arial" w:hAnsi="Arial" w:cs="Arial"/>
        </w:rPr>
        <w:t>……………….,- Kč,</w:t>
      </w:r>
    </w:p>
    <w:p w:rsidR="000C48AE" w:rsidRDefault="000C48AE" w:rsidP="00571230">
      <w:pPr>
        <w:pStyle w:val="RLTextlnkuslovan"/>
        <w:numPr>
          <w:ilvl w:val="0"/>
          <w:numId w:val="0"/>
        </w:numPr>
        <w:ind w:left="1620" w:hanging="66"/>
        <w:rPr>
          <w:rFonts w:ascii="Arial" w:hAnsi="Arial" w:cs="Arial"/>
        </w:rPr>
      </w:pPr>
      <w:r w:rsidRPr="0076133A">
        <w:rPr>
          <w:rFonts w:ascii="Arial" w:hAnsi="Arial" w:cs="Arial"/>
        </w:rPr>
        <w:t>včetně DPH</w:t>
      </w:r>
      <w:r w:rsidRPr="007613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133A">
        <w:rPr>
          <w:rFonts w:ascii="Arial" w:hAnsi="Arial" w:cs="Arial"/>
        </w:rPr>
        <w:t>……………….,- Kč,</w:t>
      </w:r>
    </w:p>
    <w:p w:rsidR="000C48AE" w:rsidRPr="0076133A" w:rsidRDefault="000C48AE" w:rsidP="00571230">
      <w:pPr>
        <w:pStyle w:val="RLTextlnkuslovan"/>
        <w:numPr>
          <w:ilvl w:val="0"/>
          <w:numId w:val="0"/>
        </w:numPr>
        <w:ind w:left="1620" w:hanging="66"/>
        <w:rPr>
          <w:rFonts w:ascii="Arial" w:hAnsi="Arial" w:cs="Arial"/>
        </w:rPr>
      </w:pPr>
    </w:p>
    <w:p w:rsidR="000C48AE" w:rsidRPr="00F967EE" w:rsidRDefault="000C48AE" w:rsidP="0063202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E027F">
        <w:rPr>
          <w:rFonts w:ascii="Arial" w:hAnsi="Arial" w:cs="Arial"/>
        </w:rPr>
        <w:t>Cena plnění (měsíční paušál) je sjednána dohodou smluvních stran podle zákona č.526/1990 Sb., o cenách, ve znění pozdějších předpisů a je cenou maximální a nepřekročitelnou, která zahrnuje veškeré náklady spojené s</w:t>
      </w:r>
      <w:r>
        <w:rPr>
          <w:rFonts w:ascii="Arial" w:hAnsi="Arial" w:cs="Arial"/>
        </w:rPr>
        <w:t> </w:t>
      </w:r>
      <w:r w:rsidRPr="00BE027F">
        <w:rPr>
          <w:rFonts w:ascii="Arial" w:hAnsi="Arial" w:cs="Arial"/>
        </w:rPr>
        <w:t>realizací předmětu Smlouvy včetně nákladů souvisejících s případnými celními poplatky, dopravou do místa plnění apod.</w:t>
      </w:r>
    </w:p>
    <w:p w:rsidR="000C48AE" w:rsidRPr="00F967EE" w:rsidRDefault="000C48AE" w:rsidP="0063202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E027F">
        <w:rPr>
          <w:rFonts w:ascii="Arial" w:hAnsi="Arial" w:cs="Arial"/>
        </w:rPr>
        <w:t>Poskytovatel bude vystavovat daňové doklady (faktury) zahrnující Měsíční cenu Služby za dané zúčtovací období (uplynulý kalendářní měsíc) na vrub Objednatele.</w:t>
      </w:r>
    </w:p>
    <w:p w:rsidR="000C48AE" w:rsidRPr="001E210C" w:rsidRDefault="000C48AE" w:rsidP="0063202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E210C">
        <w:rPr>
          <w:rFonts w:ascii="Arial" w:hAnsi="Arial" w:cs="Arial"/>
        </w:rPr>
        <w:t>Poskytovatel</w:t>
      </w:r>
      <w:r w:rsidRPr="003D4C40">
        <w:rPr>
          <w:rFonts w:ascii="Arial" w:hAnsi="Arial" w:cs="Arial"/>
        </w:rPr>
        <w:t xml:space="preserve"> je oprávněn vyúčtovat cenu předmětu plnění (tedy vystavit fakturu – daňový doklad) </w:t>
      </w:r>
      <w:r w:rsidRPr="001E210C">
        <w:rPr>
          <w:rFonts w:ascii="Arial" w:hAnsi="Arial" w:cs="Arial"/>
        </w:rPr>
        <w:t xml:space="preserve">po ukončení příslušného zúčtovacího období (kalendářní měsíc) </w:t>
      </w:r>
      <w:r w:rsidRPr="003D4C40">
        <w:rPr>
          <w:rFonts w:ascii="Arial" w:hAnsi="Arial" w:cs="Arial"/>
        </w:rPr>
        <w:t>a to nejdéle do 15ti dnů ode dne kdy vznikla povinnost přiznat daň, nebo přiznat uskutečnění plnění.</w:t>
      </w:r>
    </w:p>
    <w:p w:rsidR="000C48AE" w:rsidRPr="001E210C" w:rsidRDefault="000C48AE" w:rsidP="0063202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E210C">
        <w:rPr>
          <w:rFonts w:ascii="Arial" w:hAnsi="Arial" w:cs="Arial"/>
        </w:rPr>
        <w:t xml:space="preserve">Platby budou probíhat v Kč </w:t>
      </w:r>
      <w:r>
        <w:rPr>
          <w:rFonts w:ascii="Arial" w:hAnsi="Arial" w:cs="Arial"/>
        </w:rPr>
        <w:t xml:space="preserve">bezhotovostně </w:t>
      </w:r>
      <w:r w:rsidRPr="00BE027F">
        <w:rPr>
          <w:rFonts w:ascii="Arial" w:hAnsi="Arial" w:cs="Arial"/>
        </w:rPr>
        <w:t>na účet uvedený v</w:t>
      </w:r>
      <w:r>
        <w:rPr>
          <w:rFonts w:ascii="Arial" w:hAnsi="Arial" w:cs="Arial"/>
        </w:rPr>
        <w:t> </w:t>
      </w:r>
      <w:r w:rsidRPr="00BE027F">
        <w:rPr>
          <w:rFonts w:ascii="Arial" w:hAnsi="Arial" w:cs="Arial"/>
        </w:rPr>
        <w:t>záhlaví smlouvy</w:t>
      </w:r>
      <w:r>
        <w:rPr>
          <w:rFonts w:ascii="Arial" w:hAnsi="Arial" w:cs="Arial"/>
        </w:rPr>
        <w:t xml:space="preserve"> </w:t>
      </w:r>
      <w:r w:rsidRPr="001E210C">
        <w:rPr>
          <w:rFonts w:ascii="Arial" w:hAnsi="Arial" w:cs="Arial"/>
        </w:rPr>
        <w:t>a rovněž veškeré cenové údaje budou v této měně.</w:t>
      </w:r>
    </w:p>
    <w:p w:rsidR="000C48AE" w:rsidRPr="001E210C" w:rsidRDefault="000C48AE" w:rsidP="0063202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Měsíční ceny </w:t>
      </w:r>
      <w:r w:rsidRPr="001E210C">
        <w:rPr>
          <w:rFonts w:ascii="Arial" w:hAnsi="Arial" w:cs="Arial"/>
        </w:rPr>
        <w:t>jsou vždy spla</w:t>
      </w:r>
      <w:r w:rsidRPr="001E210C">
        <w:rPr>
          <w:rFonts w:ascii="Arial" w:hAnsi="Arial" w:cs="Arial"/>
          <w:lang w:eastAsia="en-US"/>
        </w:rPr>
        <w:t>tné na zákla</w:t>
      </w:r>
      <w:r w:rsidRPr="001E210C">
        <w:rPr>
          <w:rFonts w:ascii="Arial" w:hAnsi="Arial" w:cs="Arial"/>
        </w:rPr>
        <w:t>dě daňových doklad</w:t>
      </w:r>
      <w:r w:rsidRPr="001E210C">
        <w:rPr>
          <w:rFonts w:ascii="Arial" w:hAnsi="Arial" w:cs="Arial"/>
          <w:lang w:eastAsia="en-US"/>
        </w:rPr>
        <w:t>ů – faktur (dále jen „</w:t>
      </w:r>
      <w:r w:rsidRPr="001E210C">
        <w:rPr>
          <w:rFonts w:ascii="Arial" w:hAnsi="Arial" w:cs="Arial"/>
          <w:b/>
        </w:rPr>
        <w:t>Faktura</w:t>
      </w:r>
      <w:r w:rsidRPr="001E210C">
        <w:rPr>
          <w:rFonts w:ascii="Arial" w:hAnsi="Arial" w:cs="Arial"/>
        </w:rPr>
        <w:t>“) vystavených Poskytovatelem na adres</w:t>
      </w:r>
      <w:r>
        <w:rPr>
          <w:rFonts w:ascii="Arial" w:hAnsi="Arial" w:cs="Arial"/>
        </w:rPr>
        <w:t>u Objednatele.</w:t>
      </w:r>
    </w:p>
    <w:p w:rsidR="000C48AE" w:rsidRPr="001E210C" w:rsidRDefault="000C48AE" w:rsidP="0063202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</w:t>
      </w:r>
      <w:r w:rsidRPr="001E210C">
        <w:rPr>
          <w:rFonts w:ascii="Arial" w:hAnsi="Arial" w:cs="Arial"/>
          <w:lang w:eastAsia="en-US"/>
        </w:rPr>
        <w:t>Splatnost</w:t>
      </w:r>
      <w:r w:rsidRPr="001E210C">
        <w:rPr>
          <w:rFonts w:ascii="Arial" w:hAnsi="Arial" w:cs="Arial"/>
        </w:rPr>
        <w:t xml:space="preserve"> všech plateb je stanovena na </w:t>
      </w:r>
      <w:r>
        <w:rPr>
          <w:rFonts w:ascii="Arial" w:hAnsi="Arial" w:cs="Arial"/>
        </w:rPr>
        <w:t>30</w:t>
      </w:r>
      <w:r w:rsidRPr="001E210C">
        <w:rPr>
          <w:rFonts w:ascii="Arial" w:hAnsi="Arial" w:cs="Arial"/>
        </w:rPr>
        <w:t xml:space="preserve"> dnů ode dne doručení Faktury</w:t>
      </w:r>
      <w:r>
        <w:rPr>
          <w:rFonts w:ascii="Arial" w:hAnsi="Arial" w:cs="Arial"/>
        </w:rPr>
        <w:t xml:space="preserve"> Objednateli</w:t>
      </w:r>
      <w:r w:rsidRPr="001E210C">
        <w:rPr>
          <w:rFonts w:ascii="Arial" w:hAnsi="Arial" w:cs="Arial"/>
        </w:rPr>
        <w:t>, přičemž v posledním kalendářním měsíci roku, v němž je</w:t>
      </w:r>
      <w:r>
        <w:rPr>
          <w:rFonts w:ascii="Arial" w:hAnsi="Arial" w:cs="Arial"/>
        </w:rPr>
        <w:t> </w:t>
      </w:r>
      <w:r w:rsidRPr="001E210C">
        <w:rPr>
          <w:rFonts w:ascii="Arial" w:hAnsi="Arial" w:cs="Arial"/>
        </w:rPr>
        <w:t>uskutečňováno plnění, musí být Faktura doručena nejpozději do 15.12. nedohodnou-li se smluvní strany jinak. Případné porušení SLA v období od</w:t>
      </w:r>
      <w:r>
        <w:rPr>
          <w:rFonts w:ascii="Arial" w:hAnsi="Arial" w:cs="Arial"/>
        </w:rPr>
        <w:t> </w:t>
      </w:r>
      <w:r w:rsidRPr="001E210C">
        <w:rPr>
          <w:rFonts w:ascii="Arial" w:hAnsi="Arial" w:cs="Arial"/>
        </w:rPr>
        <w:t>16.</w:t>
      </w:r>
      <w:r>
        <w:rPr>
          <w:rFonts w:ascii="Arial" w:hAnsi="Arial" w:cs="Arial"/>
        </w:rPr>
        <w:t xml:space="preserve"> </w:t>
      </w:r>
      <w:r w:rsidRPr="001E210C">
        <w:rPr>
          <w:rFonts w:ascii="Arial" w:hAnsi="Arial" w:cs="Arial"/>
        </w:rPr>
        <w:t>12. do 31.</w:t>
      </w:r>
      <w:r>
        <w:rPr>
          <w:rFonts w:ascii="Arial" w:hAnsi="Arial" w:cs="Arial"/>
        </w:rPr>
        <w:t xml:space="preserve"> </w:t>
      </w:r>
      <w:r w:rsidRPr="001E210C">
        <w:rPr>
          <w:rFonts w:ascii="Arial" w:hAnsi="Arial" w:cs="Arial"/>
        </w:rPr>
        <w:t>12. bude vypořádáno v následujícím fakturačním období.</w:t>
      </w:r>
    </w:p>
    <w:p w:rsidR="000C48AE" w:rsidRPr="001E210C" w:rsidRDefault="000C48AE" w:rsidP="00571230">
      <w:pPr>
        <w:pStyle w:val="RLTextlnkuslovan"/>
        <w:tabs>
          <w:tab w:val="clear" w:pos="1217"/>
          <w:tab w:val="num" w:pos="917"/>
          <w:tab w:val="num" w:pos="993"/>
        </w:tabs>
        <w:ind w:left="993" w:hanging="567"/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>Vystavená Faktura musí obsahovat:</w:t>
      </w:r>
    </w:p>
    <w:p w:rsidR="000C48AE" w:rsidRDefault="000C48AE" w:rsidP="0049429C">
      <w:pPr>
        <w:pStyle w:val="RLTextlnkuslovan"/>
        <w:numPr>
          <w:ilvl w:val="2"/>
          <w:numId w:val="6"/>
        </w:numPr>
        <w:tabs>
          <w:tab w:val="num" w:pos="1843"/>
        </w:tabs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>rozepsané položky předmětu plnění přesně dle Smlouvy (</w:t>
      </w:r>
      <w:r>
        <w:rPr>
          <w:rFonts w:ascii="Arial" w:hAnsi="Arial" w:cs="Arial"/>
          <w:lang w:eastAsia="en-US"/>
        </w:rPr>
        <w:t>M</w:t>
      </w:r>
      <w:r w:rsidRPr="001E210C">
        <w:rPr>
          <w:rFonts w:ascii="Arial" w:hAnsi="Arial" w:cs="Arial"/>
          <w:lang w:eastAsia="en-US"/>
        </w:rPr>
        <w:t>ěsíční cena a to v Kč bez DPH, D</w:t>
      </w:r>
      <w:r>
        <w:rPr>
          <w:rFonts w:ascii="Arial" w:hAnsi="Arial" w:cs="Arial"/>
          <w:lang w:eastAsia="en-US"/>
        </w:rPr>
        <w:t>PH v Kč a cena v Kč včetně DPH),</w:t>
      </w:r>
      <w:r w:rsidRPr="001E210C">
        <w:rPr>
          <w:rFonts w:ascii="Arial" w:hAnsi="Arial" w:cs="Arial"/>
          <w:lang w:eastAsia="en-US"/>
        </w:rPr>
        <w:t xml:space="preserve"> </w:t>
      </w:r>
    </w:p>
    <w:p w:rsidR="000C48AE" w:rsidRPr="00CD446F" w:rsidRDefault="000C48AE" w:rsidP="0049429C">
      <w:pPr>
        <w:pStyle w:val="RLTextlnkuslovan"/>
        <w:numPr>
          <w:ilvl w:val="2"/>
          <w:numId w:val="6"/>
        </w:numPr>
        <w:tabs>
          <w:tab w:val="num" w:pos="1843"/>
        </w:tabs>
        <w:rPr>
          <w:rFonts w:ascii="Arial" w:hAnsi="Arial" w:cs="Arial"/>
          <w:lang w:eastAsia="en-US"/>
        </w:rPr>
      </w:pPr>
      <w:r w:rsidRPr="00CD446F">
        <w:rPr>
          <w:rFonts w:ascii="Arial" w:hAnsi="Arial" w:cs="Arial"/>
          <w:lang w:eastAsia="en-US"/>
        </w:rPr>
        <w:t xml:space="preserve">zakázkové číslo </w:t>
      </w:r>
      <w:r>
        <w:rPr>
          <w:rFonts w:ascii="Arial" w:hAnsi="Arial" w:cs="Arial"/>
          <w:lang w:eastAsia="en-US"/>
        </w:rPr>
        <w:t>S</w:t>
      </w:r>
      <w:r w:rsidRPr="00CD446F">
        <w:rPr>
          <w:rFonts w:ascii="Arial" w:hAnsi="Arial" w:cs="Arial"/>
          <w:lang w:eastAsia="en-US"/>
        </w:rPr>
        <w:t>mlouvy,</w:t>
      </w:r>
      <w:r>
        <w:rPr>
          <w:rFonts w:ascii="Arial" w:hAnsi="Arial" w:cs="Arial"/>
          <w:lang w:eastAsia="en-US"/>
        </w:rPr>
        <w:t xml:space="preserve"> sloužící jako identifikátor platby,</w:t>
      </w:r>
    </w:p>
    <w:p w:rsidR="000C48AE" w:rsidRPr="00CD446F" w:rsidRDefault="000C48AE" w:rsidP="0049429C">
      <w:pPr>
        <w:pStyle w:val="RLTextlnkuslovan"/>
        <w:numPr>
          <w:ilvl w:val="2"/>
          <w:numId w:val="6"/>
        </w:numPr>
        <w:tabs>
          <w:tab w:val="num" w:pos="1843"/>
        </w:tabs>
        <w:rPr>
          <w:rFonts w:ascii="Arial" w:hAnsi="Arial" w:cs="Arial"/>
          <w:lang w:eastAsia="en-US"/>
        </w:rPr>
      </w:pPr>
      <w:r w:rsidRPr="00CD446F">
        <w:rPr>
          <w:rFonts w:ascii="Arial" w:hAnsi="Arial" w:cs="Arial"/>
          <w:lang w:eastAsia="en-US"/>
        </w:rPr>
        <w:t xml:space="preserve">číslo účtu </w:t>
      </w:r>
      <w:r>
        <w:rPr>
          <w:rFonts w:ascii="Arial" w:hAnsi="Arial" w:cs="Arial"/>
          <w:lang w:eastAsia="en-US"/>
        </w:rPr>
        <w:t>Poskytovatele</w:t>
      </w:r>
      <w:r w:rsidRPr="00CD446F">
        <w:rPr>
          <w:rFonts w:ascii="Arial" w:hAnsi="Arial" w:cs="Arial"/>
          <w:lang w:eastAsia="en-US"/>
        </w:rPr>
        <w:t>,</w:t>
      </w:r>
    </w:p>
    <w:p w:rsidR="000C48AE" w:rsidRPr="00CD446F" w:rsidRDefault="000C48AE" w:rsidP="0049429C">
      <w:pPr>
        <w:pStyle w:val="RLTextlnkuslovan"/>
        <w:numPr>
          <w:ilvl w:val="2"/>
          <w:numId w:val="6"/>
        </w:numPr>
        <w:tabs>
          <w:tab w:val="num" w:pos="1843"/>
        </w:tabs>
        <w:rPr>
          <w:rFonts w:ascii="Arial" w:hAnsi="Arial" w:cs="Arial"/>
          <w:lang w:eastAsia="en-US"/>
        </w:rPr>
      </w:pPr>
      <w:r w:rsidRPr="00CD446F">
        <w:rPr>
          <w:rFonts w:ascii="Arial" w:hAnsi="Arial" w:cs="Arial"/>
          <w:lang w:eastAsia="en-US"/>
        </w:rPr>
        <w:t>veškeré náležitosti dle § 2</w:t>
      </w:r>
      <w:r>
        <w:rPr>
          <w:rFonts w:ascii="Arial" w:hAnsi="Arial" w:cs="Arial"/>
          <w:lang w:eastAsia="en-US"/>
        </w:rPr>
        <w:t xml:space="preserve">9 </w:t>
      </w:r>
      <w:r w:rsidRPr="00CD446F">
        <w:rPr>
          <w:rFonts w:ascii="Arial" w:hAnsi="Arial" w:cs="Arial"/>
          <w:lang w:eastAsia="en-US"/>
        </w:rPr>
        <w:t>zákona č. 235/2004 Sb., o dani z přidané hodnoty, ve znění pozdějších předpisů,</w:t>
      </w:r>
    </w:p>
    <w:p w:rsidR="000C48AE" w:rsidRDefault="000C48AE" w:rsidP="0049429C">
      <w:pPr>
        <w:pStyle w:val="RLTextlnkuslovan"/>
        <w:numPr>
          <w:ilvl w:val="2"/>
          <w:numId w:val="6"/>
        </w:numPr>
        <w:tabs>
          <w:tab w:val="num" w:pos="1843"/>
        </w:tabs>
        <w:rPr>
          <w:rFonts w:ascii="Arial" w:hAnsi="Arial" w:cs="Arial"/>
          <w:lang w:eastAsia="en-US"/>
        </w:rPr>
      </w:pPr>
      <w:r w:rsidRPr="005B2242">
        <w:rPr>
          <w:rFonts w:ascii="Arial" w:hAnsi="Arial" w:cs="Arial"/>
          <w:lang w:eastAsia="en-US"/>
        </w:rPr>
        <w:t>informace povinně uváděné na obchodních listinách na základě §</w:t>
      </w:r>
      <w:r>
        <w:rPr>
          <w:rFonts w:ascii="Arial" w:hAnsi="Arial" w:cs="Arial"/>
          <w:lang w:eastAsia="en-US"/>
        </w:rPr>
        <w:t> </w:t>
      </w:r>
      <w:r w:rsidRPr="005B2242">
        <w:rPr>
          <w:rFonts w:ascii="Arial" w:hAnsi="Arial" w:cs="Arial"/>
          <w:lang w:eastAsia="en-US"/>
        </w:rPr>
        <w:t>435 občanského zákoníku</w:t>
      </w:r>
      <w:r>
        <w:rPr>
          <w:rFonts w:ascii="Arial" w:hAnsi="Arial" w:cs="Arial"/>
          <w:lang w:eastAsia="en-US"/>
        </w:rPr>
        <w:t>,</w:t>
      </w:r>
    </w:p>
    <w:p w:rsidR="000C48AE" w:rsidRDefault="000C48AE" w:rsidP="0049429C">
      <w:pPr>
        <w:pStyle w:val="RLTextlnkuslovan"/>
        <w:numPr>
          <w:ilvl w:val="2"/>
          <w:numId w:val="6"/>
        </w:numPr>
        <w:tabs>
          <w:tab w:val="num" w:pos="1843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Měsíční ceny jsou vždy splatné na základě daňových dokladů vystavených Poskytovatelem na fakturační adresu: Ministerstvo financí, Letenská 15,118 10 Praha 1, IČ </w:t>
      </w:r>
      <w:smartTag w:uri="urn:schemas-microsoft-com:office:smarttags" w:element="metricconverter">
        <w:smartTagPr>
          <w:attr w:name="ProductID" w:val="00006947 a"/>
        </w:smartTagPr>
        <w:r>
          <w:rPr>
            <w:rFonts w:ascii="Arial" w:hAnsi="Arial" w:cs="Arial"/>
            <w:lang w:eastAsia="en-US"/>
          </w:rPr>
          <w:t>00006947 a</w:t>
        </w:r>
      </w:smartTag>
      <w:r>
        <w:rPr>
          <w:rFonts w:ascii="Arial" w:hAnsi="Arial" w:cs="Arial"/>
          <w:lang w:eastAsia="en-US"/>
        </w:rPr>
        <w:t xml:space="preserve"> také zaslané elektronicky emailem na adresu podatelna@mfcr.cz</w:t>
      </w:r>
    </w:p>
    <w:p w:rsidR="000C48AE" w:rsidRPr="001E210C" w:rsidRDefault="000C48AE" w:rsidP="00E47452">
      <w:pPr>
        <w:spacing w:after="0" w:line="240" w:lineRule="auto"/>
        <w:ind w:left="1701"/>
        <w:jc w:val="both"/>
        <w:rPr>
          <w:rFonts w:ascii="Arial" w:hAnsi="Arial" w:cs="Arial"/>
          <w:lang w:eastAsia="en-US"/>
        </w:rPr>
      </w:pPr>
    </w:p>
    <w:p w:rsidR="000C48AE" w:rsidRDefault="000C48AE" w:rsidP="00E47452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  <w:lang w:eastAsia="en-US"/>
        </w:rPr>
        <w:t>Nebude</w:t>
      </w:r>
      <w:r w:rsidRPr="001E210C">
        <w:rPr>
          <w:rFonts w:ascii="Arial" w:hAnsi="Arial" w:cs="Arial"/>
        </w:rPr>
        <w:t xml:space="preserve">-li Faktura obsahovat stanovené náležitosti (např. nesprávné údaje, chybějící Předávací protokol, apod.), je Objednatel </w:t>
      </w:r>
      <w:r w:rsidRPr="005B2242">
        <w:rPr>
          <w:rFonts w:ascii="Arial" w:hAnsi="Arial" w:cs="Arial"/>
        </w:rPr>
        <w:t>povinen,</w:t>
      </w:r>
      <w:r w:rsidRPr="001E210C">
        <w:rPr>
          <w:rFonts w:ascii="Arial" w:hAnsi="Arial" w:cs="Arial"/>
        </w:rPr>
        <w:t xml:space="preserve"> ji vrátit Poskytovateli ve lhůtě splatnosti, aniž by došlo k prodlení s její úhradou. Nová lhůta splatnosti </w:t>
      </w:r>
      <w:r w:rsidRPr="005B2242">
        <w:rPr>
          <w:rFonts w:ascii="Arial" w:hAnsi="Arial" w:cs="Arial"/>
        </w:rPr>
        <w:t xml:space="preserve">ceny plnění </w:t>
      </w:r>
      <w:r w:rsidRPr="001E210C">
        <w:rPr>
          <w:rFonts w:ascii="Arial" w:hAnsi="Arial" w:cs="Arial"/>
        </w:rPr>
        <w:t xml:space="preserve">v délce </w:t>
      </w:r>
      <w:r>
        <w:rPr>
          <w:rFonts w:ascii="Arial" w:hAnsi="Arial" w:cs="Arial"/>
        </w:rPr>
        <w:t xml:space="preserve"> 30</w:t>
      </w:r>
      <w:r w:rsidRPr="001E210C">
        <w:rPr>
          <w:rFonts w:ascii="Arial" w:hAnsi="Arial" w:cs="Arial"/>
        </w:rPr>
        <w:t xml:space="preserve"> dnů počne </w:t>
      </w:r>
      <w:r>
        <w:rPr>
          <w:rFonts w:ascii="Arial" w:hAnsi="Arial" w:cs="Arial"/>
        </w:rPr>
        <w:t xml:space="preserve">plynout </w:t>
      </w:r>
      <w:r w:rsidRPr="001E210C">
        <w:rPr>
          <w:rFonts w:ascii="Arial" w:hAnsi="Arial" w:cs="Arial"/>
        </w:rPr>
        <w:t xml:space="preserve">ode dne doručení opravené Faktury Objednateli. </w:t>
      </w:r>
    </w:p>
    <w:p w:rsidR="000C48AE" w:rsidRDefault="000C48AE" w:rsidP="00E47452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2689A">
        <w:rPr>
          <w:rFonts w:ascii="Arial" w:hAnsi="Arial" w:cs="Arial"/>
        </w:rPr>
        <w:t>Daň z přidané hodnoty bude účtována v souladu se zákonem č. 235/2004 Sb., o dani z přidané hodnoty, ve znění pozdějších předpisů, ke dni uskutečnění zdanitelného plnění.</w:t>
      </w:r>
    </w:p>
    <w:p w:rsidR="000C48AE" w:rsidRPr="001E210C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1E210C">
        <w:rPr>
          <w:rFonts w:ascii="Arial" w:hAnsi="Arial" w:cs="Arial"/>
        </w:rPr>
        <w:t>NÁHRADA ŠKODY A SMLUVNÍ POKUTY</w:t>
      </w:r>
    </w:p>
    <w:p w:rsidR="000C48AE" w:rsidRPr="008D5A3A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 w:rsidRPr="008D5A3A">
        <w:rPr>
          <w:rFonts w:ascii="Arial" w:hAnsi="Arial" w:cs="Arial"/>
          <w:lang w:eastAsia="en-US"/>
        </w:rPr>
        <w:t>V případě nedodržení termínu zahájení poskytování Služby se stanoví smluvní pokuta ve výši 0,</w:t>
      </w:r>
      <w:r>
        <w:rPr>
          <w:rFonts w:ascii="Arial" w:hAnsi="Arial" w:cs="Arial"/>
          <w:lang w:eastAsia="en-US"/>
        </w:rPr>
        <w:t>05</w:t>
      </w:r>
      <w:r w:rsidRPr="008D5A3A">
        <w:rPr>
          <w:rFonts w:ascii="Arial" w:hAnsi="Arial" w:cs="Arial"/>
          <w:lang w:eastAsia="en-US"/>
        </w:rPr>
        <w:t xml:space="preserve"> % </w:t>
      </w:r>
      <w:r>
        <w:rPr>
          <w:rFonts w:ascii="Arial" w:hAnsi="Arial" w:cs="Arial"/>
          <w:lang w:eastAsia="en-US"/>
        </w:rPr>
        <w:t>roční</w:t>
      </w:r>
      <w:r w:rsidRPr="008D5A3A">
        <w:rPr>
          <w:rFonts w:ascii="Arial" w:hAnsi="Arial" w:cs="Arial"/>
          <w:lang w:eastAsia="en-US"/>
        </w:rPr>
        <w:t xml:space="preserve"> ceny s </w:t>
      </w:r>
      <w:r w:rsidRPr="00D14BCC">
        <w:rPr>
          <w:rFonts w:ascii="Arial" w:hAnsi="Arial" w:cs="Arial"/>
          <w:lang w:eastAsia="en-US"/>
        </w:rPr>
        <w:t xml:space="preserve">DPH </w:t>
      </w:r>
      <w:r w:rsidRPr="00D14BCC">
        <w:rPr>
          <w:rFonts w:ascii="Arial" w:hAnsi="Arial" w:cs="Arial"/>
          <w:i/>
          <w:lang w:eastAsia="en-US"/>
        </w:rPr>
        <w:t xml:space="preserve"> za</w:t>
      </w:r>
      <w:r w:rsidRPr="008D5A3A">
        <w:rPr>
          <w:rFonts w:ascii="Arial" w:hAnsi="Arial" w:cs="Arial"/>
          <w:lang w:eastAsia="en-US"/>
        </w:rPr>
        <w:t xml:space="preserve"> každý den prodlení s jejím zahájením. Tato smluvní pokuta se nevztahuje na případ, kdy</w:t>
      </w:r>
      <w:r>
        <w:rPr>
          <w:rFonts w:ascii="Arial" w:hAnsi="Arial" w:cs="Arial"/>
          <w:lang w:eastAsia="en-US"/>
        </w:rPr>
        <w:t> </w:t>
      </w:r>
      <w:r w:rsidRPr="008D5A3A">
        <w:rPr>
          <w:rFonts w:ascii="Arial" w:hAnsi="Arial" w:cs="Arial"/>
          <w:lang w:eastAsia="en-US"/>
        </w:rPr>
        <w:t>prodlení Poskytovatele bylo způsobeno Objednatelem.</w:t>
      </w:r>
    </w:p>
    <w:p w:rsidR="000C48AE" w:rsidRPr="008D5A3A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 w:rsidRPr="008D5A3A">
        <w:rPr>
          <w:rFonts w:ascii="Arial" w:hAnsi="Arial" w:cs="Arial"/>
          <w:lang w:eastAsia="en-US"/>
        </w:rPr>
        <w:t>V případě prodlení Poskytovatele s plněním jakékoliv lhůty uvedené v této Smlouvě a dále v případě neplnění Poskytovatele má Objednatel právo uplatnit vůči němu smluvní pokutu ve výši 0,05% z </w:t>
      </w:r>
      <w:r>
        <w:rPr>
          <w:rFonts w:ascii="Arial" w:hAnsi="Arial" w:cs="Arial"/>
          <w:lang w:eastAsia="en-US"/>
        </w:rPr>
        <w:t>roční</w:t>
      </w:r>
      <w:r w:rsidRPr="008D5A3A">
        <w:rPr>
          <w:rFonts w:ascii="Arial" w:hAnsi="Arial" w:cs="Arial"/>
          <w:lang w:eastAsia="en-US"/>
        </w:rPr>
        <w:t xml:space="preserve"> ceny s</w:t>
      </w:r>
      <w:r>
        <w:rPr>
          <w:rFonts w:ascii="Arial" w:hAnsi="Arial" w:cs="Arial"/>
          <w:lang w:eastAsia="en-US"/>
        </w:rPr>
        <w:t> </w:t>
      </w:r>
      <w:r w:rsidRPr="008D5A3A">
        <w:rPr>
          <w:rFonts w:ascii="Arial" w:hAnsi="Arial" w:cs="Arial"/>
          <w:lang w:eastAsia="en-US"/>
        </w:rPr>
        <w:t>DPH</w:t>
      </w:r>
      <w:r>
        <w:rPr>
          <w:rFonts w:ascii="Arial" w:hAnsi="Arial" w:cs="Arial"/>
          <w:lang w:eastAsia="en-US"/>
        </w:rPr>
        <w:t>,</w:t>
      </w:r>
      <w:r w:rsidRPr="008D5A3A">
        <w:rPr>
          <w:rFonts w:ascii="Arial" w:hAnsi="Arial" w:cs="Arial"/>
          <w:lang w:eastAsia="en-US"/>
        </w:rPr>
        <w:t xml:space="preserve"> se</w:t>
      </w:r>
      <w:r>
        <w:rPr>
          <w:rFonts w:ascii="Arial" w:hAnsi="Arial" w:cs="Arial"/>
          <w:lang w:eastAsia="en-US"/>
        </w:rPr>
        <w:t> </w:t>
      </w:r>
      <w:r w:rsidRPr="008D5A3A">
        <w:rPr>
          <w:rFonts w:ascii="Arial" w:hAnsi="Arial" w:cs="Arial"/>
          <w:lang w:eastAsia="en-US"/>
        </w:rPr>
        <w:t>prodlení Poskytovatele týká, a to za každý i započatý den následující po</w:t>
      </w:r>
      <w:r>
        <w:rPr>
          <w:rFonts w:ascii="Arial" w:hAnsi="Arial" w:cs="Arial"/>
          <w:lang w:eastAsia="en-US"/>
        </w:rPr>
        <w:t> </w:t>
      </w:r>
      <w:r w:rsidRPr="008D5A3A">
        <w:rPr>
          <w:rFonts w:ascii="Arial" w:hAnsi="Arial" w:cs="Arial"/>
          <w:lang w:eastAsia="en-US"/>
        </w:rPr>
        <w:t xml:space="preserve">marném uplynutí doby plnění, nebo (nejsou-li lhůty ve Smlouvě uvedeny) za každý i započatý den neplnění. </w:t>
      </w:r>
    </w:p>
    <w:p w:rsidR="000C48AE" w:rsidRPr="0012689A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 w:rsidRPr="0012689A">
        <w:rPr>
          <w:rFonts w:ascii="Arial" w:hAnsi="Arial" w:cs="Arial"/>
          <w:lang w:eastAsia="en-US"/>
        </w:rPr>
        <w:t>Smluvní pokuta je splatná ve lhůtě sedmi (7) dnů od doručení písemné výzvy Objednatele k úhradě.</w:t>
      </w:r>
    </w:p>
    <w:p w:rsidR="000C48AE" w:rsidRPr="0012689A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 w:rsidRPr="0012689A">
        <w:rPr>
          <w:rFonts w:ascii="Arial" w:hAnsi="Arial" w:cs="Arial"/>
          <w:lang w:eastAsia="en-US"/>
        </w:rPr>
        <w:t>Započtení smluvní pokuty do fakturované částky se nepřipouští.</w:t>
      </w:r>
    </w:p>
    <w:p w:rsidR="000C48AE" w:rsidRPr="001E210C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 w:rsidRPr="0012689A">
        <w:rPr>
          <w:rFonts w:ascii="Arial" w:hAnsi="Arial" w:cs="Arial"/>
          <w:lang w:eastAsia="en-US"/>
        </w:rPr>
        <w:t>Objednatel má právo na náhradu škody vzniklé z porušení povinnosti, ke</w:t>
      </w:r>
      <w:r>
        <w:rPr>
          <w:rFonts w:ascii="Arial" w:hAnsi="Arial" w:cs="Arial"/>
          <w:lang w:eastAsia="en-US"/>
        </w:rPr>
        <w:t> </w:t>
      </w:r>
      <w:r w:rsidRPr="0012689A">
        <w:rPr>
          <w:rFonts w:ascii="Arial" w:hAnsi="Arial" w:cs="Arial"/>
          <w:lang w:eastAsia="en-US"/>
        </w:rPr>
        <w:t>kterému se smluvní pokuta vztahuje, v plné výši.</w:t>
      </w:r>
    </w:p>
    <w:p w:rsidR="000C48AE" w:rsidRPr="00196905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 w:rsidRPr="00196905">
        <w:rPr>
          <w:rFonts w:ascii="Arial" w:hAnsi="Arial" w:cs="Arial"/>
          <w:lang w:eastAsia="en-US"/>
        </w:rPr>
        <w:t>Při nedodržení termínu splatnosti daňového dokladu - faktury Objednatelem je Poskytovatel, který řádně splnil své smluvní a zákonné povinnosti, oprávněn požadovat úhradu úroku z prodlení. Výše úroku z prodlení se řídí nařízením vlády č. 351/2013 Sb.</w:t>
      </w:r>
    </w:p>
    <w:p w:rsidR="000C48AE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</w:t>
      </w:r>
      <w:r w:rsidRPr="00C07374">
        <w:rPr>
          <w:rFonts w:ascii="Arial" w:hAnsi="Arial" w:cs="Arial"/>
          <w:lang w:eastAsia="en-US"/>
        </w:rPr>
        <w:t>Jakékoliv omezování výše případných sankcí se nepřipouští.</w:t>
      </w:r>
    </w:p>
    <w:p w:rsidR="000C48AE" w:rsidRPr="005A5668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</w:t>
      </w:r>
      <w:r w:rsidRPr="005A5668">
        <w:rPr>
          <w:rFonts w:ascii="Arial" w:hAnsi="Arial" w:cs="Arial"/>
          <w:lang w:eastAsia="en-US"/>
        </w:rPr>
        <w:t xml:space="preserve">Žádná ze smluvních stran není odpovědná za prodlení způsobené prodlením s plněním závazků druhé smluvní strany nebo v případě neposkytnutí </w:t>
      </w:r>
      <w:r w:rsidRPr="00400217">
        <w:rPr>
          <w:rFonts w:ascii="Arial" w:hAnsi="Arial" w:cs="Arial"/>
          <w:lang w:eastAsia="en-US"/>
        </w:rPr>
        <w:t>požadované součinnosti</w:t>
      </w:r>
      <w:r w:rsidRPr="005A5668">
        <w:rPr>
          <w:rFonts w:ascii="Arial" w:hAnsi="Arial" w:cs="Arial"/>
          <w:lang w:eastAsia="en-US"/>
        </w:rPr>
        <w:t xml:space="preserve">, vymezené ve </w:t>
      </w:r>
      <w:r>
        <w:rPr>
          <w:rFonts w:ascii="Arial" w:hAnsi="Arial" w:cs="Arial"/>
          <w:lang w:eastAsia="en-US"/>
        </w:rPr>
        <w:t>S</w:t>
      </w:r>
      <w:r w:rsidRPr="005A5668">
        <w:rPr>
          <w:rFonts w:ascii="Arial" w:hAnsi="Arial" w:cs="Arial"/>
          <w:lang w:eastAsia="en-US"/>
        </w:rPr>
        <w:t>mlouvě. Každá ze</w:t>
      </w:r>
      <w:r>
        <w:rPr>
          <w:rFonts w:ascii="Arial" w:hAnsi="Arial" w:cs="Arial"/>
          <w:lang w:eastAsia="en-US"/>
        </w:rPr>
        <w:t> </w:t>
      </w:r>
      <w:r w:rsidRPr="005A5668">
        <w:rPr>
          <w:rFonts w:ascii="Arial" w:hAnsi="Arial" w:cs="Arial"/>
          <w:lang w:eastAsia="en-US"/>
        </w:rPr>
        <w:t xml:space="preserve">smluvních stran nese odpovědnost za způsobenou škodu v rámci platných právních předpisů a Smlouvy. </w:t>
      </w:r>
    </w:p>
    <w:p w:rsidR="000C48AE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 w:rsidRPr="005A5668">
        <w:rPr>
          <w:rFonts w:ascii="Arial" w:hAnsi="Arial" w:cs="Arial"/>
          <w:lang w:eastAsia="en-US"/>
        </w:rPr>
        <w:t xml:space="preserve">Zaplacení smluvní pokuty nezbavuje </w:t>
      </w:r>
      <w:r>
        <w:rPr>
          <w:rFonts w:ascii="Arial" w:hAnsi="Arial" w:cs="Arial"/>
          <w:lang w:eastAsia="en-US"/>
        </w:rPr>
        <w:t>Poskytovatele</w:t>
      </w:r>
      <w:r w:rsidRPr="005A5668">
        <w:rPr>
          <w:rFonts w:ascii="Arial" w:hAnsi="Arial" w:cs="Arial"/>
          <w:lang w:eastAsia="en-US"/>
        </w:rPr>
        <w:t xml:space="preserve"> povinnosti splnit závazek stanovený touto</w:t>
      </w:r>
      <w:r>
        <w:rPr>
          <w:rFonts w:ascii="Arial" w:hAnsi="Arial" w:cs="Arial"/>
          <w:lang w:eastAsia="en-US"/>
        </w:rPr>
        <w:t xml:space="preserve"> S</w:t>
      </w:r>
      <w:r w:rsidRPr="005A5668">
        <w:rPr>
          <w:rFonts w:ascii="Arial" w:hAnsi="Arial" w:cs="Arial"/>
          <w:lang w:eastAsia="en-US"/>
        </w:rPr>
        <w:t>mlouvou.</w:t>
      </w:r>
    </w:p>
    <w:p w:rsidR="000C48AE" w:rsidRPr="001E210C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>Zaplacením smluvním pokuty není dotčeno právo smluvních stran na</w:t>
      </w:r>
      <w:r>
        <w:rPr>
          <w:rFonts w:ascii="Arial" w:hAnsi="Arial" w:cs="Arial"/>
          <w:lang w:eastAsia="en-US"/>
        </w:rPr>
        <w:t> </w:t>
      </w:r>
      <w:r w:rsidRPr="001E210C">
        <w:rPr>
          <w:rFonts w:ascii="Arial" w:hAnsi="Arial" w:cs="Arial"/>
          <w:lang w:eastAsia="en-US"/>
        </w:rPr>
        <w:t>úhradu způsobené skutečné škody v plné výši.</w:t>
      </w:r>
    </w:p>
    <w:p w:rsidR="000C48AE" w:rsidRPr="001E210C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>Poskytovatel odpovídá za veškeré škody způsobené Objednateli porušením svých povinností, porušením ustanovení této Smlouvy nebo jiným protiprávním jednáním</w:t>
      </w:r>
      <w:r>
        <w:rPr>
          <w:rFonts w:ascii="Arial" w:hAnsi="Arial" w:cs="Arial"/>
          <w:lang w:eastAsia="en-US"/>
        </w:rPr>
        <w:t xml:space="preserve"> </w:t>
      </w:r>
      <w:r w:rsidRPr="00504712">
        <w:rPr>
          <w:rFonts w:ascii="Arial" w:hAnsi="Arial" w:cs="Arial"/>
          <w:lang w:eastAsia="en-US"/>
        </w:rPr>
        <w:t>a to v plné výši</w:t>
      </w:r>
      <w:r w:rsidRPr="001E210C">
        <w:rPr>
          <w:rFonts w:ascii="Arial" w:hAnsi="Arial" w:cs="Arial"/>
          <w:lang w:eastAsia="en-US"/>
        </w:rPr>
        <w:t>. Toto neplatí v případě škody vzniklé v důsledku přerušení Služby nebo vadného poskytnutí Služby dle příslušných ustanovení ZoEK. O náhradě škody platí obecná ustanovení Ob</w:t>
      </w:r>
      <w:r>
        <w:rPr>
          <w:rFonts w:ascii="Arial" w:hAnsi="Arial" w:cs="Arial"/>
          <w:lang w:eastAsia="en-US"/>
        </w:rPr>
        <w:t>čanského</w:t>
      </w:r>
      <w:r w:rsidRPr="001E210C">
        <w:rPr>
          <w:rFonts w:ascii="Arial" w:hAnsi="Arial" w:cs="Arial"/>
          <w:lang w:eastAsia="en-US"/>
        </w:rPr>
        <w:t xml:space="preserve"> zákoníku a ve vztahu ke službám elektronických komunikací ustanovení ZoEK. </w:t>
      </w:r>
    </w:p>
    <w:p w:rsidR="000C48AE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>Jak</w:t>
      </w:r>
      <w:r>
        <w:rPr>
          <w:rFonts w:ascii="Arial" w:hAnsi="Arial" w:cs="Arial"/>
          <w:lang w:eastAsia="en-US"/>
        </w:rPr>
        <w:t>ékoliv</w:t>
      </w:r>
      <w:r w:rsidRPr="001E210C">
        <w:rPr>
          <w:rFonts w:ascii="Arial" w:hAnsi="Arial" w:cs="Arial"/>
          <w:lang w:eastAsia="en-US"/>
        </w:rPr>
        <w:t xml:space="preserve"> </w:t>
      </w:r>
      <w:r w:rsidRPr="00490532">
        <w:rPr>
          <w:rFonts w:ascii="Arial" w:hAnsi="Arial" w:cs="Arial"/>
          <w:lang w:eastAsia="en-US"/>
        </w:rPr>
        <w:t xml:space="preserve">ustanovení  týkající se </w:t>
      </w:r>
      <w:r w:rsidRPr="001E210C">
        <w:rPr>
          <w:rFonts w:ascii="Arial" w:hAnsi="Arial" w:cs="Arial"/>
          <w:lang w:eastAsia="en-US"/>
        </w:rPr>
        <w:t>omezení výše či druhu náhrady škody se</w:t>
      </w:r>
      <w:r>
        <w:rPr>
          <w:rFonts w:ascii="Arial" w:hAnsi="Arial" w:cs="Arial"/>
          <w:lang w:eastAsia="en-US"/>
        </w:rPr>
        <w:t> </w:t>
      </w:r>
      <w:r w:rsidRPr="001E210C">
        <w:rPr>
          <w:rFonts w:ascii="Arial" w:hAnsi="Arial" w:cs="Arial"/>
          <w:lang w:eastAsia="en-US"/>
        </w:rPr>
        <w:t>nepřipouští.</w:t>
      </w:r>
    </w:p>
    <w:p w:rsidR="000C48AE" w:rsidRPr="001E210C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A9638D">
        <w:rPr>
          <w:rFonts w:ascii="Arial" w:hAnsi="Arial" w:cs="Arial"/>
          <w:lang w:eastAsia="en-US"/>
        </w:rPr>
        <w:t>Započtení náhrady škody do fakturované částky se nepřipouští.</w:t>
      </w:r>
    </w:p>
    <w:p w:rsidR="000C48AE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>Smluvní strany se zavazují upozornit druhou smluvní stranu bez</w:t>
      </w:r>
      <w:r>
        <w:rPr>
          <w:rFonts w:ascii="Arial" w:hAnsi="Arial" w:cs="Arial"/>
          <w:lang w:eastAsia="en-US"/>
        </w:rPr>
        <w:t> </w:t>
      </w:r>
      <w:r w:rsidRPr="001E210C">
        <w:rPr>
          <w:rFonts w:ascii="Arial" w:hAnsi="Arial" w:cs="Arial"/>
          <w:lang w:eastAsia="en-US"/>
        </w:rPr>
        <w:t>zbytečného odkladu na vzniklé okolnosti vylučující odpovědnost bránící řádnému plnění této Smlouvy. Smluvní strany se zavazují k vyvinutí maximálního úsilí k odvrácení a překonání okolností vylučujících odpovědnost.</w:t>
      </w:r>
    </w:p>
    <w:p w:rsidR="000C48AE" w:rsidRPr="001E210C" w:rsidRDefault="000C48AE" w:rsidP="00574424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6F0AF2">
        <w:rPr>
          <w:rFonts w:ascii="Arial" w:hAnsi="Arial" w:cs="Arial"/>
          <w:lang w:eastAsia="en-US"/>
        </w:rPr>
        <w:t>Poskytovatel odpovídá za škody způsobené Objednateli v důsledku neodborné či nesprávné montáže technologií a zařízení v Lokalit</w:t>
      </w:r>
      <w:r>
        <w:rPr>
          <w:rFonts w:ascii="Arial" w:hAnsi="Arial" w:cs="Arial"/>
          <w:lang w:eastAsia="en-US"/>
        </w:rPr>
        <w:t>ě</w:t>
      </w:r>
      <w:r w:rsidRPr="006F0AF2">
        <w:rPr>
          <w:rFonts w:ascii="Arial" w:hAnsi="Arial" w:cs="Arial"/>
          <w:lang w:eastAsia="en-US"/>
        </w:rPr>
        <w:t xml:space="preserve"> Objednatele.</w:t>
      </w:r>
    </w:p>
    <w:p w:rsidR="000C48AE" w:rsidRPr="001E210C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1E210C">
        <w:rPr>
          <w:rFonts w:ascii="Arial" w:hAnsi="Arial" w:cs="Arial"/>
        </w:rPr>
        <w:t>PRÁVA A POVINNOSTI</w:t>
      </w:r>
    </w:p>
    <w:p w:rsidR="000C48AE" w:rsidRPr="001E210C" w:rsidRDefault="000C48AE" w:rsidP="00574424">
      <w:pPr>
        <w:pStyle w:val="RLTextlnkuslovan"/>
        <w:tabs>
          <w:tab w:val="clear" w:pos="1217"/>
        </w:tabs>
        <w:ind w:left="960" w:hanging="480"/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 xml:space="preserve">Objednatel </w:t>
      </w:r>
      <w:r>
        <w:rPr>
          <w:rFonts w:ascii="Arial" w:hAnsi="Arial" w:cs="Arial"/>
          <w:lang w:eastAsia="en-US"/>
        </w:rPr>
        <w:t>má</w:t>
      </w:r>
      <w:r w:rsidRPr="001E210C">
        <w:rPr>
          <w:rFonts w:ascii="Arial" w:hAnsi="Arial" w:cs="Arial"/>
          <w:lang w:eastAsia="en-US"/>
        </w:rPr>
        <w:t xml:space="preserve"> právo </w:t>
      </w:r>
      <w:r w:rsidRPr="001E210C">
        <w:rPr>
          <w:rFonts w:ascii="Arial" w:hAnsi="Arial" w:cs="Arial"/>
        </w:rPr>
        <w:t>požadovat kvalitativní a kvantitativní změny Služby</w:t>
      </w:r>
      <w:r>
        <w:rPr>
          <w:rFonts w:ascii="Arial" w:hAnsi="Arial" w:cs="Arial"/>
        </w:rPr>
        <w:t>,</w:t>
      </w:r>
      <w:r w:rsidRPr="001E210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1E210C">
        <w:rPr>
          <w:rFonts w:ascii="Arial" w:hAnsi="Arial" w:cs="Arial"/>
        </w:rPr>
        <w:t>to způsobem a postupem uvedeným v této Smlouvě.</w:t>
      </w:r>
    </w:p>
    <w:p w:rsidR="000C48AE" w:rsidRDefault="000C48AE" w:rsidP="00574424">
      <w:pPr>
        <w:pStyle w:val="RLTextlnkuslovan"/>
        <w:tabs>
          <w:tab w:val="clear" w:pos="1217"/>
        </w:tabs>
        <w:ind w:left="960" w:hanging="480"/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</w:rPr>
        <w:t xml:space="preserve">Poskytovatel je povinen do 30 dní po ukončení poskytování Služby bezplatně odstranit veškerá jím instalovaná technická zařízení v místě plnění této Služby. </w:t>
      </w:r>
      <w:r>
        <w:rPr>
          <w:rFonts w:ascii="Arial" w:hAnsi="Arial" w:cs="Arial"/>
        </w:rPr>
        <w:t xml:space="preserve">Objednatel je povinen </w:t>
      </w:r>
      <w:r w:rsidRPr="001E210C">
        <w:rPr>
          <w:rFonts w:ascii="Arial" w:hAnsi="Arial" w:cs="Arial"/>
        </w:rPr>
        <w:t>poskytnout nezbytnou součinnost.</w:t>
      </w:r>
    </w:p>
    <w:p w:rsidR="000C48AE" w:rsidRPr="006A781F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6A781F">
        <w:rPr>
          <w:rFonts w:ascii="Arial" w:hAnsi="Arial" w:cs="Arial"/>
        </w:rPr>
        <w:t>SERVISNÍ PODMÍNKY, KVALITA SLUŽEB</w:t>
      </w:r>
    </w:p>
    <w:p w:rsidR="000C48AE" w:rsidRDefault="000C48AE" w:rsidP="00574424">
      <w:pPr>
        <w:pStyle w:val="RLTextlnkuslovan"/>
        <w:tabs>
          <w:tab w:val="clear" w:pos="1217"/>
        </w:tabs>
        <w:ind w:left="960" w:hanging="480"/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 xml:space="preserve">Není-li v této Smlouvě stanoveno jinak, řídí se servisní podmínky a kvalita služeb SLA podmínkami, které tvoří </w:t>
      </w:r>
      <w:r w:rsidRPr="001E210C">
        <w:rPr>
          <w:rFonts w:ascii="Arial" w:hAnsi="Arial" w:cs="Arial"/>
          <w:b/>
          <w:i/>
          <w:lang w:eastAsia="en-US"/>
        </w:rPr>
        <w:t>Přílohu č. 3</w:t>
      </w:r>
      <w:r w:rsidRPr="001E210C">
        <w:rPr>
          <w:rFonts w:ascii="Arial" w:hAnsi="Arial" w:cs="Arial"/>
          <w:b/>
          <w:lang w:eastAsia="en-US"/>
        </w:rPr>
        <w:t xml:space="preserve"> a </w:t>
      </w:r>
      <w:r w:rsidRPr="001E210C">
        <w:rPr>
          <w:rFonts w:ascii="Arial" w:hAnsi="Arial" w:cs="Arial"/>
          <w:b/>
          <w:i/>
          <w:lang w:eastAsia="en-US"/>
        </w:rPr>
        <w:t>Přílohu č. 5</w:t>
      </w:r>
      <w:r w:rsidRPr="001E210C">
        <w:rPr>
          <w:rFonts w:ascii="Arial" w:hAnsi="Arial" w:cs="Arial"/>
          <w:lang w:eastAsia="en-US"/>
        </w:rPr>
        <w:t xml:space="preserve"> této Smlouvy.</w:t>
      </w:r>
    </w:p>
    <w:p w:rsidR="000C48AE" w:rsidRPr="00CA7D6B" w:rsidRDefault="000C48AE" w:rsidP="00574424">
      <w:pPr>
        <w:pStyle w:val="RLTextlnkuslovan"/>
        <w:tabs>
          <w:tab w:val="clear" w:pos="1217"/>
        </w:tabs>
        <w:ind w:left="960" w:hanging="48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Poskytovatel se zavazuje bezodkladně po zjištění výpadku/závady u Služby s proaktivním dohledem zahájit práce na jejím odstranění a informovat pověřené osoby objednatele.</w:t>
      </w:r>
    </w:p>
    <w:p w:rsidR="000C48AE" w:rsidRPr="006A781F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6A781F">
        <w:rPr>
          <w:rFonts w:ascii="Arial" w:hAnsi="Arial" w:cs="Arial"/>
        </w:rPr>
        <w:t>ZMĚNOVÉ ŘÍZENÍ</w:t>
      </w:r>
    </w:p>
    <w:p w:rsidR="000C48AE" w:rsidRPr="006C6365" w:rsidRDefault="000C48AE" w:rsidP="00574424">
      <w:pPr>
        <w:pStyle w:val="RLTextlnkuslovan"/>
        <w:tabs>
          <w:tab w:val="clear" w:pos="1217"/>
        </w:tabs>
        <w:ind w:left="960" w:hanging="480"/>
        <w:rPr>
          <w:rFonts w:ascii="Arial" w:hAnsi="Arial" w:cs="Arial"/>
          <w:lang w:eastAsia="en-US"/>
        </w:rPr>
      </w:pPr>
      <w:r w:rsidRPr="006C6365">
        <w:rPr>
          <w:rFonts w:ascii="Arial" w:hAnsi="Arial" w:cs="Arial"/>
          <w:lang w:eastAsia="en-US"/>
        </w:rPr>
        <w:t xml:space="preserve">Změnovým řízením se rozumí </w:t>
      </w:r>
      <w:r>
        <w:rPr>
          <w:rFonts w:ascii="Arial" w:hAnsi="Arial" w:cs="Arial"/>
          <w:lang w:eastAsia="en-US"/>
        </w:rPr>
        <w:t>z</w:t>
      </w:r>
      <w:r w:rsidRPr="006C6365">
        <w:rPr>
          <w:rFonts w:ascii="Arial" w:hAnsi="Arial" w:cs="Arial"/>
          <w:lang w:eastAsia="en-US"/>
        </w:rPr>
        <w:t>rušení stávající Služby</w:t>
      </w:r>
      <w:r>
        <w:rPr>
          <w:rFonts w:ascii="Arial" w:hAnsi="Arial" w:cs="Arial"/>
          <w:lang w:eastAsia="en-US"/>
        </w:rPr>
        <w:t xml:space="preserve"> a nebo </w:t>
      </w:r>
      <w:r w:rsidRPr="006C6365">
        <w:rPr>
          <w:rFonts w:ascii="Arial" w:hAnsi="Arial" w:cs="Arial"/>
          <w:lang w:eastAsia="en-US"/>
        </w:rPr>
        <w:t xml:space="preserve">změna parametrů Služby. Objednatel je oprávněn využít institutu změnového řízení pro uzavření dodatku této Smlouvy v návaznosti na změny legislativy, organizační změny </w:t>
      </w:r>
      <w:r>
        <w:rPr>
          <w:rFonts w:ascii="Arial" w:hAnsi="Arial" w:cs="Arial"/>
          <w:lang w:eastAsia="en-US"/>
        </w:rPr>
        <w:t xml:space="preserve"> Objednatele </w:t>
      </w:r>
      <w:r w:rsidRPr="006C6365">
        <w:rPr>
          <w:rFonts w:ascii="Arial" w:hAnsi="Arial" w:cs="Arial"/>
          <w:lang w:eastAsia="en-US"/>
        </w:rPr>
        <w:t>a změny dané požadavkem na změnu parametrů Služby (např. změna SLA a další).</w:t>
      </w:r>
    </w:p>
    <w:p w:rsidR="000C48AE" w:rsidRPr="00B71779" w:rsidRDefault="000C48AE" w:rsidP="00574424">
      <w:pPr>
        <w:pStyle w:val="RLTextlnkuslovan"/>
        <w:tabs>
          <w:tab w:val="clear" w:pos="1217"/>
        </w:tabs>
        <w:ind w:left="960" w:hanging="480"/>
        <w:rPr>
          <w:rFonts w:ascii="Arial" w:hAnsi="Arial" w:cs="Arial"/>
          <w:lang w:eastAsia="en-US"/>
        </w:rPr>
      </w:pPr>
      <w:r w:rsidRPr="00B71779">
        <w:rPr>
          <w:rFonts w:ascii="Arial" w:hAnsi="Arial" w:cs="Arial"/>
          <w:lang w:eastAsia="en-US"/>
        </w:rPr>
        <w:t>Hlavním koordinátorem pro změnové řízení je Objednatel.</w:t>
      </w:r>
    </w:p>
    <w:p w:rsidR="000C48AE" w:rsidRPr="00B71779" w:rsidRDefault="000C48AE" w:rsidP="00574424">
      <w:pPr>
        <w:pStyle w:val="RLTextlnkuslovan"/>
        <w:tabs>
          <w:tab w:val="clear" w:pos="1217"/>
        </w:tabs>
        <w:ind w:left="960" w:hanging="480"/>
        <w:rPr>
          <w:rFonts w:ascii="Arial" w:hAnsi="Arial" w:cs="Arial"/>
          <w:lang w:eastAsia="en-US"/>
        </w:rPr>
      </w:pPr>
      <w:r w:rsidRPr="00B71779">
        <w:rPr>
          <w:rFonts w:ascii="Arial" w:hAnsi="Arial" w:cs="Arial"/>
          <w:lang w:eastAsia="en-US"/>
        </w:rPr>
        <w:t xml:space="preserve">Změnové řízení </w:t>
      </w:r>
      <w:r>
        <w:rPr>
          <w:rFonts w:ascii="Arial" w:hAnsi="Arial" w:cs="Arial"/>
          <w:lang w:eastAsia="en-US"/>
        </w:rPr>
        <w:t xml:space="preserve">bude v souladu </w:t>
      </w:r>
      <w:r w:rsidRPr="00AC1C9E">
        <w:rPr>
          <w:rFonts w:ascii="Arial" w:hAnsi="Arial" w:cs="Arial"/>
          <w:lang w:eastAsia="en-US"/>
        </w:rPr>
        <w:t>se zákonem č. 137/2006 Sb., o veřejných zakázkách, ve znění pozdějších předpisů,</w:t>
      </w:r>
      <w:r>
        <w:rPr>
          <w:rFonts w:ascii="Arial" w:hAnsi="Arial" w:cs="Arial"/>
          <w:lang w:eastAsia="en-US"/>
        </w:rPr>
        <w:t xml:space="preserve"> a </w:t>
      </w:r>
      <w:r w:rsidRPr="00B71779">
        <w:rPr>
          <w:rFonts w:ascii="Arial" w:hAnsi="Arial" w:cs="Arial"/>
          <w:lang w:eastAsia="en-US"/>
        </w:rPr>
        <w:t>následujícími pravidly:</w:t>
      </w:r>
    </w:p>
    <w:p w:rsidR="000C48AE" w:rsidRPr="00AC1C9E" w:rsidRDefault="000C48AE" w:rsidP="0049429C">
      <w:pPr>
        <w:pStyle w:val="RLTextlnkuslovan"/>
        <w:numPr>
          <w:ilvl w:val="2"/>
          <w:numId w:val="14"/>
        </w:numPr>
        <w:tabs>
          <w:tab w:val="clear" w:pos="1588"/>
        </w:tabs>
        <w:ind w:hanging="595"/>
        <w:rPr>
          <w:rFonts w:ascii="Arial" w:hAnsi="Arial" w:cs="Arial"/>
          <w:lang w:eastAsia="en-US"/>
        </w:rPr>
      </w:pPr>
      <w:r w:rsidRPr="00AC1C9E">
        <w:rPr>
          <w:rFonts w:ascii="Arial" w:hAnsi="Arial" w:cs="Arial"/>
          <w:lang w:eastAsia="en-US"/>
        </w:rPr>
        <w:t>Rušení stávající Služby bude probíhat formou písemné výpovědi, a</w:t>
      </w:r>
      <w:r>
        <w:rPr>
          <w:rFonts w:ascii="Arial" w:hAnsi="Arial" w:cs="Arial"/>
          <w:lang w:eastAsia="en-US"/>
        </w:rPr>
        <w:t> </w:t>
      </w:r>
      <w:r w:rsidRPr="00AC1C9E">
        <w:rPr>
          <w:rFonts w:ascii="Arial" w:hAnsi="Arial" w:cs="Arial"/>
          <w:lang w:eastAsia="en-US"/>
        </w:rPr>
        <w:t>to</w:t>
      </w:r>
      <w:r>
        <w:rPr>
          <w:rFonts w:ascii="Arial" w:hAnsi="Arial" w:cs="Arial"/>
          <w:lang w:eastAsia="en-US"/>
        </w:rPr>
        <w:t> </w:t>
      </w:r>
      <w:r w:rsidRPr="00AC1C9E">
        <w:rPr>
          <w:rFonts w:ascii="Arial" w:hAnsi="Arial" w:cs="Arial"/>
          <w:lang w:eastAsia="en-US"/>
        </w:rPr>
        <w:t>prostřednictvím oprávněné osoby Objednatel</w:t>
      </w:r>
      <w:r>
        <w:rPr>
          <w:rFonts w:ascii="Arial" w:hAnsi="Arial" w:cs="Arial"/>
          <w:lang w:eastAsia="en-US"/>
        </w:rPr>
        <w:t>e</w:t>
      </w:r>
      <w:r w:rsidRPr="00AC1C9E">
        <w:rPr>
          <w:rFonts w:ascii="Arial" w:hAnsi="Arial" w:cs="Arial"/>
          <w:lang w:eastAsia="en-US"/>
        </w:rPr>
        <w:t>. Tříměsíční výpovědní lhůta, nebo lhůta kratší, pokud se na tom obě smluvní strany dohodnou, počíná běžet dnem doručení. Smluvní strany v</w:t>
      </w:r>
      <w:r>
        <w:rPr>
          <w:rFonts w:ascii="Arial" w:hAnsi="Arial" w:cs="Arial"/>
          <w:lang w:eastAsia="en-US"/>
        </w:rPr>
        <w:t> </w:t>
      </w:r>
      <w:r w:rsidRPr="00AC1C9E">
        <w:rPr>
          <w:rFonts w:ascii="Arial" w:hAnsi="Arial" w:cs="Arial"/>
          <w:lang w:eastAsia="en-US"/>
        </w:rPr>
        <w:t>takovémto případě uzavřou dodatek ke Smlouvě, který bude obsahovat minimálně jednoznačný identifikátor Služby a datum ukončení příslušného plnění.</w:t>
      </w:r>
    </w:p>
    <w:p w:rsidR="000C48AE" w:rsidRPr="001E210C" w:rsidRDefault="000C48AE" w:rsidP="0049429C">
      <w:pPr>
        <w:pStyle w:val="RLTextlnkuslovan"/>
        <w:numPr>
          <w:ilvl w:val="2"/>
          <w:numId w:val="14"/>
        </w:numPr>
        <w:tabs>
          <w:tab w:val="clear" w:pos="1588"/>
        </w:tabs>
        <w:ind w:hanging="595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</w:t>
      </w:r>
      <w:r w:rsidRPr="001E210C">
        <w:rPr>
          <w:rFonts w:ascii="Arial" w:hAnsi="Arial" w:cs="Arial"/>
          <w:lang w:eastAsia="en-US"/>
        </w:rPr>
        <w:t xml:space="preserve"> případě změny parametrů Služby</w:t>
      </w:r>
      <w:r>
        <w:rPr>
          <w:rFonts w:ascii="Arial" w:hAnsi="Arial" w:cs="Arial"/>
          <w:lang w:eastAsia="en-US"/>
        </w:rPr>
        <w:t xml:space="preserve"> jehož dopadem bude  </w:t>
      </w:r>
      <w:r w:rsidRPr="001E210C">
        <w:rPr>
          <w:rFonts w:ascii="Arial" w:hAnsi="Arial" w:cs="Arial"/>
          <w:lang w:eastAsia="en-US"/>
        </w:rPr>
        <w:t xml:space="preserve"> snížení ceny nebo s žádným dopadem na cenu Služby bude o této změně uzavřen dodatek ke stávající Smlouvě.</w:t>
      </w:r>
    </w:p>
    <w:p w:rsidR="000C48AE" w:rsidRPr="001E210C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1E210C">
        <w:rPr>
          <w:rFonts w:ascii="Arial" w:hAnsi="Arial" w:cs="Arial"/>
        </w:rPr>
        <w:t>OPRÁVNĚNÉ OSOBY</w:t>
      </w:r>
    </w:p>
    <w:p w:rsidR="000C48AE" w:rsidRPr="000023AB" w:rsidRDefault="000C48AE" w:rsidP="000E303C">
      <w:pPr>
        <w:pStyle w:val="RLTextlnkuslovan"/>
        <w:tabs>
          <w:tab w:val="clear" w:pos="1217"/>
        </w:tabs>
        <w:ind w:left="960" w:hanging="534"/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>Pro vzájemná jednání ve věcech smluvních, technických, provozních a</w:t>
      </w:r>
      <w:r>
        <w:rPr>
          <w:rFonts w:ascii="Arial" w:hAnsi="Arial" w:cs="Arial"/>
          <w:lang w:eastAsia="en-US"/>
        </w:rPr>
        <w:t> </w:t>
      </w:r>
      <w:r w:rsidRPr="001E210C">
        <w:rPr>
          <w:rFonts w:ascii="Arial" w:hAnsi="Arial" w:cs="Arial"/>
          <w:lang w:eastAsia="en-US"/>
        </w:rPr>
        <w:t>pro</w:t>
      </w:r>
      <w:r>
        <w:rPr>
          <w:rFonts w:ascii="Arial" w:hAnsi="Arial" w:cs="Arial"/>
          <w:lang w:eastAsia="en-US"/>
        </w:rPr>
        <w:t> </w:t>
      </w:r>
      <w:r w:rsidRPr="001E210C">
        <w:rPr>
          <w:rFonts w:ascii="Arial" w:hAnsi="Arial" w:cs="Arial"/>
          <w:lang w:eastAsia="en-US"/>
        </w:rPr>
        <w:t>schvalování Podkladů pro fakturaci mezi Poskytovatelem</w:t>
      </w:r>
      <w:r>
        <w:rPr>
          <w:rFonts w:ascii="Arial" w:hAnsi="Arial" w:cs="Arial"/>
          <w:lang w:eastAsia="en-US"/>
        </w:rPr>
        <w:t xml:space="preserve"> a </w:t>
      </w:r>
      <w:r w:rsidRPr="001E210C">
        <w:rPr>
          <w:rFonts w:ascii="Arial" w:hAnsi="Arial" w:cs="Arial"/>
          <w:lang w:eastAsia="en-US"/>
        </w:rPr>
        <w:t xml:space="preserve">Objednatelem </w:t>
      </w:r>
      <w:r w:rsidRPr="000023AB">
        <w:rPr>
          <w:rFonts w:ascii="Arial" w:hAnsi="Arial" w:cs="Arial"/>
          <w:lang w:eastAsia="en-US"/>
        </w:rPr>
        <w:t>se stanovuje seznam Oprávněných osob (</w:t>
      </w:r>
      <w:r w:rsidRPr="000023AB">
        <w:rPr>
          <w:rFonts w:ascii="Arial" w:hAnsi="Arial" w:cs="Arial"/>
          <w:b/>
          <w:i/>
          <w:lang w:eastAsia="en-US"/>
        </w:rPr>
        <w:t xml:space="preserve">Příloha č. </w:t>
      </w:r>
      <w:r>
        <w:rPr>
          <w:rFonts w:ascii="Arial" w:hAnsi="Arial" w:cs="Arial"/>
          <w:b/>
          <w:i/>
          <w:lang w:eastAsia="en-US"/>
        </w:rPr>
        <w:t>2</w:t>
      </w:r>
      <w:r w:rsidRPr="000023AB">
        <w:rPr>
          <w:rFonts w:ascii="Arial" w:hAnsi="Arial" w:cs="Arial"/>
          <w:lang w:eastAsia="en-US"/>
        </w:rPr>
        <w:t xml:space="preserve">). </w:t>
      </w:r>
    </w:p>
    <w:p w:rsidR="000C48AE" w:rsidRPr="00A00F30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A00F30">
        <w:rPr>
          <w:rFonts w:ascii="Arial" w:hAnsi="Arial" w:cs="Arial"/>
        </w:rPr>
        <w:t>OCHRANA INFORMACÍ</w:t>
      </w:r>
    </w:p>
    <w:p w:rsidR="000C48AE" w:rsidRPr="00F20A62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 xml:space="preserve">Obě smluvní strany berou na vědomí, že originál podepsané Smlouvy bude v elektronické podobě zveřejněn na internetových stránkách Ministerstva financí </w:t>
      </w:r>
      <w:r w:rsidRPr="006B001A">
        <w:rPr>
          <w:rFonts w:ascii="Arial" w:hAnsi="Arial" w:cs="Arial"/>
          <w:lang w:eastAsia="en-US"/>
        </w:rPr>
        <w:t>a dle zákona o veřejných zakázkách na profilu Zadava</w:t>
      </w:r>
      <w:r>
        <w:rPr>
          <w:rFonts w:ascii="Arial" w:hAnsi="Arial" w:cs="Arial"/>
          <w:lang w:eastAsia="en-US"/>
        </w:rPr>
        <w:t>tele, a to bez časového omezení</w:t>
      </w:r>
      <w:r w:rsidRPr="00AC1C9E">
        <w:rPr>
          <w:rFonts w:ascii="Arial" w:hAnsi="Arial" w:cs="Arial"/>
          <w:lang w:eastAsia="en-US"/>
        </w:rPr>
        <w:t>.</w:t>
      </w:r>
    </w:p>
    <w:p w:rsidR="000C48AE" w:rsidRPr="00F20A62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>Obě smluvní strany se zavazují udržovat v tajnosti a nezpřístupnit třetím osobám důvěrné informace (jak jsou vymezeny níže). Povinnost poskytovat informace podle zákona č. 106/1999 Sb., o svobodném přístupu k</w:t>
      </w:r>
      <w:r>
        <w:rPr>
          <w:rFonts w:ascii="Arial" w:hAnsi="Arial" w:cs="Arial"/>
          <w:lang w:eastAsia="en-US"/>
        </w:rPr>
        <w:t> </w:t>
      </w:r>
      <w:r w:rsidRPr="00F20A62">
        <w:rPr>
          <w:rFonts w:ascii="Arial" w:hAnsi="Arial" w:cs="Arial"/>
          <w:lang w:eastAsia="en-US"/>
        </w:rPr>
        <w:t>informacím, ve znění pozdějších předpisů není tímto ustanovením dotčena.</w:t>
      </w:r>
    </w:p>
    <w:p w:rsidR="000C48AE" w:rsidRPr="00F20A62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>Za důvěrné informace se považují veškeré následující informace:</w:t>
      </w:r>
    </w:p>
    <w:p w:rsidR="000C48AE" w:rsidRPr="00F20A62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 xml:space="preserve">veškeré informace poskytnuté </w:t>
      </w:r>
      <w:r>
        <w:rPr>
          <w:rFonts w:ascii="Arial" w:hAnsi="Arial" w:cs="Arial"/>
          <w:lang w:eastAsia="en-US"/>
        </w:rPr>
        <w:t>Objednatelem Poskytovateli</w:t>
      </w:r>
      <w:r w:rsidRPr="00F20A62">
        <w:rPr>
          <w:rFonts w:ascii="Arial" w:hAnsi="Arial" w:cs="Arial"/>
          <w:lang w:eastAsia="en-US"/>
        </w:rPr>
        <w:t xml:space="preserve"> v</w:t>
      </w:r>
      <w:r>
        <w:rPr>
          <w:rFonts w:ascii="Arial" w:hAnsi="Arial" w:cs="Arial"/>
          <w:lang w:eastAsia="en-US"/>
        </w:rPr>
        <w:t> souvislosti s touto smlouvou,</w:t>
      </w:r>
    </w:p>
    <w:p w:rsidR="000C48AE" w:rsidRPr="00F20A62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>informace, na kter</w:t>
      </w:r>
      <w:r>
        <w:rPr>
          <w:rFonts w:ascii="Arial" w:hAnsi="Arial" w:cs="Arial"/>
          <w:lang w:eastAsia="en-US"/>
        </w:rPr>
        <w:t>é</w:t>
      </w:r>
      <w:r w:rsidRPr="00F20A62">
        <w:rPr>
          <w:rFonts w:ascii="Arial" w:hAnsi="Arial" w:cs="Arial"/>
          <w:lang w:eastAsia="en-US"/>
        </w:rPr>
        <w:t xml:space="preserve"> se vztahuje zákonem uložená povinnost mlčenlivosti </w:t>
      </w:r>
      <w:r>
        <w:rPr>
          <w:rFonts w:ascii="Arial" w:hAnsi="Arial" w:cs="Arial"/>
          <w:lang w:eastAsia="en-US"/>
        </w:rPr>
        <w:t>Objednatele,</w:t>
      </w:r>
    </w:p>
    <w:p w:rsidR="000C48AE" w:rsidRPr="00F20A62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 xml:space="preserve">veškeré další informace, které budou </w:t>
      </w:r>
      <w:r>
        <w:rPr>
          <w:rFonts w:ascii="Arial" w:hAnsi="Arial" w:cs="Arial"/>
          <w:lang w:eastAsia="en-US"/>
        </w:rPr>
        <w:t xml:space="preserve">Objednatelem </w:t>
      </w:r>
      <w:r w:rsidRPr="00F20A62">
        <w:rPr>
          <w:rFonts w:ascii="Arial" w:hAnsi="Arial" w:cs="Arial"/>
          <w:lang w:eastAsia="en-US"/>
        </w:rPr>
        <w:t>či</w:t>
      </w:r>
      <w:r>
        <w:rPr>
          <w:rFonts w:ascii="Arial" w:hAnsi="Arial" w:cs="Arial"/>
          <w:lang w:eastAsia="en-US"/>
        </w:rPr>
        <w:t> </w:t>
      </w:r>
      <w:r w:rsidRPr="00F20A62">
        <w:rPr>
          <w:rFonts w:ascii="Arial" w:hAnsi="Arial" w:cs="Arial"/>
          <w:lang w:eastAsia="en-US"/>
        </w:rPr>
        <w:t>Poskytovatelem označeny jako důvěrné ve smyslu ustanovení §</w:t>
      </w:r>
      <w:r>
        <w:rPr>
          <w:rFonts w:ascii="Arial" w:hAnsi="Arial" w:cs="Arial"/>
          <w:lang w:eastAsia="en-US"/>
        </w:rPr>
        <w:t> </w:t>
      </w:r>
      <w:r w:rsidRPr="00F20A62">
        <w:rPr>
          <w:rFonts w:ascii="Arial" w:hAnsi="Arial" w:cs="Arial"/>
          <w:lang w:eastAsia="en-US"/>
        </w:rPr>
        <w:t>152 zákona č. 137/2006 Sb., o veřejných zakázkách, ve znění pozdějších předpisů.</w:t>
      </w:r>
    </w:p>
    <w:p w:rsidR="000C48AE" w:rsidRPr="00F20A62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>Povinnost zachovávat mlčenlivost uvedená v tomto článku se nevztahuje na</w:t>
      </w:r>
      <w:r>
        <w:rPr>
          <w:rFonts w:ascii="Arial" w:hAnsi="Arial" w:cs="Arial"/>
          <w:lang w:eastAsia="en-US"/>
        </w:rPr>
        <w:t> </w:t>
      </w:r>
      <w:r w:rsidRPr="00F20A62">
        <w:rPr>
          <w:rFonts w:ascii="Arial" w:hAnsi="Arial" w:cs="Arial"/>
          <w:lang w:eastAsia="en-US"/>
        </w:rPr>
        <w:t>informace:</w:t>
      </w:r>
    </w:p>
    <w:p w:rsidR="000C48AE" w:rsidRPr="00F20A62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 xml:space="preserve">které jsou nebo se stanou všeobecně a veřejně přístupnými jinak, než porušením právních povinností ze strany </w:t>
      </w:r>
      <w:r>
        <w:rPr>
          <w:rFonts w:ascii="Arial" w:hAnsi="Arial" w:cs="Arial"/>
          <w:lang w:eastAsia="en-US"/>
        </w:rPr>
        <w:t>Poskytovatele</w:t>
      </w:r>
      <w:r w:rsidRPr="00F20A62">
        <w:rPr>
          <w:rFonts w:ascii="Arial" w:hAnsi="Arial" w:cs="Arial"/>
          <w:lang w:eastAsia="en-US"/>
        </w:rPr>
        <w:t>,</w:t>
      </w:r>
    </w:p>
    <w:p w:rsidR="000C48AE" w:rsidRPr="00F20A62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 xml:space="preserve">u nichž je </w:t>
      </w:r>
      <w:r>
        <w:rPr>
          <w:rFonts w:ascii="Arial" w:hAnsi="Arial" w:cs="Arial"/>
          <w:lang w:eastAsia="en-US"/>
        </w:rPr>
        <w:t>Poskytovatel</w:t>
      </w:r>
      <w:r w:rsidRPr="00F20A62">
        <w:rPr>
          <w:rFonts w:ascii="Arial" w:hAnsi="Arial" w:cs="Arial"/>
          <w:lang w:eastAsia="en-US"/>
        </w:rPr>
        <w:t xml:space="preserve"> schopen prokázat, že mu byly známy a byly mu volně k dispozici ještě před přijetím těchto informací od</w:t>
      </w:r>
      <w:r>
        <w:rPr>
          <w:rFonts w:ascii="Arial" w:hAnsi="Arial" w:cs="Arial"/>
          <w:lang w:eastAsia="en-US"/>
        </w:rPr>
        <w:t> Objednatele</w:t>
      </w:r>
      <w:r w:rsidRPr="00F20A62">
        <w:rPr>
          <w:rFonts w:ascii="Arial" w:hAnsi="Arial" w:cs="Arial"/>
          <w:lang w:eastAsia="en-US"/>
        </w:rPr>
        <w:t>,</w:t>
      </w:r>
    </w:p>
    <w:p w:rsidR="000C48AE" w:rsidRPr="00F20A62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>které budou Poskytovateli po uzavření této smlouvy sděleny bez závazku mlčenlivosti třetí stranou, jež rovněž není ve vztahu k nim nijak vázána,</w:t>
      </w:r>
    </w:p>
    <w:p w:rsidR="000C48AE" w:rsidRPr="00860656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>jejichž sdělení se vyžaduje ze zákona</w:t>
      </w:r>
      <w:r>
        <w:rPr>
          <w:rFonts w:ascii="Arial" w:hAnsi="Arial" w:cs="Arial"/>
          <w:lang w:eastAsia="en-US"/>
        </w:rPr>
        <w:t>,</w:t>
      </w:r>
    </w:p>
    <w:p w:rsidR="000C48AE" w:rsidRPr="00AC1C9E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AC1C9E">
        <w:rPr>
          <w:rFonts w:ascii="Arial" w:hAnsi="Arial" w:cs="Arial"/>
          <w:lang w:eastAsia="en-US"/>
        </w:rPr>
        <w:t>které je Objednatel povinen poskytnout třetím osobám podle zákona č. 106/1999 Sb., o svobodném přístupu k informacím, ve znění pozdějších předpisů.</w:t>
      </w:r>
    </w:p>
    <w:p w:rsidR="000C48AE" w:rsidRPr="00F20A62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2613D3">
        <w:rPr>
          <w:rFonts w:ascii="Arial" w:hAnsi="Arial" w:cs="Arial"/>
          <w:lang w:eastAsia="en-US"/>
        </w:rPr>
        <w:t xml:space="preserve">Jako s důvěrnými musí být nakládáno také s informacemi, které byly </w:t>
      </w:r>
      <w:r w:rsidRPr="00F20A62">
        <w:rPr>
          <w:rFonts w:ascii="Arial" w:hAnsi="Arial" w:cs="Arial"/>
          <w:lang w:eastAsia="en-US"/>
        </w:rPr>
        <w:t xml:space="preserve">získané náhodně nebo bez vědomí </w:t>
      </w:r>
      <w:r>
        <w:rPr>
          <w:rFonts w:ascii="Arial" w:hAnsi="Arial" w:cs="Arial"/>
          <w:lang w:eastAsia="en-US"/>
        </w:rPr>
        <w:t xml:space="preserve">Objednatele </w:t>
      </w:r>
      <w:r w:rsidRPr="00F20A62">
        <w:rPr>
          <w:rFonts w:ascii="Arial" w:hAnsi="Arial" w:cs="Arial"/>
          <w:lang w:eastAsia="en-US"/>
        </w:rPr>
        <w:t>a dále veškeré informace získané od jakékoliv třetí strany</w:t>
      </w:r>
      <w:r>
        <w:rPr>
          <w:rFonts w:ascii="Arial" w:hAnsi="Arial" w:cs="Arial"/>
          <w:lang w:eastAsia="en-US"/>
        </w:rPr>
        <w:t xml:space="preserve"> pokud</w:t>
      </w:r>
      <w:r w:rsidRPr="00F20A62">
        <w:rPr>
          <w:rFonts w:ascii="Arial" w:hAnsi="Arial" w:cs="Arial"/>
          <w:lang w:eastAsia="en-US"/>
        </w:rPr>
        <w:t xml:space="preserve"> se týkají </w:t>
      </w:r>
      <w:r>
        <w:rPr>
          <w:rFonts w:ascii="Arial" w:hAnsi="Arial" w:cs="Arial"/>
          <w:lang w:eastAsia="en-US"/>
        </w:rPr>
        <w:t xml:space="preserve">Objednatele </w:t>
      </w:r>
      <w:r w:rsidRPr="00F20A62">
        <w:rPr>
          <w:rFonts w:ascii="Arial" w:hAnsi="Arial" w:cs="Arial"/>
          <w:lang w:eastAsia="en-US"/>
        </w:rPr>
        <w:t xml:space="preserve">či plnění této </w:t>
      </w:r>
      <w:r>
        <w:rPr>
          <w:rFonts w:ascii="Arial" w:hAnsi="Arial" w:cs="Arial"/>
          <w:lang w:eastAsia="en-US"/>
        </w:rPr>
        <w:t>S</w:t>
      </w:r>
      <w:r w:rsidRPr="00F20A62">
        <w:rPr>
          <w:rFonts w:ascii="Arial" w:hAnsi="Arial" w:cs="Arial"/>
          <w:lang w:eastAsia="en-US"/>
        </w:rPr>
        <w:t>mlouvy.</w:t>
      </w:r>
    </w:p>
    <w:p w:rsidR="000C48AE" w:rsidRPr="00F20A62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>Smluvní strany se zavazují, že nezpřístupní jakékoliv třetí osobě důvěrné informace druhé strany bez jejího souhlasu, a to v jakékoliv formě, a</w:t>
      </w:r>
      <w:r>
        <w:rPr>
          <w:rFonts w:ascii="Arial" w:hAnsi="Arial" w:cs="Arial"/>
          <w:lang w:eastAsia="en-US"/>
        </w:rPr>
        <w:t> </w:t>
      </w:r>
      <w:r w:rsidRPr="00F20A62">
        <w:rPr>
          <w:rFonts w:ascii="Arial" w:hAnsi="Arial" w:cs="Arial"/>
          <w:lang w:eastAsia="en-US"/>
        </w:rPr>
        <w:t>že</w:t>
      </w:r>
      <w:r>
        <w:rPr>
          <w:rFonts w:ascii="Arial" w:hAnsi="Arial" w:cs="Arial"/>
          <w:lang w:eastAsia="en-US"/>
        </w:rPr>
        <w:t> </w:t>
      </w:r>
      <w:r w:rsidRPr="00F20A62">
        <w:rPr>
          <w:rFonts w:ascii="Arial" w:hAnsi="Arial" w:cs="Arial"/>
          <w:lang w:eastAsia="en-US"/>
        </w:rPr>
        <w:t xml:space="preserve">podniknou všechny nezbytné kroky k zabezpečení těchto informací. Poskytovatel je povinen zabezpečit veškeré důvěrné informace </w:t>
      </w:r>
      <w:r>
        <w:rPr>
          <w:rFonts w:ascii="Arial" w:hAnsi="Arial" w:cs="Arial"/>
          <w:lang w:eastAsia="en-US"/>
        </w:rPr>
        <w:t xml:space="preserve">Objednatele </w:t>
      </w:r>
      <w:r w:rsidRPr="00F20A62">
        <w:rPr>
          <w:rFonts w:ascii="Arial" w:hAnsi="Arial" w:cs="Arial"/>
          <w:lang w:eastAsia="en-US"/>
        </w:rPr>
        <w:t xml:space="preserve"> proti odcizení nebo jinému zneužití.</w:t>
      </w:r>
    </w:p>
    <w:p w:rsidR="000C48AE" w:rsidRPr="00F20A62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 xml:space="preserve">Poskytovatel se zavazuje, že důvěrné informace užije pouze za účelem plnění této Smlouvy. Jiná použití nejsou bez </w:t>
      </w:r>
      <w:r>
        <w:rPr>
          <w:rFonts w:ascii="Arial" w:hAnsi="Arial" w:cs="Arial"/>
          <w:lang w:eastAsia="en-US"/>
        </w:rPr>
        <w:t xml:space="preserve">předchozího </w:t>
      </w:r>
      <w:r w:rsidRPr="00F20A62">
        <w:rPr>
          <w:rFonts w:ascii="Arial" w:hAnsi="Arial" w:cs="Arial"/>
          <w:lang w:eastAsia="en-US"/>
        </w:rPr>
        <w:t xml:space="preserve">písemného svolení </w:t>
      </w:r>
      <w:r>
        <w:rPr>
          <w:rFonts w:ascii="Arial" w:hAnsi="Arial" w:cs="Arial"/>
          <w:lang w:eastAsia="en-US"/>
        </w:rPr>
        <w:t xml:space="preserve">Objednatele </w:t>
      </w:r>
      <w:r w:rsidRPr="00F20A62">
        <w:rPr>
          <w:rFonts w:ascii="Arial" w:hAnsi="Arial" w:cs="Arial"/>
          <w:lang w:eastAsia="en-US"/>
        </w:rPr>
        <w:t>přípustná.</w:t>
      </w:r>
    </w:p>
    <w:p w:rsidR="000C48AE" w:rsidRPr="00F20A62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 xml:space="preserve">Poskytovatel je povinen svého případného subdodavatele zavázat povinností mlčenlivosti a respektováním práv </w:t>
      </w:r>
      <w:r>
        <w:rPr>
          <w:rFonts w:ascii="Arial" w:hAnsi="Arial" w:cs="Arial"/>
          <w:lang w:eastAsia="en-US"/>
        </w:rPr>
        <w:t xml:space="preserve">Objednatele </w:t>
      </w:r>
      <w:r w:rsidRPr="00F20A62">
        <w:rPr>
          <w:rFonts w:ascii="Arial" w:hAnsi="Arial" w:cs="Arial"/>
          <w:lang w:eastAsia="en-US"/>
        </w:rPr>
        <w:t>nejméně ve</w:t>
      </w:r>
      <w:r>
        <w:rPr>
          <w:rFonts w:ascii="Arial" w:hAnsi="Arial" w:cs="Arial"/>
          <w:lang w:eastAsia="en-US"/>
        </w:rPr>
        <w:t> </w:t>
      </w:r>
      <w:r w:rsidRPr="00F20A62">
        <w:rPr>
          <w:rFonts w:ascii="Arial" w:hAnsi="Arial" w:cs="Arial"/>
          <w:lang w:eastAsia="en-US"/>
        </w:rPr>
        <w:t>stejném rozsahu, v jakém je v tomto závazkovém vztahu zavázán sám.</w:t>
      </w:r>
    </w:p>
    <w:p w:rsidR="000C48AE" w:rsidRPr="00F20A62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>Trvání povinnosti mlčenlivosti podle tohoto článku je stanoveno po dobu 5</w:t>
      </w:r>
      <w:r>
        <w:rPr>
          <w:rFonts w:ascii="Arial" w:hAnsi="Arial" w:cs="Arial"/>
          <w:lang w:eastAsia="en-US"/>
        </w:rPr>
        <w:t> </w:t>
      </w:r>
      <w:r w:rsidRPr="00F20A62">
        <w:rPr>
          <w:rFonts w:ascii="Arial" w:hAnsi="Arial" w:cs="Arial"/>
          <w:lang w:eastAsia="en-US"/>
        </w:rPr>
        <w:t xml:space="preserve">let od ukončení </w:t>
      </w:r>
      <w:r>
        <w:rPr>
          <w:rFonts w:ascii="Arial" w:hAnsi="Arial" w:cs="Arial"/>
          <w:lang w:eastAsia="en-US"/>
        </w:rPr>
        <w:t>Smlouvy.</w:t>
      </w:r>
    </w:p>
    <w:p w:rsidR="000C48AE" w:rsidRPr="00F20A62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>Za prokázané porušení ustanovení v tomto článku má druhá smluvní strana právo požadovat náhradu takto vzniklé škody.</w:t>
      </w:r>
    </w:p>
    <w:p w:rsidR="000C48AE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  <w:lang w:eastAsia="en-US"/>
        </w:rPr>
      </w:pPr>
      <w:r w:rsidRPr="00F20A62">
        <w:rPr>
          <w:rFonts w:ascii="Arial" w:hAnsi="Arial" w:cs="Arial"/>
          <w:lang w:eastAsia="en-US"/>
        </w:rPr>
        <w:t xml:space="preserve">V případě porušení povinností uložených smluvním stranám tímto článkem má druhá smluvní strana, vedle náhrady škody, právo účtovat smluvní pokutu ve výši 100.000 Kč za každý případ porušení. </w:t>
      </w:r>
    </w:p>
    <w:p w:rsidR="000C48AE" w:rsidRPr="00A00F30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A00F30">
        <w:rPr>
          <w:rFonts w:ascii="Arial" w:hAnsi="Arial" w:cs="Arial"/>
        </w:rPr>
        <w:t>ŘEŠENÍ SPORŮ</w:t>
      </w:r>
    </w:p>
    <w:p w:rsidR="000C48AE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3270D">
        <w:rPr>
          <w:rFonts w:ascii="Arial" w:hAnsi="Arial" w:cs="Arial"/>
        </w:rPr>
        <w:t>Tato smlouva se řídí právním řádem České republiky.</w:t>
      </w:r>
    </w:p>
    <w:p w:rsidR="000C48AE" w:rsidRPr="001E210C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  <w:lang w:eastAsia="en-US"/>
        </w:rPr>
        <w:t>Smluvní</w:t>
      </w:r>
      <w:r w:rsidRPr="001E210C">
        <w:rPr>
          <w:rFonts w:ascii="Arial" w:hAnsi="Arial" w:cs="Arial"/>
        </w:rPr>
        <w:t xml:space="preserve"> strany se zavazují vyvinout maximální úsilí k odstranění vzájemných sporů vzniklých na základě Smlouvy nebo v souvislosti s ní, včetně sporů o jejich výklad či platnost a usilovat se o smírné vyřešení těchto sporů.</w:t>
      </w:r>
    </w:p>
    <w:p w:rsidR="000C48AE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  <w:lang w:eastAsia="en-US"/>
        </w:rPr>
        <w:t>Nebude</w:t>
      </w:r>
      <w:r w:rsidRPr="001E210C">
        <w:rPr>
          <w:rFonts w:ascii="Arial" w:hAnsi="Arial" w:cs="Arial"/>
        </w:rPr>
        <w:t>-li sporná záležitost vyřešena smírně dohodly se smluvní strany, že</w:t>
      </w:r>
      <w:r>
        <w:rPr>
          <w:rFonts w:ascii="Arial" w:hAnsi="Arial" w:cs="Arial"/>
        </w:rPr>
        <w:t> </w:t>
      </w:r>
      <w:r w:rsidRPr="001E210C">
        <w:rPr>
          <w:rFonts w:ascii="Arial" w:hAnsi="Arial" w:cs="Arial"/>
        </w:rPr>
        <w:t>spory vznikající ze Smlouvy a v souvislosti s ní budou rozhodovány příslušnými správními úřady (Český telekomunikační úřad), resp. byla-li by</w:t>
      </w:r>
      <w:r>
        <w:rPr>
          <w:rFonts w:ascii="Arial" w:hAnsi="Arial" w:cs="Arial"/>
        </w:rPr>
        <w:t> </w:t>
      </w:r>
      <w:r w:rsidRPr="001E210C">
        <w:rPr>
          <w:rFonts w:ascii="Arial" w:hAnsi="Arial" w:cs="Arial"/>
        </w:rPr>
        <w:t>pro řešení takového sporu dána pravomoc soudu obecnými soudy České republiky.</w:t>
      </w:r>
    </w:p>
    <w:p w:rsidR="000C48AE" w:rsidRPr="001E210C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1E210C">
        <w:rPr>
          <w:rFonts w:ascii="Arial" w:hAnsi="Arial" w:cs="Arial"/>
        </w:rPr>
        <w:t>PLATNOST A ÚČINNOST SMLOUVY</w:t>
      </w:r>
    </w:p>
    <w:p w:rsidR="000C48AE" w:rsidRPr="001E210C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  <w:lang w:eastAsia="en-US"/>
        </w:rPr>
        <w:t>Tato</w:t>
      </w:r>
      <w:r w:rsidRPr="001E210C">
        <w:rPr>
          <w:rFonts w:ascii="Arial" w:hAnsi="Arial" w:cs="Arial"/>
        </w:rPr>
        <w:t xml:space="preserve"> Smlouva nabývá platnosti a účinnosti dnem jejího podpisu oběma smluvními stranami. </w:t>
      </w:r>
    </w:p>
    <w:p w:rsidR="000C48AE" w:rsidRPr="00F967EE" w:rsidRDefault="000C48AE" w:rsidP="000E303C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  <w:lang w:eastAsia="en-US"/>
        </w:rPr>
        <w:t>Tato</w:t>
      </w:r>
      <w:r w:rsidRPr="001E210C">
        <w:rPr>
          <w:rFonts w:ascii="Arial" w:hAnsi="Arial" w:cs="Arial"/>
        </w:rPr>
        <w:t xml:space="preserve"> </w:t>
      </w:r>
      <w:r w:rsidRPr="008D5A3A">
        <w:rPr>
          <w:rFonts w:ascii="Arial" w:hAnsi="Arial" w:cs="Arial"/>
        </w:rPr>
        <w:t>Smlouva je sjednána</w:t>
      </w:r>
      <w:r>
        <w:rPr>
          <w:rFonts w:ascii="Arial" w:hAnsi="Arial" w:cs="Arial"/>
        </w:rPr>
        <w:t xml:space="preserve"> na období 12 měsíců a nebude-li ze strany Objednatele v této době vypovězena, automaticky se prodlužuje na dobu ne</w:t>
      </w:r>
      <w:r w:rsidRPr="00BE027F">
        <w:rPr>
          <w:rFonts w:ascii="Arial" w:hAnsi="Arial" w:cs="Arial"/>
        </w:rPr>
        <w:t>určitou s</w:t>
      </w:r>
      <w:r w:rsidRPr="004C1F38">
        <w:rPr>
          <w:rFonts w:ascii="Arial" w:hAnsi="Arial" w:cs="Arial"/>
        </w:rPr>
        <w:t> </w:t>
      </w:r>
      <w:r w:rsidRPr="00BE027F">
        <w:rPr>
          <w:rFonts w:ascii="Arial" w:hAnsi="Arial" w:cs="Arial"/>
        </w:rPr>
        <w:t>možností předčasného ukončení s</w:t>
      </w:r>
      <w:r w:rsidRPr="004C1F38">
        <w:rPr>
          <w:rFonts w:ascii="Arial" w:hAnsi="Arial" w:cs="Arial"/>
        </w:rPr>
        <w:t> </w:t>
      </w:r>
      <w:r w:rsidRPr="00BE027F">
        <w:rPr>
          <w:rFonts w:ascii="Arial" w:hAnsi="Arial" w:cs="Arial"/>
        </w:rPr>
        <w:t>výpovědní lhůtou uvedenou v</w:t>
      </w:r>
      <w:r>
        <w:rPr>
          <w:rFonts w:ascii="Arial" w:hAnsi="Arial" w:cs="Arial"/>
        </w:rPr>
        <w:t xml:space="preserve"> odst. 13.4. </w:t>
      </w:r>
      <w:r w:rsidRPr="00BE027F">
        <w:rPr>
          <w:rFonts w:ascii="Arial" w:hAnsi="Arial" w:cs="Arial"/>
        </w:rPr>
        <w:t xml:space="preserve">této Smlouvy. </w:t>
      </w:r>
    </w:p>
    <w:p w:rsidR="000C48AE" w:rsidRPr="001E210C" w:rsidRDefault="000C48AE" w:rsidP="00987B01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BE027F">
        <w:rPr>
          <w:rFonts w:ascii="Arial" w:hAnsi="Arial" w:cs="Arial"/>
        </w:rPr>
        <w:t>Ukončením Smlouvy nejsou dotčena práva z</w:t>
      </w:r>
      <w:r w:rsidRPr="001E210C">
        <w:rPr>
          <w:rFonts w:ascii="Arial" w:hAnsi="Arial" w:cs="Arial"/>
        </w:rPr>
        <w:t>  odpovědnosti za vady, povinnost mlčenlivosti a další ustanovení Smlouvy, která podle svého obsahu mají trvat i po zániku smluvního vztahu.</w:t>
      </w:r>
    </w:p>
    <w:p w:rsidR="000C48AE" w:rsidRPr="001E210C" w:rsidRDefault="000C48AE" w:rsidP="00987B01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</w:rPr>
        <w:t xml:space="preserve">Smluvní vztah vzniklý na základě této Smlouvy může být ukončen písemnou výpovědí, s </w:t>
      </w:r>
      <w:r>
        <w:rPr>
          <w:rFonts w:ascii="Arial" w:hAnsi="Arial" w:cs="Arial"/>
        </w:rPr>
        <w:t>tříměsíční</w:t>
      </w:r>
      <w:r w:rsidRPr="001E210C">
        <w:rPr>
          <w:rFonts w:ascii="Arial" w:hAnsi="Arial" w:cs="Arial"/>
        </w:rPr>
        <w:t xml:space="preserve"> výpovědní dobou, která počne běžet prvním dnem následujícího měsíce po doručení výpovědi druhé smluvní straně. </w:t>
      </w:r>
    </w:p>
    <w:p w:rsidR="000C48AE" w:rsidRPr="001E779D" w:rsidRDefault="000C48AE" w:rsidP="00987B01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</w:rPr>
        <w:t>Smluvní strany jsou oprávněny odstoupit od Smlouvy z důvodů uvedených v zákoně, z důvodů uvedených ve Smlouvě a dále z důvodu podstatného porušení Smlouvy</w:t>
      </w:r>
      <w:r w:rsidRPr="001E779D">
        <w:rPr>
          <w:rFonts w:ascii="Arial" w:hAnsi="Arial" w:cs="Arial"/>
        </w:rPr>
        <w:t>.</w:t>
      </w:r>
    </w:p>
    <w:p w:rsidR="000C48AE" w:rsidRPr="00241755" w:rsidRDefault="000C48AE" w:rsidP="00987B01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41755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mimo jiné </w:t>
      </w:r>
      <w:r w:rsidRPr="00241755">
        <w:rPr>
          <w:rFonts w:ascii="Arial" w:hAnsi="Arial" w:cs="Arial"/>
        </w:rPr>
        <w:t xml:space="preserve">oprávněn od této </w:t>
      </w:r>
      <w:r>
        <w:rPr>
          <w:rFonts w:ascii="Arial" w:hAnsi="Arial" w:cs="Arial"/>
        </w:rPr>
        <w:t>S</w:t>
      </w:r>
      <w:r w:rsidRPr="00241755">
        <w:rPr>
          <w:rFonts w:ascii="Arial" w:hAnsi="Arial" w:cs="Arial"/>
        </w:rPr>
        <w:t>mlouvy odstoupit zejména v</w:t>
      </w:r>
      <w:r>
        <w:rPr>
          <w:rFonts w:ascii="Arial" w:hAnsi="Arial" w:cs="Arial"/>
        </w:rPr>
        <w:t> </w:t>
      </w:r>
      <w:r w:rsidRPr="00241755">
        <w:rPr>
          <w:rFonts w:ascii="Arial" w:hAnsi="Arial" w:cs="Arial"/>
        </w:rPr>
        <w:t xml:space="preserve">následujících případech podstatného porušení povinností </w:t>
      </w:r>
      <w:r>
        <w:rPr>
          <w:rFonts w:ascii="Arial" w:hAnsi="Arial" w:cs="Arial"/>
        </w:rPr>
        <w:t>Poskytovatelem</w:t>
      </w:r>
      <w:r w:rsidRPr="00241755">
        <w:rPr>
          <w:rFonts w:ascii="Arial" w:hAnsi="Arial" w:cs="Arial"/>
        </w:rPr>
        <w:t>:</w:t>
      </w:r>
    </w:p>
    <w:p w:rsidR="000C48AE" w:rsidRPr="00241755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241755">
        <w:rPr>
          <w:rFonts w:ascii="Arial" w:hAnsi="Arial" w:cs="Arial"/>
          <w:lang w:eastAsia="en-US"/>
        </w:rPr>
        <w:t xml:space="preserve">v případě, že bude rozhodnuto o likvidaci Poskytovatele, </w:t>
      </w:r>
    </w:p>
    <w:p w:rsidR="000C48AE" w:rsidRPr="00EB4210" w:rsidRDefault="000C48AE" w:rsidP="0049429C">
      <w:pPr>
        <w:pStyle w:val="RLTextlnkuslovan"/>
        <w:numPr>
          <w:ilvl w:val="2"/>
          <w:numId w:val="6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Poskytovatel</w:t>
      </w:r>
      <w:r w:rsidRPr="00EB4210">
        <w:rPr>
          <w:rFonts w:ascii="Arial" w:hAnsi="Arial" w:cs="Arial"/>
          <w:lang w:eastAsia="en-US"/>
        </w:rPr>
        <w:t xml:space="preserve"> podá insolvenční návrh jako dlužník, bude rozhodnuto o</w:t>
      </w:r>
      <w:r>
        <w:rPr>
          <w:rFonts w:ascii="Arial" w:hAnsi="Arial" w:cs="Arial"/>
          <w:lang w:eastAsia="en-US"/>
        </w:rPr>
        <w:t> </w:t>
      </w:r>
      <w:r w:rsidRPr="00EB4210">
        <w:rPr>
          <w:rFonts w:ascii="Arial" w:hAnsi="Arial" w:cs="Arial"/>
          <w:lang w:eastAsia="en-US"/>
        </w:rPr>
        <w:t xml:space="preserve">úpadku </w:t>
      </w:r>
      <w:r>
        <w:rPr>
          <w:rFonts w:ascii="Arial" w:hAnsi="Arial" w:cs="Arial"/>
          <w:lang w:eastAsia="en-US"/>
        </w:rPr>
        <w:t>Poskytovatele</w:t>
      </w:r>
      <w:r w:rsidRPr="00EB4210">
        <w:rPr>
          <w:rFonts w:ascii="Arial" w:hAnsi="Arial" w:cs="Arial"/>
          <w:lang w:eastAsia="en-US"/>
        </w:rPr>
        <w:t xml:space="preserve"> nebo bude ve vztahu k </w:t>
      </w:r>
      <w:r>
        <w:rPr>
          <w:rFonts w:ascii="Arial" w:hAnsi="Arial" w:cs="Arial"/>
          <w:lang w:eastAsia="en-US"/>
        </w:rPr>
        <w:t>Poskytovateli</w:t>
      </w:r>
      <w:r w:rsidRPr="00EB4210">
        <w:rPr>
          <w:rFonts w:ascii="Arial" w:hAnsi="Arial" w:cs="Arial"/>
          <w:lang w:eastAsia="en-US"/>
        </w:rPr>
        <w:t xml:space="preserve"> vydáno jin</w:t>
      </w:r>
      <w:r>
        <w:rPr>
          <w:rFonts w:ascii="Arial" w:hAnsi="Arial" w:cs="Arial"/>
          <w:lang w:eastAsia="en-US"/>
        </w:rPr>
        <w:t>é rozhodnutí s obdobnými účinky,</w:t>
      </w:r>
    </w:p>
    <w:p w:rsidR="000C48AE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Poskytovatel</w:t>
      </w:r>
      <w:r w:rsidRPr="00EB4210">
        <w:rPr>
          <w:rFonts w:ascii="Arial" w:hAnsi="Arial" w:cs="Arial"/>
          <w:lang w:eastAsia="en-US"/>
        </w:rPr>
        <w:t xml:space="preserve"> bude odsouzen za</w:t>
      </w:r>
      <w:r>
        <w:rPr>
          <w:rFonts w:ascii="Arial" w:hAnsi="Arial" w:cs="Arial"/>
          <w:lang w:eastAsia="en-US"/>
        </w:rPr>
        <w:t xml:space="preserve"> úmyslný trestný čin,</w:t>
      </w:r>
    </w:p>
    <w:p w:rsidR="000C48AE" w:rsidRPr="001E210C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241755">
        <w:rPr>
          <w:rFonts w:ascii="Arial" w:hAnsi="Arial" w:cs="Arial"/>
          <w:lang w:eastAsia="en-US"/>
        </w:rPr>
        <w:t xml:space="preserve">v případě prodlení Poskytovatele s </w:t>
      </w:r>
      <w:r w:rsidRPr="001E210C">
        <w:rPr>
          <w:rFonts w:ascii="Arial" w:hAnsi="Arial" w:cs="Arial"/>
          <w:lang w:eastAsia="en-US"/>
        </w:rPr>
        <w:t>dodáním předmětu plnění o více jak 10 kal</w:t>
      </w:r>
      <w:r>
        <w:rPr>
          <w:rFonts w:ascii="Arial" w:hAnsi="Arial" w:cs="Arial"/>
          <w:lang w:eastAsia="en-US"/>
        </w:rPr>
        <w:t>endářních dní po termínu plnění,</w:t>
      </w:r>
    </w:p>
    <w:p w:rsidR="000C48AE" w:rsidRPr="001E210C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>v případě, že Poskytovatel neodstraní vady předmětu plnění ani ve</w:t>
      </w:r>
      <w:r>
        <w:rPr>
          <w:rFonts w:ascii="Arial" w:hAnsi="Arial" w:cs="Arial"/>
          <w:lang w:eastAsia="en-US"/>
        </w:rPr>
        <w:t> </w:t>
      </w:r>
      <w:r w:rsidRPr="001E210C">
        <w:rPr>
          <w:rFonts w:ascii="Arial" w:hAnsi="Arial" w:cs="Arial"/>
          <w:lang w:eastAsia="en-US"/>
        </w:rPr>
        <w:t xml:space="preserve">lhůtě 10 kalendářních dní </w:t>
      </w:r>
      <w:r>
        <w:rPr>
          <w:rFonts w:ascii="Arial" w:hAnsi="Arial" w:cs="Arial"/>
          <w:lang w:eastAsia="en-US"/>
        </w:rPr>
        <w:t>od jejich oznámení Objednatelem,</w:t>
      </w:r>
    </w:p>
    <w:p w:rsidR="000C48AE" w:rsidRPr="001E210C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>v případě realizace předmětu Smlouvy v rozporu s ustanoveními Smlouvy, v rozporu s obecně závaznými právními předpisy nebo v</w:t>
      </w:r>
      <w:r>
        <w:rPr>
          <w:rFonts w:ascii="Arial" w:hAnsi="Arial" w:cs="Arial"/>
          <w:lang w:eastAsia="en-US"/>
        </w:rPr>
        <w:t> </w:t>
      </w:r>
      <w:r w:rsidRPr="001E210C">
        <w:rPr>
          <w:rFonts w:ascii="Arial" w:hAnsi="Arial" w:cs="Arial"/>
          <w:lang w:eastAsia="en-US"/>
        </w:rPr>
        <w:t>případě nedodržování jiných závazných dokumentů či předpisů</w:t>
      </w:r>
      <w:r>
        <w:rPr>
          <w:rFonts w:ascii="Arial" w:hAnsi="Arial" w:cs="Arial"/>
          <w:lang w:eastAsia="en-US"/>
        </w:rPr>
        <w:t>,</w:t>
      </w:r>
      <w:r w:rsidRPr="001E210C">
        <w:rPr>
          <w:rFonts w:ascii="Arial" w:hAnsi="Arial" w:cs="Arial"/>
          <w:lang w:eastAsia="en-US"/>
        </w:rPr>
        <w:t xml:space="preserve"> </w:t>
      </w:r>
    </w:p>
    <w:p w:rsidR="000C48AE" w:rsidRPr="001E210C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1E210C">
        <w:rPr>
          <w:rFonts w:ascii="Arial" w:hAnsi="Arial" w:cs="Arial"/>
          <w:lang w:eastAsia="en-US"/>
        </w:rPr>
        <w:t>v případě jiného porušení povinností Poskytovatele, které nebude odstraněno ani do 10 kalendářních dní od doručení výzvy Objednatele.</w:t>
      </w:r>
    </w:p>
    <w:p w:rsidR="000C48AE" w:rsidRPr="001E210C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</w:rPr>
        <w:t>V případě odstoupení podle odst.</w:t>
      </w:r>
      <w:r>
        <w:rPr>
          <w:rFonts w:ascii="Arial" w:hAnsi="Arial" w:cs="Arial"/>
        </w:rPr>
        <w:t xml:space="preserve"> 13.6 </w:t>
      </w:r>
      <w:r w:rsidRPr="001E210C">
        <w:rPr>
          <w:rFonts w:ascii="Arial" w:hAnsi="Arial" w:cs="Arial"/>
        </w:rPr>
        <w:t>Smlouvy je po marném uplynutí 10denní lhůty Objednatel oprávněn od Smlouvy jednostranně odstoupit, a</w:t>
      </w:r>
      <w:r>
        <w:rPr>
          <w:rFonts w:ascii="Arial" w:hAnsi="Arial" w:cs="Arial"/>
        </w:rPr>
        <w:t> </w:t>
      </w:r>
      <w:r w:rsidRPr="001E210C">
        <w:rPr>
          <w:rFonts w:ascii="Arial" w:hAnsi="Arial" w:cs="Arial"/>
        </w:rPr>
        <w:t>to bez jakýchkoliv sankcí ze strany Poskytovatele. Objednatel má</w:t>
      </w:r>
      <w:r>
        <w:rPr>
          <w:rFonts w:ascii="Arial" w:hAnsi="Arial" w:cs="Arial"/>
        </w:rPr>
        <w:t> </w:t>
      </w:r>
      <w:r w:rsidRPr="001E210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1E210C">
        <w:rPr>
          <w:rFonts w:ascii="Arial" w:hAnsi="Arial" w:cs="Arial"/>
        </w:rPr>
        <w:t>případě odstoupení od Smlouvy v každém případě nárok na náhradu prokázaných nákladů, které mu vzniknou v souvislosti s náhradním řešením, zejména nákladů, které mohou vzniknout v souvislosti se</w:t>
      </w:r>
      <w:r>
        <w:rPr>
          <w:rFonts w:ascii="Arial" w:hAnsi="Arial" w:cs="Arial"/>
        </w:rPr>
        <w:t> </w:t>
      </w:r>
      <w:r w:rsidRPr="001E210C">
        <w:rPr>
          <w:rFonts w:ascii="Arial" w:hAnsi="Arial" w:cs="Arial"/>
        </w:rPr>
        <w:t>zajištěním náhradního plnění.</w:t>
      </w:r>
    </w:p>
    <w:p w:rsidR="000C48AE" w:rsidRPr="001E210C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  <w:lang w:eastAsia="en-US"/>
        </w:rPr>
        <w:t xml:space="preserve">Poskytovatel </w:t>
      </w:r>
      <w:r w:rsidRPr="001E210C">
        <w:rPr>
          <w:rFonts w:ascii="Arial" w:hAnsi="Arial" w:cs="Arial"/>
        </w:rPr>
        <w:t>je oprávněn od této Smlouvy odstoupit v následujících případech podstatného porušení Objednatelem:</w:t>
      </w:r>
    </w:p>
    <w:p w:rsidR="000C48AE" w:rsidRPr="00241755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  <w:lang w:eastAsia="en-US"/>
        </w:rPr>
      </w:pPr>
      <w:r w:rsidRPr="00241755">
        <w:rPr>
          <w:rFonts w:ascii="Arial" w:hAnsi="Arial" w:cs="Arial"/>
          <w:lang w:eastAsia="en-US"/>
        </w:rPr>
        <w:t xml:space="preserve">bude-li </w:t>
      </w:r>
      <w:r>
        <w:rPr>
          <w:rFonts w:ascii="Arial" w:hAnsi="Arial" w:cs="Arial"/>
          <w:lang w:eastAsia="en-US"/>
        </w:rPr>
        <w:t>Objednatel</w:t>
      </w:r>
      <w:r w:rsidRPr="00241755">
        <w:rPr>
          <w:rFonts w:ascii="Arial" w:hAnsi="Arial" w:cs="Arial"/>
          <w:lang w:eastAsia="en-US"/>
        </w:rPr>
        <w:t xml:space="preserve"> v prodlení s plněním lhůty splatnosti daňového dokladu – faktury o více jak 30 kalendářních dní, přičemž nárok na</w:t>
      </w:r>
      <w:r>
        <w:rPr>
          <w:rFonts w:ascii="Arial" w:hAnsi="Arial" w:cs="Arial"/>
          <w:lang w:eastAsia="en-US"/>
        </w:rPr>
        <w:t> </w:t>
      </w:r>
      <w:r w:rsidRPr="00241755">
        <w:rPr>
          <w:rFonts w:ascii="Arial" w:hAnsi="Arial" w:cs="Arial"/>
          <w:lang w:eastAsia="en-US"/>
        </w:rPr>
        <w:t>úrok z prodlení, není tímto ustanovením dotčen,</w:t>
      </w:r>
    </w:p>
    <w:p w:rsidR="000C48AE" w:rsidRPr="001E210C" w:rsidRDefault="000C48AE" w:rsidP="0049429C">
      <w:pPr>
        <w:pStyle w:val="RLTextlnkuslovan"/>
        <w:numPr>
          <w:ilvl w:val="2"/>
          <w:numId w:val="6"/>
        </w:numPr>
        <w:tabs>
          <w:tab w:val="clear" w:pos="1701"/>
        </w:tabs>
        <w:rPr>
          <w:rFonts w:ascii="Arial" w:hAnsi="Arial" w:cs="Arial"/>
        </w:rPr>
      </w:pPr>
      <w:r w:rsidRPr="001E210C">
        <w:rPr>
          <w:rFonts w:ascii="Arial" w:hAnsi="Arial" w:cs="Arial"/>
          <w:lang w:eastAsia="en-US"/>
        </w:rPr>
        <w:t>v případě prodlení Objednatele s poskytnutím součinnosti o více než 10 kalendářních dní od prokazatelného doručení písemné výzvy Poskytovatele</w:t>
      </w:r>
      <w:r w:rsidRPr="001E210C">
        <w:rPr>
          <w:rFonts w:ascii="Arial" w:hAnsi="Arial" w:cs="Arial"/>
        </w:rPr>
        <w:t>.</w:t>
      </w:r>
    </w:p>
    <w:p w:rsidR="000C48AE" w:rsidRPr="001E210C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</w:rPr>
        <w:t>Odstoupení od této Smlouvy musí být písemné a musí v něm být uveden odkaz na ustanovení této Smlouvy či právních předpisů, které zakládá oprávnění od Smlouvy odstoupit.</w:t>
      </w:r>
    </w:p>
    <w:p w:rsidR="000C48AE" w:rsidRPr="001E210C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</w:rPr>
        <w:t>Práva smluvních stran vzniklá před platným odstoupením od Smlouvy nejsou odstoupením dotčena.</w:t>
      </w:r>
    </w:p>
    <w:p w:rsidR="000C48AE" w:rsidRPr="001E210C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</w:rPr>
        <w:t>V případě částečného odstoupení od této Smlouvy zůstává tato Smlouva v platnosti ohledně těch částí plnění, které nejsou dotčeny odstoupením.</w:t>
      </w:r>
    </w:p>
    <w:p w:rsidR="000C48AE" w:rsidRPr="001E210C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</w:rPr>
        <w:t>Smluvní vztah skončí dnem doručení oznámení o odstoupení od Smlouvy druhé smluvní straně, nebo dnem uvedeným v oznámení, je-li v oznámení uvedeno datum pozdější.</w:t>
      </w:r>
    </w:p>
    <w:p w:rsidR="000C48AE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</w:rPr>
        <w:t xml:space="preserve">Odstoupení od této Smlouvy či jiné ukončení smluvního vztahu založeného touto Smlouvou se nedotýká </w:t>
      </w:r>
      <w:r w:rsidRPr="0068149D">
        <w:rPr>
          <w:rFonts w:ascii="Arial" w:hAnsi="Arial" w:cs="Arial"/>
        </w:rPr>
        <w:t>práva na zaplacení smluvní pokuty nebo úroku z prodlení, pokud již dospěl, práva na náhradu škody vzniklé z porušení smluvní povinnosti, ujednání o mlčenlivosti a ochraně informací ani</w:t>
      </w:r>
      <w:r>
        <w:rPr>
          <w:rFonts w:ascii="Arial" w:hAnsi="Arial" w:cs="Arial"/>
        </w:rPr>
        <w:t> </w:t>
      </w:r>
      <w:r w:rsidRPr="0068149D">
        <w:rPr>
          <w:rFonts w:ascii="Arial" w:hAnsi="Arial" w:cs="Arial"/>
        </w:rPr>
        <w:t>ujednání, které má vzhledem ke své povaze zavazovat strany i</w:t>
      </w:r>
      <w:r>
        <w:rPr>
          <w:rFonts w:ascii="Arial" w:hAnsi="Arial" w:cs="Arial"/>
        </w:rPr>
        <w:t> </w:t>
      </w:r>
      <w:r w:rsidRPr="0068149D">
        <w:rPr>
          <w:rFonts w:ascii="Arial" w:hAnsi="Arial" w:cs="Arial"/>
        </w:rPr>
        <w:t>po</w:t>
      </w:r>
      <w:r>
        <w:rPr>
          <w:rFonts w:ascii="Arial" w:hAnsi="Arial" w:cs="Arial"/>
        </w:rPr>
        <w:t> </w:t>
      </w:r>
      <w:r w:rsidRPr="0068149D">
        <w:rPr>
          <w:rFonts w:ascii="Arial" w:hAnsi="Arial" w:cs="Arial"/>
        </w:rPr>
        <w:t xml:space="preserve">odstoupení od smlouvy, zejména ujednání o způsobu řešení sporů. </w:t>
      </w:r>
    </w:p>
    <w:p w:rsidR="000C48AE" w:rsidRPr="00A00F30" w:rsidRDefault="000C48AE" w:rsidP="00571230">
      <w:pPr>
        <w:pStyle w:val="RLlneksmlouvy"/>
        <w:tabs>
          <w:tab w:val="clear" w:pos="737"/>
          <w:tab w:val="left" w:pos="426"/>
        </w:tabs>
        <w:ind w:left="426" w:hanging="426"/>
        <w:rPr>
          <w:rFonts w:ascii="Arial" w:hAnsi="Arial" w:cs="Arial"/>
        </w:rPr>
      </w:pPr>
      <w:r w:rsidRPr="00A00F30">
        <w:rPr>
          <w:rFonts w:ascii="Arial" w:hAnsi="Arial" w:cs="Arial"/>
        </w:rPr>
        <w:t>ZÁVĚREČNÁ USTANOVENÍ</w:t>
      </w:r>
    </w:p>
    <w:p w:rsidR="000C48AE" w:rsidRPr="001E210C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F4393F">
        <w:rPr>
          <w:rFonts w:ascii="Arial" w:hAnsi="Arial" w:cs="Arial"/>
          <w:lang w:eastAsia="en-US"/>
        </w:rPr>
        <w:t xml:space="preserve">Tato </w:t>
      </w:r>
      <w:r>
        <w:rPr>
          <w:rFonts w:ascii="Arial" w:hAnsi="Arial" w:cs="Arial"/>
          <w:lang w:eastAsia="en-US"/>
        </w:rPr>
        <w:t>S</w:t>
      </w:r>
      <w:r w:rsidRPr="00F4393F">
        <w:rPr>
          <w:rFonts w:ascii="Arial" w:hAnsi="Arial" w:cs="Arial"/>
          <w:lang w:eastAsia="en-US"/>
        </w:rPr>
        <w:t xml:space="preserve">mlouva představuje úplnou dohodu smluvních stran ohledně vzájemných vztahů, </w:t>
      </w:r>
      <w:r w:rsidRPr="001E210C">
        <w:rPr>
          <w:rFonts w:ascii="Arial" w:hAnsi="Arial" w:cs="Arial"/>
          <w:lang w:eastAsia="en-US"/>
        </w:rPr>
        <w:t>které upravuje, a nahrazuje veškerá předcházející ujednání a dohody v této předmětné věci, ať už ústní či písemné.</w:t>
      </w:r>
    </w:p>
    <w:p w:rsidR="000C48AE" w:rsidRPr="001E210C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</w:rPr>
        <w:t>Tuto Smlouvu lze měnit a doplňovat pouze způsobem uvedeným v této Smlouvě a po dohodě smluvních stran, a to písemnými dodatky takto označovanými a číslovanými vzestupnou řadou podepsanými oprávněnými zástupci smluvních stran. Jiná ujednání jsou neplatná.</w:t>
      </w:r>
    </w:p>
    <w:p w:rsidR="000C48AE" w:rsidRPr="00F4393F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1E210C">
        <w:rPr>
          <w:rFonts w:ascii="Arial" w:hAnsi="Arial" w:cs="Arial"/>
        </w:rPr>
        <w:t>Poskytovatel není oprávněn postoupit práva ani převést povinnosti vyplývající z této Smlouvy na třetí osobu bez předchozího písemného</w:t>
      </w:r>
      <w:r w:rsidRPr="00F4393F">
        <w:rPr>
          <w:rFonts w:ascii="Arial" w:hAnsi="Arial" w:cs="Arial"/>
        </w:rPr>
        <w:t xml:space="preserve"> souhlasu </w:t>
      </w:r>
      <w:r>
        <w:rPr>
          <w:rFonts w:ascii="Arial" w:hAnsi="Arial" w:cs="Arial"/>
        </w:rPr>
        <w:t>Objednatele.</w:t>
      </w:r>
    </w:p>
    <w:p w:rsidR="000C48AE" w:rsidRPr="00F4393F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F4393F">
        <w:rPr>
          <w:rFonts w:ascii="Arial" w:hAnsi="Arial" w:cs="Arial"/>
        </w:rPr>
        <w:t xml:space="preserve">V případě, že by některé ustanovení této </w:t>
      </w:r>
      <w:r>
        <w:rPr>
          <w:rFonts w:ascii="Arial" w:hAnsi="Arial" w:cs="Arial"/>
        </w:rPr>
        <w:t>S</w:t>
      </w:r>
      <w:r w:rsidRPr="00F4393F">
        <w:rPr>
          <w:rFonts w:ascii="Arial" w:hAnsi="Arial" w:cs="Arial"/>
        </w:rPr>
        <w:t>mlouvy bylo z jakýchkoliv důvodů neplatné či neúčinné, nezpůsobuje tato skutečnost neplatnost ani</w:t>
      </w:r>
      <w:r>
        <w:rPr>
          <w:rFonts w:ascii="Arial" w:hAnsi="Arial" w:cs="Arial"/>
        </w:rPr>
        <w:t> </w:t>
      </w:r>
      <w:r w:rsidRPr="00F4393F">
        <w:rPr>
          <w:rFonts w:ascii="Arial" w:hAnsi="Arial" w:cs="Arial"/>
        </w:rPr>
        <w:t xml:space="preserve">neúčinnost ostatních částí </w:t>
      </w:r>
      <w:r>
        <w:rPr>
          <w:rFonts w:ascii="Arial" w:hAnsi="Arial" w:cs="Arial"/>
        </w:rPr>
        <w:t>S</w:t>
      </w:r>
      <w:r w:rsidRPr="00F4393F">
        <w:rPr>
          <w:rFonts w:ascii="Arial" w:hAnsi="Arial" w:cs="Arial"/>
        </w:rPr>
        <w:t>mlouvy. Smluvní strany se zavazují nahradit po vzájemné dohodě dotčené ustanovení jiným ustanovením, blížícím se</w:t>
      </w:r>
      <w:r>
        <w:rPr>
          <w:rFonts w:ascii="Arial" w:hAnsi="Arial" w:cs="Arial"/>
        </w:rPr>
        <w:t> </w:t>
      </w:r>
      <w:r w:rsidRPr="00F4393F">
        <w:rPr>
          <w:rFonts w:ascii="Arial" w:hAnsi="Arial" w:cs="Arial"/>
        </w:rPr>
        <w:t>svým obsahem nejvíce účelu neplatného či neúčinného ustanovení.</w:t>
      </w:r>
    </w:p>
    <w:p w:rsidR="000C48AE" w:rsidRPr="007A169E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262E5D">
        <w:rPr>
          <w:rFonts w:ascii="Arial" w:hAnsi="Arial" w:cs="Arial"/>
          <w:bCs/>
        </w:rPr>
        <w:t>V případě rozporu mezi ustanoveními příloh této Smlouvy a textem v těle této Smlouvy mají přednost ustanovení v těle této Smlouvy.</w:t>
      </w:r>
      <w:r>
        <w:rPr>
          <w:rFonts w:ascii="Arial" w:hAnsi="Arial" w:cs="Arial"/>
          <w:bCs/>
        </w:rPr>
        <w:t xml:space="preserve"> </w:t>
      </w:r>
    </w:p>
    <w:p w:rsidR="000C48AE" w:rsidRPr="00262E5D" w:rsidRDefault="000C48AE" w:rsidP="00F5575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07433">
        <w:rPr>
          <w:rFonts w:ascii="Arial" w:hAnsi="Arial" w:cs="Arial"/>
        </w:rPr>
        <w:t>mluvní vztahy výslovně neupravené touto smlouvou, nebo upravené jen</w:t>
      </w:r>
      <w:r>
        <w:rPr>
          <w:rFonts w:ascii="Arial" w:hAnsi="Arial" w:cs="Arial"/>
        </w:rPr>
        <w:t> </w:t>
      </w:r>
      <w:r w:rsidRPr="00507433">
        <w:rPr>
          <w:rFonts w:ascii="Arial" w:hAnsi="Arial" w:cs="Arial"/>
        </w:rPr>
        <w:t>částečně se řídí příslušnými ustanoveními zákona č. 89/2012 Sb., občanského zákoníku a předpisy souvisejícími.</w:t>
      </w:r>
    </w:p>
    <w:p w:rsidR="000C48AE" w:rsidRDefault="000C48AE" w:rsidP="00B20AF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262E5D">
        <w:rPr>
          <w:rFonts w:ascii="Arial" w:hAnsi="Arial" w:cs="Arial"/>
          <w:lang w:eastAsia="en-US"/>
        </w:rPr>
        <w:t>Nedílnou</w:t>
      </w:r>
      <w:r w:rsidRPr="00262E5D">
        <w:rPr>
          <w:rFonts w:ascii="Arial" w:hAnsi="Arial" w:cs="Arial"/>
        </w:rPr>
        <w:t xml:space="preserve"> součást Smlouvy tvoří tyto přílohy:</w:t>
      </w:r>
    </w:p>
    <w:p w:rsidR="000C48AE" w:rsidRPr="00F55755" w:rsidRDefault="000C48AE" w:rsidP="00B20AF5">
      <w:pPr>
        <w:pStyle w:val="RLTextlnkuslovan"/>
        <w:numPr>
          <w:ilvl w:val="0"/>
          <w:numId w:val="0"/>
        </w:numPr>
        <w:spacing w:after="0"/>
        <w:ind w:left="992"/>
        <w:rPr>
          <w:rFonts w:ascii="Arial" w:hAnsi="Arial" w:cs="Arial"/>
        </w:rPr>
      </w:pPr>
      <w:r w:rsidRPr="00F55755">
        <w:rPr>
          <w:rFonts w:ascii="Arial" w:hAnsi="Arial" w:cs="Arial"/>
        </w:rPr>
        <w:t>Příloha č.1:</w:t>
      </w:r>
      <w:r w:rsidRPr="00F55755">
        <w:rPr>
          <w:rFonts w:ascii="Arial" w:hAnsi="Arial" w:cs="Arial"/>
        </w:rPr>
        <w:tab/>
        <w:t>Specifikace Služby</w:t>
      </w:r>
    </w:p>
    <w:p w:rsidR="000C48AE" w:rsidRPr="00F55755" w:rsidRDefault="000C48AE" w:rsidP="00B20AF5">
      <w:pPr>
        <w:pStyle w:val="RLTextlnkuslovan"/>
        <w:numPr>
          <w:ilvl w:val="0"/>
          <w:numId w:val="0"/>
        </w:numPr>
        <w:spacing w:after="0"/>
        <w:ind w:left="992"/>
        <w:jc w:val="left"/>
        <w:rPr>
          <w:rFonts w:ascii="Arial" w:hAnsi="Arial" w:cs="Arial"/>
        </w:rPr>
      </w:pPr>
      <w:r w:rsidRPr="00F55755">
        <w:rPr>
          <w:rFonts w:ascii="Arial" w:hAnsi="Arial" w:cs="Arial"/>
        </w:rPr>
        <w:t>Příloha č.2:</w:t>
      </w:r>
      <w:r w:rsidRPr="00F55755">
        <w:rPr>
          <w:rFonts w:ascii="Arial" w:hAnsi="Arial" w:cs="Arial"/>
        </w:rPr>
        <w:tab/>
        <w:t>Seznam oprávněných osob</w:t>
      </w:r>
    </w:p>
    <w:p w:rsidR="000C48AE" w:rsidRPr="00F55755" w:rsidRDefault="000C48AE" w:rsidP="00B20AF5">
      <w:pPr>
        <w:pStyle w:val="RLTextlnkuslovan"/>
        <w:numPr>
          <w:ilvl w:val="0"/>
          <w:numId w:val="0"/>
        </w:numPr>
        <w:spacing w:after="0"/>
        <w:ind w:left="992"/>
        <w:jc w:val="left"/>
        <w:rPr>
          <w:rFonts w:ascii="Arial" w:hAnsi="Arial" w:cs="Arial"/>
        </w:rPr>
      </w:pPr>
      <w:r w:rsidRPr="00F55755">
        <w:rPr>
          <w:rFonts w:ascii="Arial" w:hAnsi="Arial" w:cs="Arial"/>
        </w:rPr>
        <w:t>Příloha č.3:</w:t>
      </w:r>
      <w:r w:rsidRPr="00F55755">
        <w:rPr>
          <w:rFonts w:ascii="Arial" w:hAnsi="Arial" w:cs="Arial"/>
        </w:rPr>
        <w:tab/>
        <w:t xml:space="preserve">Stanovení dostupnosti Služby  </w:t>
      </w:r>
    </w:p>
    <w:p w:rsidR="000C48AE" w:rsidRPr="00F55755" w:rsidRDefault="000C48AE" w:rsidP="00B20AF5">
      <w:pPr>
        <w:pStyle w:val="RLTextlnkuslovan"/>
        <w:numPr>
          <w:ilvl w:val="0"/>
          <w:numId w:val="0"/>
        </w:numPr>
        <w:spacing w:after="0"/>
        <w:ind w:left="992"/>
        <w:jc w:val="left"/>
        <w:rPr>
          <w:rFonts w:ascii="Arial" w:hAnsi="Arial" w:cs="Arial"/>
        </w:rPr>
      </w:pPr>
      <w:r w:rsidRPr="00F55755">
        <w:rPr>
          <w:rFonts w:ascii="Arial" w:hAnsi="Arial" w:cs="Arial"/>
        </w:rPr>
        <w:t xml:space="preserve">Příloha č.4: </w:t>
      </w:r>
      <w:r w:rsidRPr="00F55755">
        <w:rPr>
          <w:rFonts w:ascii="Arial" w:hAnsi="Arial" w:cs="Arial"/>
        </w:rPr>
        <w:tab/>
        <w:t>Servisní podmínky</w:t>
      </w:r>
      <w:r>
        <w:rPr>
          <w:rFonts w:ascii="Arial" w:hAnsi="Arial" w:cs="Arial"/>
        </w:rPr>
        <w:t xml:space="preserve"> </w:t>
      </w:r>
      <w:r w:rsidRPr="00CA1C93">
        <w:rPr>
          <w:rFonts w:ascii="Arial" w:hAnsi="Arial" w:cs="Arial"/>
          <w:highlight w:val="yellow"/>
        </w:rPr>
        <w:t>( doplní uchazeč)</w:t>
      </w:r>
    </w:p>
    <w:p w:rsidR="000C48AE" w:rsidRPr="00F55755" w:rsidRDefault="000C48AE" w:rsidP="00B20AF5">
      <w:pPr>
        <w:pStyle w:val="RLTextlnkuslovan"/>
        <w:numPr>
          <w:ilvl w:val="0"/>
          <w:numId w:val="0"/>
        </w:numPr>
        <w:spacing w:after="0"/>
        <w:ind w:left="992"/>
        <w:jc w:val="left"/>
        <w:rPr>
          <w:rFonts w:ascii="Arial" w:hAnsi="Arial" w:cs="Arial"/>
        </w:rPr>
      </w:pPr>
      <w:r w:rsidRPr="00F55755">
        <w:rPr>
          <w:rFonts w:ascii="Arial" w:hAnsi="Arial" w:cs="Arial"/>
        </w:rPr>
        <w:t xml:space="preserve">Příloha č.5:    </w:t>
      </w:r>
      <w:r w:rsidRPr="00F55755">
        <w:rPr>
          <w:rFonts w:ascii="Arial" w:hAnsi="Arial" w:cs="Arial"/>
        </w:rPr>
        <w:tab/>
        <w:t xml:space="preserve">Katalogový list Služby </w:t>
      </w:r>
    </w:p>
    <w:p w:rsidR="000C48AE" w:rsidRPr="005C1FD2" w:rsidRDefault="000C48AE" w:rsidP="00571230">
      <w:pPr>
        <w:pStyle w:val="RLTextlnkuslovan"/>
        <w:numPr>
          <w:ilvl w:val="0"/>
          <w:numId w:val="0"/>
        </w:numPr>
        <w:ind w:left="993"/>
        <w:rPr>
          <w:rFonts w:ascii="Arial" w:hAnsi="Arial" w:cs="Arial"/>
          <w:bCs/>
          <w:sz w:val="22"/>
          <w:szCs w:val="22"/>
        </w:rPr>
      </w:pPr>
    </w:p>
    <w:p w:rsidR="000C48AE" w:rsidRPr="005C1FD2" w:rsidRDefault="000C48AE" w:rsidP="00B20AF5">
      <w:pPr>
        <w:pStyle w:val="RLTextlnkuslovan"/>
        <w:tabs>
          <w:tab w:val="clear" w:pos="1217"/>
        </w:tabs>
        <w:ind w:left="993" w:hanging="567"/>
        <w:rPr>
          <w:rFonts w:ascii="Arial" w:hAnsi="Arial" w:cs="Arial"/>
        </w:rPr>
      </w:pPr>
      <w:r w:rsidRPr="000051C5">
        <w:rPr>
          <w:rFonts w:ascii="Arial" w:hAnsi="Arial" w:cs="Arial"/>
          <w:lang w:eastAsia="en-US"/>
        </w:rPr>
        <w:t>Tato</w:t>
      </w:r>
      <w:r w:rsidRPr="000051C5">
        <w:rPr>
          <w:rFonts w:ascii="Arial" w:hAnsi="Arial" w:cs="Arial"/>
        </w:rPr>
        <w:t xml:space="preserve"> Smlouva je sepsána ve </w:t>
      </w:r>
      <w:r>
        <w:rPr>
          <w:rFonts w:ascii="Arial" w:hAnsi="Arial" w:cs="Arial"/>
        </w:rPr>
        <w:t>dvou</w:t>
      </w:r>
      <w:r w:rsidRPr="000051C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0051C5">
        <w:rPr>
          <w:rFonts w:ascii="Arial" w:hAnsi="Arial" w:cs="Arial"/>
        </w:rPr>
        <w:t>) vyhotoveních s platností originálu v jazyce českém, z</w:t>
      </w:r>
      <w:r w:rsidRPr="00262E5D">
        <w:rPr>
          <w:rFonts w:ascii="Arial" w:hAnsi="Arial" w:cs="Arial"/>
        </w:rPr>
        <w:t xml:space="preserve"> nichž </w:t>
      </w:r>
      <w:r>
        <w:rPr>
          <w:rFonts w:ascii="Arial" w:hAnsi="Arial" w:cs="Arial"/>
        </w:rPr>
        <w:t>Objednatel</w:t>
      </w:r>
      <w:r w:rsidRPr="00262E5D">
        <w:rPr>
          <w:rFonts w:ascii="Arial" w:hAnsi="Arial" w:cs="Arial"/>
        </w:rPr>
        <w:t xml:space="preserve"> obdrží </w:t>
      </w:r>
      <w:r>
        <w:rPr>
          <w:rFonts w:ascii="Arial" w:hAnsi="Arial" w:cs="Arial"/>
        </w:rPr>
        <w:t>jedno</w:t>
      </w:r>
      <w:r w:rsidRPr="00262E5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Pr="00262E5D">
        <w:rPr>
          <w:rFonts w:ascii="Arial" w:hAnsi="Arial" w:cs="Arial"/>
        </w:rPr>
        <w:t>) vyhotovení</w:t>
      </w:r>
      <w:r>
        <w:rPr>
          <w:rFonts w:ascii="Arial" w:hAnsi="Arial" w:cs="Arial"/>
        </w:rPr>
        <w:t xml:space="preserve"> a Poskytovatel </w:t>
      </w:r>
      <w:r w:rsidRPr="00262E5D">
        <w:rPr>
          <w:rFonts w:ascii="Arial" w:hAnsi="Arial" w:cs="Arial"/>
        </w:rPr>
        <w:t xml:space="preserve">obdrží </w:t>
      </w:r>
      <w:r>
        <w:rPr>
          <w:rFonts w:ascii="Arial" w:hAnsi="Arial" w:cs="Arial"/>
        </w:rPr>
        <w:t xml:space="preserve">jedno </w:t>
      </w:r>
      <w:r w:rsidRPr="00262E5D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Pr="00262E5D">
        <w:rPr>
          <w:rFonts w:ascii="Arial" w:hAnsi="Arial" w:cs="Arial"/>
        </w:rPr>
        <w:t>) vyhotovení</w:t>
      </w:r>
      <w:r>
        <w:rPr>
          <w:rFonts w:ascii="Arial" w:hAnsi="Arial" w:cs="Arial"/>
        </w:rPr>
        <w:t>.</w:t>
      </w:r>
    </w:p>
    <w:p w:rsidR="000C48AE" w:rsidRPr="00262E5D" w:rsidRDefault="000C48AE" w:rsidP="00571230">
      <w:pPr>
        <w:pStyle w:val="RLTextlnkuslovan"/>
        <w:numPr>
          <w:ilvl w:val="0"/>
          <w:numId w:val="0"/>
        </w:numPr>
        <w:ind w:left="993"/>
        <w:rPr>
          <w:rFonts w:ascii="Arial" w:hAnsi="Arial" w:cs="Arial"/>
        </w:rPr>
      </w:pPr>
    </w:p>
    <w:p w:rsidR="000C48AE" w:rsidRDefault="000C48AE" w:rsidP="00571230">
      <w:pPr>
        <w:pStyle w:val="RLProhlensmluvnchstran"/>
        <w:rPr>
          <w:rFonts w:ascii="Arial" w:hAnsi="Arial" w:cs="Arial"/>
        </w:rPr>
      </w:pPr>
      <w:r w:rsidRPr="00262E5D">
        <w:rPr>
          <w:rFonts w:ascii="Arial" w:hAnsi="Arial" w:cs="Arial"/>
        </w:rPr>
        <w:t>Smluvní strany prohlašují, že si tuto Smlouvu přečetly, že s jejím obsahem souhlasí a na důkaz toho k ní připojují svoje</w:t>
      </w:r>
      <w:r w:rsidRPr="00A00F30">
        <w:rPr>
          <w:rFonts w:ascii="Arial" w:hAnsi="Arial" w:cs="Arial"/>
        </w:rPr>
        <w:t xml:space="preserve"> podpisy.</w:t>
      </w:r>
    </w:p>
    <w:p w:rsidR="000C48AE" w:rsidRPr="00A00F30" w:rsidRDefault="000C48AE" w:rsidP="00571230">
      <w:pPr>
        <w:pStyle w:val="RLProhlensmluvnchstran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4605"/>
        <w:gridCol w:w="4605"/>
      </w:tblGrid>
      <w:tr w:rsidR="000C48AE" w:rsidRPr="00A00F30" w:rsidTr="004910BB">
        <w:trPr>
          <w:jc w:val="center"/>
        </w:trPr>
        <w:tc>
          <w:tcPr>
            <w:tcW w:w="4605" w:type="dxa"/>
          </w:tcPr>
          <w:p w:rsidR="000C48AE" w:rsidRPr="00400B61" w:rsidRDefault="000C48AE" w:rsidP="004910BB">
            <w:pPr>
              <w:pStyle w:val="RLProhlensmluvnchstran"/>
              <w:rPr>
                <w:rFonts w:ascii="Arial" w:hAnsi="Arial" w:cs="Arial"/>
                <w:sz w:val="20"/>
              </w:rPr>
            </w:pPr>
            <w:r w:rsidRPr="00400B61">
              <w:rPr>
                <w:rFonts w:ascii="Arial" w:hAnsi="Arial" w:cs="Arial"/>
                <w:sz w:val="20"/>
              </w:rPr>
              <w:t>Poskytovatel</w:t>
            </w:r>
          </w:p>
          <w:p w:rsidR="000C48AE" w:rsidRPr="00400B61" w:rsidRDefault="000C48AE" w:rsidP="004910BB">
            <w:pPr>
              <w:pStyle w:val="RLdajeosmluvnstran"/>
              <w:rPr>
                <w:rFonts w:ascii="Arial" w:hAnsi="Arial" w:cs="Arial"/>
                <w:sz w:val="20"/>
              </w:rPr>
            </w:pPr>
          </w:p>
          <w:p w:rsidR="000C48AE" w:rsidRPr="00400B61" w:rsidRDefault="000C48AE" w:rsidP="00B20AF5">
            <w:pPr>
              <w:pStyle w:val="RLdajeosmluvnstran"/>
              <w:jc w:val="left"/>
              <w:rPr>
                <w:rFonts w:ascii="Arial" w:hAnsi="Arial" w:cs="Arial"/>
                <w:sz w:val="20"/>
              </w:rPr>
            </w:pPr>
            <w:r w:rsidRPr="00400B61">
              <w:rPr>
                <w:noProof/>
              </w:rPr>
              <w:t xml:space="preserve">       </w:t>
            </w:r>
            <w:r w:rsidRPr="00400B61">
              <w:rPr>
                <w:rFonts w:ascii="Arial" w:hAnsi="Arial" w:cs="Arial"/>
                <w:sz w:val="20"/>
              </w:rPr>
              <w:t>V Praze dne …….………………</w:t>
            </w:r>
          </w:p>
          <w:p w:rsidR="000C48AE" w:rsidRDefault="000C48AE" w:rsidP="004910BB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0C48AE" w:rsidRPr="00A00F30" w:rsidRDefault="000C48AE" w:rsidP="004910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:rsidR="000C48AE" w:rsidRPr="00400B61" w:rsidRDefault="000C48AE" w:rsidP="004910BB">
            <w:pPr>
              <w:pStyle w:val="RLProhlensmluvnchstran"/>
              <w:rPr>
                <w:rFonts w:ascii="Arial" w:hAnsi="Arial" w:cs="Arial"/>
                <w:sz w:val="20"/>
              </w:rPr>
            </w:pPr>
            <w:r w:rsidRPr="00400B61">
              <w:rPr>
                <w:rFonts w:ascii="Arial" w:hAnsi="Arial" w:cs="Arial"/>
                <w:sz w:val="20"/>
              </w:rPr>
              <w:t>Objednatel</w:t>
            </w:r>
          </w:p>
          <w:p w:rsidR="000C48AE" w:rsidRPr="00400B61" w:rsidRDefault="000C48AE" w:rsidP="004910BB">
            <w:pPr>
              <w:pStyle w:val="RLdajeosmluvnstran"/>
              <w:rPr>
                <w:rFonts w:ascii="Arial" w:hAnsi="Arial" w:cs="Arial"/>
                <w:sz w:val="20"/>
              </w:rPr>
            </w:pPr>
          </w:p>
          <w:p w:rsidR="000C48AE" w:rsidRPr="00400B61" w:rsidRDefault="000C48AE" w:rsidP="00B20AF5">
            <w:pPr>
              <w:pStyle w:val="RLdajeosmluvnstran"/>
              <w:jc w:val="left"/>
              <w:rPr>
                <w:rFonts w:ascii="Arial" w:hAnsi="Arial" w:cs="Arial"/>
                <w:sz w:val="20"/>
              </w:rPr>
            </w:pPr>
            <w:r w:rsidRPr="00400B61">
              <w:rPr>
                <w:rFonts w:ascii="Arial" w:hAnsi="Arial" w:cs="Arial"/>
                <w:sz w:val="20"/>
              </w:rPr>
              <w:t>V Praze dne …….………………</w:t>
            </w:r>
          </w:p>
          <w:p w:rsidR="000C48AE" w:rsidRPr="00400B61" w:rsidRDefault="000C48AE" w:rsidP="004910BB">
            <w:pPr>
              <w:pStyle w:val="RLdajeosmluvnstran"/>
              <w:rPr>
                <w:rFonts w:ascii="Arial" w:hAnsi="Arial" w:cs="Arial"/>
                <w:sz w:val="20"/>
              </w:rPr>
            </w:pPr>
          </w:p>
          <w:p w:rsidR="000C48AE" w:rsidRPr="00400B61" w:rsidRDefault="000C48AE" w:rsidP="004910BB">
            <w:pPr>
              <w:pStyle w:val="RLdajeosmluvnstran"/>
              <w:rPr>
                <w:rFonts w:ascii="Arial" w:hAnsi="Arial" w:cs="Arial"/>
                <w:sz w:val="20"/>
              </w:rPr>
            </w:pPr>
          </w:p>
          <w:p w:rsidR="000C48AE" w:rsidRPr="00A00F30" w:rsidRDefault="000C48AE" w:rsidP="004910BB">
            <w:pPr>
              <w:rPr>
                <w:rFonts w:ascii="Arial" w:hAnsi="Arial" w:cs="Arial"/>
                <w:sz w:val="20"/>
              </w:rPr>
            </w:pPr>
          </w:p>
        </w:tc>
      </w:tr>
      <w:tr w:rsidR="000C48AE" w:rsidRPr="00A00F30" w:rsidTr="004910BB">
        <w:trPr>
          <w:jc w:val="center"/>
        </w:trPr>
        <w:tc>
          <w:tcPr>
            <w:tcW w:w="4605" w:type="dxa"/>
          </w:tcPr>
          <w:p w:rsidR="000C48AE" w:rsidRPr="00400B61" w:rsidRDefault="000C48AE" w:rsidP="004910BB">
            <w:pPr>
              <w:pStyle w:val="RLdajeosmluvnstran"/>
              <w:rPr>
                <w:rFonts w:ascii="Arial" w:hAnsi="Arial" w:cs="Arial"/>
                <w:sz w:val="20"/>
              </w:rPr>
            </w:pPr>
            <w:r w:rsidRPr="00400B61">
              <w:rPr>
                <w:rFonts w:ascii="Arial" w:hAnsi="Arial" w:cs="Arial"/>
                <w:sz w:val="20"/>
              </w:rPr>
              <w:t>.................................................................</w:t>
            </w:r>
          </w:p>
          <w:p w:rsidR="000C48AE" w:rsidRPr="00400B61" w:rsidRDefault="000C48AE" w:rsidP="004910BB">
            <w:pPr>
              <w:pStyle w:val="RLdajeosmluvnstran"/>
              <w:spacing w:after="60"/>
              <w:rPr>
                <w:rFonts w:ascii="Arial" w:hAnsi="Arial" w:cs="Arial"/>
              </w:rPr>
            </w:pPr>
            <w:r w:rsidRPr="00400B61">
              <w:rPr>
                <w:rFonts w:ascii="Arial" w:hAnsi="Arial" w:cs="Arial"/>
                <w:sz w:val="22"/>
              </w:rPr>
              <w:tab/>
            </w:r>
          </w:p>
          <w:p w:rsidR="000C48AE" w:rsidRPr="00400B61" w:rsidRDefault="000C48AE" w:rsidP="004910BB">
            <w:pPr>
              <w:pStyle w:val="RLdajeosmluvnstran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:rsidR="000C48AE" w:rsidRPr="00400B61" w:rsidRDefault="000C48AE" w:rsidP="004910BB">
            <w:pPr>
              <w:pStyle w:val="RLdajeosmluvnstran"/>
              <w:rPr>
                <w:rFonts w:ascii="Arial" w:hAnsi="Arial" w:cs="Arial"/>
                <w:sz w:val="20"/>
              </w:rPr>
            </w:pPr>
            <w:r w:rsidRPr="00400B61">
              <w:rPr>
                <w:rFonts w:ascii="Arial" w:hAnsi="Arial" w:cs="Arial"/>
                <w:sz w:val="20"/>
              </w:rPr>
              <w:t>.................................................................</w:t>
            </w:r>
          </w:p>
          <w:p w:rsidR="000C48AE" w:rsidRPr="00400B61" w:rsidRDefault="000C48AE" w:rsidP="004910BB">
            <w:pPr>
              <w:pStyle w:val="RLdajeosmluvnstran"/>
              <w:rPr>
                <w:rFonts w:ascii="Arial" w:hAnsi="Arial" w:cs="Arial"/>
                <w:b/>
              </w:rPr>
            </w:pPr>
            <w:r w:rsidRPr="00400B61">
              <w:rPr>
                <w:rFonts w:ascii="Arial" w:hAnsi="Arial" w:cs="Arial"/>
                <w:b/>
                <w:sz w:val="22"/>
              </w:rPr>
              <w:t>Česká republika – Ministerstvo financí</w:t>
            </w:r>
          </w:p>
          <w:p w:rsidR="000C48AE" w:rsidRPr="00400B61" w:rsidRDefault="000C48AE" w:rsidP="004910BB">
            <w:pPr>
              <w:pStyle w:val="RLdajeosmluvnstran"/>
              <w:rPr>
                <w:rFonts w:ascii="Arial" w:hAnsi="Arial" w:cs="Arial"/>
                <w:sz w:val="20"/>
              </w:rPr>
            </w:pPr>
            <w:r w:rsidRPr="00400B61">
              <w:rPr>
                <w:rFonts w:ascii="Arial" w:hAnsi="Arial" w:cs="Arial"/>
                <w:sz w:val="20"/>
              </w:rPr>
              <w:t>…………………………………….</w:t>
            </w:r>
          </w:p>
          <w:p w:rsidR="000C48AE" w:rsidRPr="00400B61" w:rsidRDefault="000C48AE" w:rsidP="004910BB">
            <w:pPr>
              <w:pStyle w:val="RLdajeosmluvnstran"/>
              <w:rPr>
                <w:rFonts w:ascii="Arial" w:hAnsi="Arial" w:cs="Arial"/>
                <w:sz w:val="20"/>
              </w:rPr>
            </w:pPr>
            <w:r w:rsidRPr="00400B61">
              <w:rPr>
                <w:rFonts w:ascii="Arial" w:hAnsi="Arial" w:cs="Arial"/>
                <w:sz w:val="20"/>
              </w:rPr>
              <w:t>……………………………..</w:t>
            </w:r>
          </w:p>
        </w:tc>
      </w:tr>
    </w:tbl>
    <w:p w:rsidR="000C48AE" w:rsidRPr="00646390" w:rsidRDefault="000C48AE" w:rsidP="00571230">
      <w:pPr>
        <w:pStyle w:val="BidNadpis2"/>
        <w:pageBreakBefore/>
        <w:numPr>
          <w:ilvl w:val="0"/>
          <w:numId w:val="0"/>
        </w:numPr>
        <w:tabs>
          <w:tab w:val="right" w:pos="9214"/>
        </w:tabs>
        <w:spacing w:before="120" w:after="0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Příloha č. 1</w:t>
      </w:r>
      <w:r w:rsidRPr="00646390">
        <w:rPr>
          <w:sz w:val="22"/>
          <w:szCs w:val="22"/>
          <w:lang w:val="cs-CZ"/>
        </w:rPr>
        <w:t xml:space="preserve"> – Specifikace Služby </w:t>
      </w:r>
      <w:r w:rsidRPr="0043355A">
        <w:rPr>
          <w:color w:val="000000"/>
          <w:sz w:val="22"/>
          <w:szCs w:val="22"/>
          <w:lang w:val="cs-CZ"/>
        </w:rPr>
        <w:t>připojení lokality do prostředí IP MPLS VPN.</w:t>
      </w:r>
    </w:p>
    <w:p w:rsidR="000C48AE" w:rsidRPr="00646390" w:rsidRDefault="000C48AE" w:rsidP="00571230">
      <w:pPr>
        <w:rPr>
          <w:rFonts w:ascii="Arial" w:hAnsi="Arial" w:cs="Arial"/>
          <w:sz w:val="22"/>
          <w:szCs w:val="22"/>
        </w:rPr>
      </w:pPr>
    </w:p>
    <w:p w:rsidR="000C48AE" w:rsidRPr="00646390" w:rsidRDefault="000C48AE" w:rsidP="00571230">
      <w:pPr>
        <w:rPr>
          <w:rFonts w:ascii="Arial" w:hAnsi="Arial" w:cs="Arial"/>
          <w:b/>
          <w:sz w:val="22"/>
          <w:szCs w:val="22"/>
          <w:u w:val="single"/>
        </w:rPr>
      </w:pPr>
      <w:r w:rsidRPr="00646390">
        <w:rPr>
          <w:rFonts w:ascii="Arial" w:hAnsi="Arial" w:cs="Arial"/>
          <w:b/>
          <w:sz w:val="22"/>
          <w:szCs w:val="22"/>
          <w:u w:val="single"/>
        </w:rPr>
        <w:t>1.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646390">
        <w:rPr>
          <w:rFonts w:ascii="Arial" w:hAnsi="Arial" w:cs="Arial"/>
          <w:b/>
          <w:sz w:val="22"/>
          <w:szCs w:val="22"/>
          <w:u w:val="single"/>
        </w:rPr>
        <w:t xml:space="preserve"> Seznam zkratek a výklad pojmů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542"/>
      </w:tblGrid>
      <w:tr w:rsidR="000C48AE" w:rsidRPr="00646390" w:rsidTr="004910BB">
        <w:tc>
          <w:tcPr>
            <w:tcW w:w="1668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>MF</w:t>
            </w:r>
          </w:p>
        </w:tc>
        <w:tc>
          <w:tcPr>
            <w:tcW w:w="7542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>Ministerstvo financí</w:t>
            </w:r>
          </w:p>
        </w:tc>
      </w:tr>
      <w:tr w:rsidR="000C48AE" w:rsidRPr="00646390" w:rsidTr="004910BB">
        <w:tc>
          <w:tcPr>
            <w:tcW w:w="1668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>ZoEK</w:t>
            </w:r>
          </w:p>
        </w:tc>
        <w:tc>
          <w:tcPr>
            <w:tcW w:w="7542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>Zákon č. 127/2005 Sb., o elektronických komunikacích, v platném znění</w:t>
            </w:r>
          </w:p>
        </w:tc>
      </w:tr>
      <w:tr w:rsidR="000C48AE" w:rsidRPr="00646390" w:rsidTr="004910BB">
        <w:tc>
          <w:tcPr>
            <w:tcW w:w="1668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>SLA</w:t>
            </w:r>
          </w:p>
        </w:tc>
        <w:tc>
          <w:tcPr>
            <w:tcW w:w="7542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>Garantovaná úroveň poskytovaných služeb (Service Level Agreement)</w:t>
            </w:r>
          </w:p>
        </w:tc>
      </w:tr>
      <w:tr w:rsidR="000C48AE" w:rsidRPr="00646390" w:rsidTr="004910BB">
        <w:tc>
          <w:tcPr>
            <w:tcW w:w="1668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>QoS</w:t>
            </w:r>
          </w:p>
        </w:tc>
        <w:tc>
          <w:tcPr>
            <w:tcW w:w="7542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>Quality of Services</w:t>
            </w:r>
          </w:p>
        </w:tc>
      </w:tr>
      <w:tr w:rsidR="000C48AE" w:rsidRPr="00646390" w:rsidTr="004910BB">
        <w:tc>
          <w:tcPr>
            <w:tcW w:w="1668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>FS</w:t>
            </w:r>
          </w:p>
        </w:tc>
        <w:tc>
          <w:tcPr>
            <w:tcW w:w="7542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 xml:space="preserve">Finanční správa </w:t>
            </w:r>
          </w:p>
        </w:tc>
      </w:tr>
      <w:tr w:rsidR="000C48AE" w:rsidRPr="00646390" w:rsidTr="004910BB">
        <w:tc>
          <w:tcPr>
            <w:tcW w:w="1668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7542" w:type="dxa"/>
          </w:tcPr>
          <w:p w:rsidR="000C48AE" w:rsidRPr="00646390" w:rsidRDefault="000C48AE" w:rsidP="004910BB">
            <w:pPr>
              <w:rPr>
                <w:rFonts w:ascii="Arial" w:hAnsi="Arial" w:cs="Arial"/>
              </w:rPr>
            </w:pPr>
            <w:r w:rsidRPr="00646390">
              <w:rPr>
                <w:rFonts w:ascii="Arial" w:hAnsi="Arial" w:cs="Arial"/>
                <w:sz w:val="22"/>
                <w:szCs w:val="22"/>
              </w:rPr>
              <w:t>Celní správa</w:t>
            </w:r>
          </w:p>
        </w:tc>
      </w:tr>
    </w:tbl>
    <w:p w:rsidR="000C48AE" w:rsidRPr="00646390" w:rsidRDefault="000C48AE" w:rsidP="00571230">
      <w:pPr>
        <w:rPr>
          <w:rFonts w:ascii="Arial" w:hAnsi="Arial" w:cs="Arial"/>
          <w:sz w:val="22"/>
          <w:szCs w:val="22"/>
        </w:rPr>
      </w:pPr>
    </w:p>
    <w:p w:rsidR="000C48AE" w:rsidRPr="00646390" w:rsidRDefault="000C48AE" w:rsidP="00B20AF5">
      <w:pPr>
        <w:jc w:val="both"/>
        <w:rPr>
          <w:rFonts w:ascii="Arial" w:hAnsi="Arial" w:cs="Arial"/>
          <w:sz w:val="22"/>
          <w:szCs w:val="22"/>
        </w:rPr>
      </w:pPr>
      <w:r w:rsidRPr="00646390">
        <w:rPr>
          <w:rFonts w:ascii="Arial" w:hAnsi="Arial" w:cs="Arial"/>
          <w:b/>
          <w:sz w:val="22"/>
          <w:szCs w:val="22"/>
        </w:rPr>
        <w:t xml:space="preserve">Služba – </w:t>
      </w:r>
      <w:r w:rsidRPr="00646390">
        <w:rPr>
          <w:rFonts w:ascii="Arial" w:hAnsi="Arial" w:cs="Arial"/>
          <w:sz w:val="22"/>
          <w:szCs w:val="22"/>
        </w:rPr>
        <w:t>služby elektronických komunikací, jako předmět této Smlouvy</w:t>
      </w:r>
    </w:p>
    <w:p w:rsidR="000C48AE" w:rsidRPr="00646390" w:rsidRDefault="000C48AE" w:rsidP="00B20AF5">
      <w:pPr>
        <w:jc w:val="both"/>
        <w:rPr>
          <w:rFonts w:ascii="Arial" w:hAnsi="Arial" w:cs="Arial"/>
          <w:sz w:val="22"/>
          <w:szCs w:val="22"/>
        </w:rPr>
      </w:pPr>
      <w:r w:rsidRPr="00646390">
        <w:rPr>
          <w:rFonts w:ascii="Arial" w:hAnsi="Arial" w:cs="Arial"/>
          <w:b/>
          <w:sz w:val="22"/>
          <w:szCs w:val="22"/>
        </w:rPr>
        <w:t>KIMFIDD</w:t>
      </w:r>
      <w:r w:rsidRPr="00646390">
        <w:rPr>
          <w:rFonts w:ascii="Arial" w:hAnsi="Arial" w:cs="Arial"/>
          <w:sz w:val="22"/>
          <w:szCs w:val="22"/>
        </w:rPr>
        <w:t xml:space="preserve"> – jednoznačný identifikátor Služby komunikační infrastruktury MF </w:t>
      </w:r>
    </w:p>
    <w:p w:rsidR="000C48AE" w:rsidRPr="00646390" w:rsidRDefault="000C48AE" w:rsidP="00B20AF5">
      <w:pPr>
        <w:jc w:val="both"/>
        <w:rPr>
          <w:rFonts w:ascii="Arial" w:hAnsi="Arial" w:cs="Arial"/>
          <w:sz w:val="22"/>
          <w:szCs w:val="22"/>
        </w:rPr>
      </w:pPr>
      <w:r w:rsidRPr="00646390">
        <w:rPr>
          <w:rFonts w:ascii="Arial" w:hAnsi="Arial" w:cs="Arial"/>
          <w:b/>
          <w:sz w:val="22"/>
          <w:szCs w:val="22"/>
        </w:rPr>
        <w:t xml:space="preserve">Lokalita </w:t>
      </w:r>
      <w:r w:rsidRPr="00646390">
        <w:rPr>
          <w:rFonts w:ascii="Arial" w:hAnsi="Arial" w:cs="Arial"/>
          <w:sz w:val="22"/>
          <w:szCs w:val="22"/>
        </w:rPr>
        <w:t>– adresní údaj o místě plnění Služby</w:t>
      </w:r>
    </w:p>
    <w:p w:rsidR="000C48AE" w:rsidRPr="00646390" w:rsidRDefault="000C48AE" w:rsidP="00B20AF5">
      <w:pPr>
        <w:jc w:val="both"/>
        <w:rPr>
          <w:rFonts w:ascii="Arial" w:hAnsi="Arial" w:cs="Arial"/>
          <w:sz w:val="22"/>
          <w:szCs w:val="22"/>
        </w:rPr>
      </w:pPr>
      <w:r w:rsidRPr="00646390">
        <w:rPr>
          <w:rFonts w:ascii="Arial" w:hAnsi="Arial" w:cs="Arial"/>
          <w:b/>
          <w:sz w:val="22"/>
          <w:szCs w:val="22"/>
        </w:rPr>
        <w:t xml:space="preserve">Parametrika </w:t>
      </w:r>
      <w:r w:rsidRPr="00646390">
        <w:rPr>
          <w:rFonts w:ascii="Arial" w:hAnsi="Arial" w:cs="Arial"/>
          <w:sz w:val="22"/>
          <w:szCs w:val="22"/>
        </w:rPr>
        <w:t>– technické parametry Služby (např. šířka pásma, typ ukončení, interface …)</w:t>
      </w:r>
    </w:p>
    <w:p w:rsidR="000C48AE" w:rsidRPr="00646390" w:rsidRDefault="000C48AE" w:rsidP="00B20AF5">
      <w:pPr>
        <w:jc w:val="both"/>
        <w:rPr>
          <w:rFonts w:ascii="Arial" w:hAnsi="Arial" w:cs="Arial"/>
          <w:sz w:val="22"/>
          <w:szCs w:val="22"/>
        </w:rPr>
      </w:pPr>
      <w:r w:rsidRPr="00646390">
        <w:rPr>
          <w:rFonts w:ascii="Arial" w:hAnsi="Arial" w:cs="Arial"/>
          <w:b/>
          <w:sz w:val="22"/>
          <w:szCs w:val="22"/>
        </w:rPr>
        <w:t>Kvalitativní ukazatele</w:t>
      </w:r>
      <w:r w:rsidRPr="00646390">
        <w:rPr>
          <w:rFonts w:ascii="Arial" w:hAnsi="Arial" w:cs="Arial"/>
          <w:sz w:val="22"/>
          <w:szCs w:val="22"/>
        </w:rPr>
        <w:t xml:space="preserve"> – dostupnost (SLA), bezpečnost, QoS Služby,  </w:t>
      </w:r>
    </w:p>
    <w:p w:rsidR="000C48AE" w:rsidRPr="00646390" w:rsidRDefault="000C48AE" w:rsidP="00B20AF5">
      <w:pPr>
        <w:jc w:val="both"/>
        <w:rPr>
          <w:rFonts w:ascii="Arial" w:hAnsi="Arial" w:cs="Arial"/>
          <w:sz w:val="22"/>
          <w:szCs w:val="22"/>
        </w:rPr>
      </w:pPr>
      <w:r w:rsidRPr="00646390">
        <w:rPr>
          <w:rFonts w:ascii="Arial" w:hAnsi="Arial" w:cs="Arial"/>
          <w:b/>
          <w:sz w:val="22"/>
          <w:szCs w:val="22"/>
        </w:rPr>
        <w:t xml:space="preserve">Cena Služby – </w:t>
      </w:r>
      <w:r w:rsidRPr="00646390">
        <w:rPr>
          <w:rFonts w:ascii="Arial" w:hAnsi="Arial" w:cs="Arial"/>
          <w:sz w:val="22"/>
          <w:szCs w:val="22"/>
        </w:rPr>
        <w:t>cena za poskytovanou Službu za celé období platnosti Smlouvy členěná dle</w:t>
      </w:r>
      <w:r>
        <w:rPr>
          <w:rFonts w:ascii="Arial" w:hAnsi="Arial" w:cs="Arial"/>
          <w:sz w:val="22"/>
          <w:szCs w:val="22"/>
        </w:rPr>
        <w:t> </w:t>
      </w:r>
      <w:r w:rsidRPr="00646390">
        <w:rPr>
          <w:rFonts w:ascii="Arial" w:hAnsi="Arial" w:cs="Arial"/>
          <w:sz w:val="22"/>
          <w:szCs w:val="22"/>
        </w:rPr>
        <w:t>Objednatele</w:t>
      </w:r>
    </w:p>
    <w:p w:rsidR="000C48AE" w:rsidRPr="00646390" w:rsidRDefault="000C48AE" w:rsidP="00B20AF5">
      <w:pPr>
        <w:jc w:val="both"/>
        <w:rPr>
          <w:rFonts w:ascii="Arial" w:hAnsi="Arial" w:cs="Arial"/>
          <w:sz w:val="22"/>
          <w:szCs w:val="22"/>
        </w:rPr>
      </w:pPr>
      <w:r w:rsidRPr="00646390">
        <w:rPr>
          <w:rFonts w:ascii="Arial" w:hAnsi="Arial" w:cs="Arial"/>
          <w:b/>
          <w:sz w:val="22"/>
          <w:szCs w:val="22"/>
        </w:rPr>
        <w:t>Instalační</w:t>
      </w:r>
      <w:r>
        <w:rPr>
          <w:rFonts w:ascii="Arial" w:hAnsi="Arial" w:cs="Arial"/>
          <w:b/>
          <w:sz w:val="22"/>
          <w:szCs w:val="22"/>
        </w:rPr>
        <w:t>/zřizovací</w:t>
      </w:r>
      <w:r w:rsidRPr="00646390">
        <w:rPr>
          <w:rFonts w:ascii="Arial" w:hAnsi="Arial" w:cs="Arial"/>
          <w:b/>
          <w:sz w:val="22"/>
          <w:szCs w:val="22"/>
        </w:rPr>
        <w:t xml:space="preserve"> poplatek</w:t>
      </w:r>
      <w:r w:rsidRPr="00646390">
        <w:rPr>
          <w:rFonts w:ascii="Arial" w:hAnsi="Arial" w:cs="Arial"/>
          <w:sz w:val="22"/>
          <w:szCs w:val="22"/>
        </w:rPr>
        <w:t xml:space="preserve"> – cena za zavedení či přeložení dané Služby, za zavedení nové Služby nebo za jinou změnu Služby (hrazen</w:t>
      </w:r>
      <w:r>
        <w:rPr>
          <w:rFonts w:ascii="Arial" w:hAnsi="Arial" w:cs="Arial"/>
          <w:sz w:val="22"/>
          <w:szCs w:val="22"/>
        </w:rPr>
        <w:t>o</w:t>
      </w:r>
      <w:r w:rsidRPr="00646390">
        <w:rPr>
          <w:rFonts w:ascii="Arial" w:hAnsi="Arial" w:cs="Arial"/>
          <w:sz w:val="22"/>
          <w:szCs w:val="22"/>
        </w:rPr>
        <w:t xml:space="preserve"> jednorázově)</w:t>
      </w:r>
    </w:p>
    <w:p w:rsidR="000C48AE" w:rsidRPr="00646390" w:rsidRDefault="000C48AE" w:rsidP="00B20AF5">
      <w:pPr>
        <w:jc w:val="both"/>
        <w:rPr>
          <w:rFonts w:ascii="Arial" w:hAnsi="Arial" w:cs="Arial"/>
          <w:sz w:val="22"/>
          <w:szCs w:val="22"/>
        </w:rPr>
      </w:pPr>
      <w:r w:rsidRPr="00646390">
        <w:rPr>
          <w:rFonts w:ascii="Arial" w:hAnsi="Arial" w:cs="Arial"/>
          <w:b/>
          <w:sz w:val="22"/>
          <w:szCs w:val="22"/>
        </w:rPr>
        <w:t>Měsíční paušál (cena)</w:t>
      </w:r>
      <w:r w:rsidRPr="00646390">
        <w:rPr>
          <w:rFonts w:ascii="Arial" w:hAnsi="Arial" w:cs="Arial"/>
          <w:sz w:val="22"/>
          <w:szCs w:val="22"/>
        </w:rPr>
        <w:t xml:space="preserve"> – cena dané Služby za její poskytování </w:t>
      </w:r>
      <w:r>
        <w:rPr>
          <w:rFonts w:ascii="Arial" w:hAnsi="Arial" w:cs="Arial"/>
          <w:sz w:val="22"/>
          <w:szCs w:val="22"/>
        </w:rPr>
        <w:t>a provozování</w:t>
      </w:r>
    </w:p>
    <w:p w:rsidR="000C48AE" w:rsidRPr="00646390" w:rsidRDefault="000C48AE" w:rsidP="00B20AF5">
      <w:pPr>
        <w:jc w:val="both"/>
        <w:rPr>
          <w:rFonts w:ascii="Arial" w:hAnsi="Arial" w:cs="Arial"/>
          <w:sz w:val="22"/>
          <w:szCs w:val="22"/>
        </w:rPr>
      </w:pPr>
      <w:r w:rsidRPr="00646390">
        <w:rPr>
          <w:rFonts w:ascii="Arial" w:hAnsi="Arial" w:cs="Arial"/>
          <w:b/>
          <w:sz w:val="22"/>
          <w:szCs w:val="22"/>
        </w:rPr>
        <w:t>Podklad pro vyúčtování ceny</w:t>
      </w:r>
      <w:r w:rsidRPr="00646390">
        <w:rPr>
          <w:rFonts w:ascii="Arial" w:hAnsi="Arial" w:cs="Arial"/>
          <w:sz w:val="22"/>
          <w:szCs w:val="22"/>
        </w:rPr>
        <w:t xml:space="preserve"> – elektronický výpis poskytovaných Služ</w:t>
      </w:r>
      <w:r>
        <w:rPr>
          <w:rFonts w:ascii="Arial" w:hAnsi="Arial" w:cs="Arial"/>
          <w:sz w:val="22"/>
          <w:szCs w:val="22"/>
        </w:rPr>
        <w:t>e</w:t>
      </w:r>
      <w:r w:rsidRPr="00646390">
        <w:rPr>
          <w:rFonts w:ascii="Arial" w:hAnsi="Arial" w:cs="Arial"/>
          <w:sz w:val="22"/>
          <w:szCs w:val="22"/>
        </w:rPr>
        <w:t xml:space="preserve">b za uplynulé časové období (kalendářní měsíc), zasílaný Poskytovatelem ke kontrole Objednateli/ uživatelům </w:t>
      </w:r>
      <w:r>
        <w:rPr>
          <w:rFonts w:ascii="Arial" w:hAnsi="Arial" w:cs="Arial"/>
          <w:sz w:val="22"/>
          <w:szCs w:val="22"/>
        </w:rPr>
        <w:t>před vystavením konečné faktury</w:t>
      </w:r>
    </w:p>
    <w:p w:rsidR="000C48AE" w:rsidRDefault="000C48AE" w:rsidP="00B20AF5">
      <w:pPr>
        <w:jc w:val="both"/>
        <w:rPr>
          <w:rFonts w:ascii="Arial" w:hAnsi="Arial" w:cs="Arial"/>
          <w:sz w:val="22"/>
          <w:szCs w:val="22"/>
        </w:rPr>
      </w:pPr>
      <w:r w:rsidRPr="00646390">
        <w:rPr>
          <w:rFonts w:ascii="Arial" w:hAnsi="Arial" w:cs="Arial"/>
          <w:b/>
          <w:sz w:val="22"/>
          <w:szCs w:val="22"/>
        </w:rPr>
        <w:t>Předávací protokol</w:t>
      </w:r>
      <w:r w:rsidRPr="00646390">
        <w:rPr>
          <w:rFonts w:ascii="Arial" w:hAnsi="Arial" w:cs="Arial"/>
          <w:sz w:val="22"/>
          <w:szCs w:val="22"/>
        </w:rPr>
        <w:t xml:space="preserve"> – zápis o zavedení, přemístění nebo jiné změně Služby, podepsaný oprávněnou osobou (nebo jí jmenovaným zástupcem) Objednatele/Koncového uživatele. Musí obsahovat jednoznačnou identifikaci Služby, datum jejího zprovoznění, výsledek testování funkčn</w:t>
      </w:r>
      <w:r>
        <w:rPr>
          <w:rFonts w:ascii="Arial" w:hAnsi="Arial" w:cs="Arial"/>
          <w:sz w:val="22"/>
          <w:szCs w:val="22"/>
        </w:rPr>
        <w:t>ostí a podpisy oprávněných osob</w:t>
      </w:r>
    </w:p>
    <w:p w:rsidR="000C48AE" w:rsidRDefault="000C48AE" w:rsidP="00571230">
      <w:pPr>
        <w:rPr>
          <w:rFonts w:ascii="Arial" w:hAnsi="Arial" w:cs="Arial"/>
          <w:sz w:val="22"/>
          <w:szCs w:val="22"/>
        </w:rPr>
      </w:pPr>
    </w:p>
    <w:p w:rsidR="000C48AE" w:rsidRDefault="000C48AE" w:rsidP="00571230">
      <w:pPr>
        <w:rPr>
          <w:rFonts w:ascii="Arial" w:hAnsi="Arial" w:cs="Arial"/>
          <w:sz w:val="22"/>
          <w:szCs w:val="22"/>
        </w:rPr>
      </w:pPr>
    </w:p>
    <w:p w:rsidR="000C48AE" w:rsidRDefault="000C48AE" w:rsidP="00571230">
      <w:pPr>
        <w:rPr>
          <w:rFonts w:ascii="Arial" w:hAnsi="Arial" w:cs="Arial"/>
          <w:sz w:val="22"/>
          <w:szCs w:val="22"/>
        </w:rPr>
      </w:pPr>
    </w:p>
    <w:p w:rsidR="000C48AE" w:rsidRDefault="000C48AE" w:rsidP="00571230">
      <w:pPr>
        <w:rPr>
          <w:rFonts w:ascii="Arial" w:hAnsi="Arial" w:cs="Arial"/>
          <w:sz w:val="22"/>
          <w:szCs w:val="22"/>
        </w:rPr>
      </w:pPr>
    </w:p>
    <w:p w:rsidR="000C48AE" w:rsidRDefault="000C48AE" w:rsidP="00571230">
      <w:pPr>
        <w:rPr>
          <w:rFonts w:ascii="Arial" w:hAnsi="Arial" w:cs="Arial"/>
          <w:sz w:val="22"/>
          <w:szCs w:val="22"/>
        </w:rPr>
      </w:pPr>
    </w:p>
    <w:p w:rsidR="000C48AE" w:rsidRDefault="000C48AE" w:rsidP="00571230">
      <w:pPr>
        <w:rPr>
          <w:rFonts w:ascii="Arial" w:hAnsi="Arial" w:cs="Arial"/>
          <w:sz w:val="22"/>
          <w:szCs w:val="22"/>
        </w:rPr>
      </w:pPr>
    </w:p>
    <w:p w:rsidR="000C48AE" w:rsidRDefault="000C48AE" w:rsidP="00571230">
      <w:pPr>
        <w:rPr>
          <w:rFonts w:ascii="Arial" w:hAnsi="Arial" w:cs="Arial"/>
          <w:sz w:val="22"/>
          <w:szCs w:val="22"/>
        </w:rPr>
      </w:pPr>
    </w:p>
    <w:p w:rsidR="000C48AE" w:rsidRDefault="000C48AE" w:rsidP="00571230">
      <w:pPr>
        <w:rPr>
          <w:rFonts w:ascii="Arial" w:hAnsi="Arial" w:cs="Arial"/>
          <w:sz w:val="22"/>
          <w:szCs w:val="22"/>
        </w:rPr>
      </w:pPr>
    </w:p>
    <w:p w:rsidR="000C48AE" w:rsidRDefault="000C48AE" w:rsidP="00571230">
      <w:pPr>
        <w:rPr>
          <w:rFonts w:ascii="Arial" w:hAnsi="Arial" w:cs="Arial"/>
          <w:sz w:val="22"/>
          <w:szCs w:val="22"/>
        </w:rPr>
      </w:pPr>
    </w:p>
    <w:p w:rsidR="000C48AE" w:rsidRPr="00DA0424" w:rsidRDefault="000C48AE" w:rsidP="00247770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16"/>
          <w:szCs w:val="16"/>
        </w:rPr>
      </w:pPr>
    </w:p>
    <w:p w:rsidR="000C48AE" w:rsidRPr="00646390" w:rsidRDefault="000C48AE" w:rsidP="00686651">
      <w:pPr>
        <w:jc w:val="both"/>
        <w:rPr>
          <w:rFonts w:ascii="Arial" w:hAnsi="Arial" w:cs="Arial"/>
          <w:sz w:val="20"/>
          <w:szCs w:val="20"/>
        </w:rPr>
        <w:sectPr w:rsidR="000C48AE" w:rsidRPr="00646390" w:rsidSect="002D3643">
          <w:footerReference w:type="default" r:id="rId8"/>
          <w:footerReference w:type="first" r:id="rId9"/>
          <w:pgSz w:w="11906" w:h="16838" w:code="9"/>
          <w:pgMar w:top="1560" w:right="1418" w:bottom="1418" w:left="1418" w:header="709" w:footer="709" w:gutter="0"/>
          <w:cols w:space="708"/>
          <w:titlePg/>
          <w:docGrid w:linePitch="360"/>
        </w:sectPr>
      </w:pPr>
      <w:bookmarkStart w:id="0" w:name="OLE_LINK1"/>
    </w:p>
    <w:p w:rsidR="000C48AE" w:rsidRPr="0083074E" w:rsidRDefault="000C48AE" w:rsidP="00CA1279">
      <w:pPr>
        <w:numPr>
          <w:ilvl w:val="1"/>
          <w:numId w:val="17"/>
        </w:numPr>
        <w:rPr>
          <w:rFonts w:ascii="Times New Roman" w:hAnsi="Times New Roman"/>
          <w:b/>
          <w:szCs w:val="20"/>
          <w:u w:val="single"/>
        </w:rPr>
      </w:pPr>
      <w:bookmarkStart w:id="1" w:name="RANGE!A1:X70"/>
      <w:bookmarkEnd w:id="1"/>
      <w:bookmarkEnd w:id="0"/>
      <w:r>
        <w:rPr>
          <w:rFonts w:ascii="Times New Roman" w:hAnsi="Times New Roman"/>
          <w:b/>
          <w:szCs w:val="20"/>
          <w:u w:val="single"/>
        </w:rPr>
        <w:t xml:space="preserve"> </w:t>
      </w:r>
      <w:r w:rsidRPr="0083074E">
        <w:rPr>
          <w:rFonts w:ascii="Times New Roman" w:hAnsi="Times New Roman"/>
          <w:b/>
          <w:szCs w:val="20"/>
          <w:u w:val="single"/>
        </w:rPr>
        <w:t>Rozsah  a místo  poskytované Služby – technické parametry  a ceny</w:t>
      </w:r>
    </w:p>
    <w:p w:rsidR="000C48AE" w:rsidRPr="0083074E" w:rsidRDefault="000C48AE" w:rsidP="00CA1279">
      <w:pPr>
        <w:pStyle w:val="Popisky"/>
        <w:jc w:val="both"/>
        <w:rPr>
          <w:rFonts w:ascii="Times New Roman" w:hAnsi="Times New Roman"/>
          <w:bCs/>
          <w:sz w:val="24"/>
        </w:rPr>
      </w:pPr>
      <w:r w:rsidRPr="00E418A3">
        <w:rPr>
          <w:rFonts w:ascii="Times New Roman" w:hAnsi="Times New Roman"/>
          <w:sz w:val="24"/>
          <w:szCs w:val="24"/>
        </w:rPr>
        <w:t xml:space="preserve">Předmětem plnění této veřejné zakázky malého rozsahu </w:t>
      </w:r>
      <w:r w:rsidRPr="00572018">
        <w:rPr>
          <w:rFonts w:ascii="Times New Roman" w:hAnsi="Times New Roman"/>
          <w:sz w:val="24"/>
          <w:szCs w:val="24"/>
          <w:u w:val="single"/>
        </w:rPr>
        <w:t>je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18A3">
        <w:rPr>
          <w:rFonts w:ascii="Times New Roman" w:hAnsi="Times New Roman"/>
          <w:bCs/>
          <w:sz w:val="24"/>
        </w:rPr>
        <w:t xml:space="preserve">v rámci datových služeb pro potřeby </w:t>
      </w:r>
      <w:r>
        <w:rPr>
          <w:rFonts w:ascii="Times New Roman" w:hAnsi="Times New Roman"/>
          <w:bCs/>
          <w:sz w:val="24"/>
        </w:rPr>
        <w:t xml:space="preserve"> resortu MF  </w:t>
      </w:r>
      <w:bookmarkStart w:id="2" w:name="_Toc352676115"/>
      <w:r>
        <w:rPr>
          <w:rFonts w:ascii="Times New Roman" w:hAnsi="Times New Roman"/>
          <w:b/>
          <w:bCs/>
          <w:sz w:val="24"/>
        </w:rPr>
        <w:t>zř</w:t>
      </w:r>
      <w:r w:rsidRPr="0083074E">
        <w:rPr>
          <w:rFonts w:ascii="Times New Roman" w:hAnsi="Times New Roman"/>
          <w:b/>
          <w:bCs/>
          <w:sz w:val="24"/>
        </w:rPr>
        <w:t>ízení nov</w:t>
      </w:r>
      <w:r>
        <w:rPr>
          <w:rFonts w:ascii="Times New Roman" w:hAnsi="Times New Roman"/>
          <w:b/>
          <w:bCs/>
          <w:sz w:val="24"/>
        </w:rPr>
        <w:t>é</w:t>
      </w:r>
      <w:r w:rsidRPr="0083074E">
        <w:rPr>
          <w:rFonts w:ascii="Times New Roman" w:hAnsi="Times New Roman"/>
          <w:b/>
          <w:bCs/>
          <w:sz w:val="24"/>
        </w:rPr>
        <w:t xml:space="preserve"> IP MPLS VPN  přípojk</w:t>
      </w:r>
      <w:r>
        <w:rPr>
          <w:rFonts w:ascii="Times New Roman" w:hAnsi="Times New Roman"/>
          <w:b/>
          <w:bCs/>
          <w:sz w:val="24"/>
        </w:rPr>
        <w:t>y</w:t>
      </w:r>
      <w:r w:rsidRPr="0083074E">
        <w:rPr>
          <w:rFonts w:ascii="Times New Roman" w:hAnsi="Times New Roman"/>
          <w:b/>
          <w:bCs/>
          <w:sz w:val="24"/>
        </w:rPr>
        <w:t xml:space="preserve"> pro pracoviště FS  s identifikátorem KIMFIDD_402</w:t>
      </w:r>
      <w:r>
        <w:rPr>
          <w:rFonts w:ascii="Times New Roman" w:hAnsi="Times New Roman"/>
          <w:b/>
          <w:bCs/>
          <w:sz w:val="24"/>
        </w:rPr>
        <w:t>6</w:t>
      </w:r>
    </w:p>
    <w:bookmarkEnd w:id="2"/>
    <w:p w:rsidR="000C48AE" w:rsidRDefault="000C48AE" w:rsidP="00CA1279">
      <w:pPr>
        <w:pStyle w:val="Popisky"/>
        <w:ind w:hanging="993"/>
        <w:jc w:val="both"/>
        <w:rPr>
          <w:sz w:val="24"/>
        </w:rPr>
      </w:pPr>
    </w:p>
    <w:tbl>
      <w:tblPr>
        <w:tblpPr w:leftFromText="142" w:rightFromText="142" w:vertAnchor="text" w:horzAnchor="margin" w:tblpXSpec="center" w:tblpY="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61"/>
        <w:gridCol w:w="998"/>
        <w:gridCol w:w="1104"/>
        <w:gridCol w:w="1496"/>
        <w:gridCol w:w="1167"/>
        <w:gridCol w:w="1218"/>
        <w:gridCol w:w="998"/>
        <w:gridCol w:w="998"/>
        <w:gridCol w:w="1180"/>
        <w:gridCol w:w="1150"/>
        <w:gridCol w:w="923"/>
        <w:gridCol w:w="1032"/>
        <w:gridCol w:w="998"/>
        <w:gridCol w:w="1331"/>
        <w:gridCol w:w="1382"/>
        <w:gridCol w:w="944"/>
        <w:gridCol w:w="1382"/>
        <w:gridCol w:w="1403"/>
      </w:tblGrid>
      <w:tr w:rsidR="000C48AE" w:rsidRPr="007503DA" w:rsidTr="008C3C94">
        <w:trPr>
          <w:trHeight w:val="300"/>
        </w:trPr>
        <w:tc>
          <w:tcPr>
            <w:tcW w:w="323" w:type="pct"/>
            <w:vMerge w:val="restart"/>
            <w:shd w:val="clear" w:color="000000" w:fill="C0C0C0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KIMFIDD</w:t>
            </w:r>
          </w:p>
        </w:tc>
        <w:tc>
          <w:tcPr>
            <w:tcW w:w="237" w:type="pct"/>
            <w:vMerge w:val="restart"/>
            <w:shd w:val="clear" w:color="000000" w:fill="C0C0C0"/>
            <w:textDirection w:val="btLr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Kód koncového uživatele</w:t>
            </w:r>
          </w:p>
        </w:tc>
        <w:tc>
          <w:tcPr>
            <w:tcW w:w="893" w:type="pct"/>
            <w:gridSpan w:val="3"/>
            <w:vMerge w:val="restart"/>
            <w:shd w:val="clear" w:color="000000" w:fill="C0C0C0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Adresa územního pracoviště</w:t>
            </w:r>
          </w:p>
        </w:tc>
        <w:tc>
          <w:tcPr>
            <w:tcW w:w="289" w:type="pct"/>
            <w:shd w:val="clear" w:color="000000" w:fill="C0C0C0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RUIAN/</w:t>
            </w:r>
          </w:p>
        </w:tc>
        <w:tc>
          <w:tcPr>
            <w:tcW w:w="237" w:type="pct"/>
            <w:vMerge w:val="restart"/>
            <w:shd w:val="clear" w:color="000000" w:fill="C0C0C0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Typ služby</w:t>
            </w:r>
          </w:p>
        </w:tc>
        <w:tc>
          <w:tcPr>
            <w:tcW w:w="237" w:type="pct"/>
            <w:vMerge w:val="restart"/>
            <w:shd w:val="clear" w:color="000000" w:fill="C0C0C0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Profily QoS</w:t>
            </w:r>
          </w:p>
        </w:tc>
        <w:tc>
          <w:tcPr>
            <w:tcW w:w="280" w:type="pct"/>
            <w:vMerge w:val="restart"/>
            <w:shd w:val="clear" w:color="000000" w:fill="C0C0C0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 xml:space="preserve">Bezpečnost </w:t>
            </w:r>
          </w:p>
        </w:tc>
        <w:tc>
          <w:tcPr>
            <w:tcW w:w="273" w:type="pct"/>
            <w:vMerge w:val="restart"/>
            <w:shd w:val="clear" w:color="000000" w:fill="C0C0C0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Dostupnost</w:t>
            </w:r>
          </w:p>
        </w:tc>
        <w:tc>
          <w:tcPr>
            <w:tcW w:w="219" w:type="pct"/>
            <w:vMerge w:val="restart"/>
            <w:shd w:val="clear" w:color="000000" w:fill="C0C0C0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Kapacita</w:t>
            </w:r>
          </w:p>
        </w:tc>
        <w:tc>
          <w:tcPr>
            <w:tcW w:w="245" w:type="pct"/>
            <w:vMerge w:val="restart"/>
            <w:shd w:val="clear" w:color="000000" w:fill="C0C0C0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Proaktivní dohled</w:t>
            </w:r>
          </w:p>
        </w:tc>
        <w:tc>
          <w:tcPr>
            <w:tcW w:w="237" w:type="pct"/>
            <w:vMerge w:val="restart"/>
            <w:shd w:val="clear" w:color="000000" w:fill="C0C0C0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User to Network Interface</w:t>
            </w:r>
          </w:p>
        </w:tc>
        <w:tc>
          <w:tcPr>
            <w:tcW w:w="316" w:type="pct"/>
            <w:vMerge w:val="restart"/>
            <w:shd w:val="clear" w:color="000000" w:fill="C0C0C0"/>
            <w:vAlign w:val="center"/>
          </w:tcPr>
          <w:p w:rsidR="000C48AE" w:rsidRDefault="000C48AE" w:rsidP="001C6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Cena bez DPH za požadovanou parametriku</w:t>
            </w:r>
          </w:p>
          <w:p w:rsidR="000C48AE" w:rsidRDefault="000C48AE" w:rsidP="001C6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 xml:space="preserve"> (měsíční paušál)</w:t>
            </w:r>
          </w:p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v Kč</w:t>
            </w:r>
          </w:p>
        </w:tc>
        <w:tc>
          <w:tcPr>
            <w:tcW w:w="328" w:type="pct"/>
            <w:vMerge w:val="restart"/>
            <w:shd w:val="clear" w:color="000000" w:fill="C0C0C0"/>
            <w:vAlign w:val="center"/>
          </w:tcPr>
          <w:p w:rsidR="000C48AE" w:rsidRDefault="000C48AE" w:rsidP="001C6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 xml:space="preserve">Cena bez DPH instalačního </w:t>
            </w:r>
            <w:r>
              <w:rPr>
                <w:rFonts w:ascii="Arial Narrow" w:hAnsi="Arial Narrow"/>
                <w:sz w:val="16"/>
                <w:szCs w:val="16"/>
              </w:rPr>
              <w:t xml:space="preserve">(zřizovacího) </w:t>
            </w:r>
            <w:r w:rsidRPr="006C2F90">
              <w:rPr>
                <w:rFonts w:ascii="Arial Narrow" w:hAnsi="Arial Narrow"/>
                <w:sz w:val="16"/>
                <w:szCs w:val="16"/>
              </w:rPr>
              <w:t>poplatku za požadovanou parametriku</w:t>
            </w:r>
          </w:p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v  Kč</w:t>
            </w:r>
          </w:p>
        </w:tc>
        <w:tc>
          <w:tcPr>
            <w:tcW w:w="224" w:type="pct"/>
            <w:vMerge w:val="restart"/>
            <w:shd w:val="clear" w:color="000000" w:fill="C0C0C0"/>
            <w:vAlign w:val="center"/>
          </w:tcPr>
          <w:p w:rsidR="000C48AE" w:rsidRDefault="000C48AE" w:rsidP="001C6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12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C2F90">
              <w:rPr>
                <w:rFonts w:ascii="Arial Narrow" w:hAnsi="Arial Narrow"/>
                <w:sz w:val="16"/>
                <w:szCs w:val="16"/>
              </w:rPr>
              <w:t>x měsíční paušál + instalační poplatek</w:t>
            </w:r>
          </w:p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v  Kč</w:t>
            </w:r>
          </w:p>
        </w:tc>
        <w:tc>
          <w:tcPr>
            <w:tcW w:w="328" w:type="pct"/>
            <w:vMerge w:val="restart"/>
            <w:shd w:val="clear" w:color="000000" w:fill="C0C0C0"/>
          </w:tcPr>
          <w:p w:rsidR="000C48AE" w:rsidRDefault="000C48AE" w:rsidP="001C6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C48AE" w:rsidRDefault="000C48AE" w:rsidP="001C6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 xml:space="preserve">Požadovaný termín zřízení služby </w:t>
            </w:r>
          </w:p>
          <w:p w:rsidR="000C48AE" w:rsidRDefault="000C48AE" w:rsidP="008C3C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 formátu</w:t>
            </w:r>
          </w:p>
          <w:p w:rsidR="000C48AE" w:rsidRPr="006C2F90" w:rsidRDefault="000C48AE" w:rsidP="008C3C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dd.mm.rrrr</w:t>
            </w:r>
          </w:p>
        </w:tc>
        <w:tc>
          <w:tcPr>
            <w:tcW w:w="336" w:type="pct"/>
            <w:vMerge w:val="restart"/>
            <w:shd w:val="clear" w:color="000000" w:fill="C0C0C0"/>
            <w:vAlign w:val="center"/>
          </w:tcPr>
          <w:p w:rsidR="000C48AE" w:rsidRDefault="000C48AE" w:rsidP="001C6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Uchazečem nabídnutý termín zřízení služby</w:t>
            </w:r>
          </w:p>
          <w:p w:rsidR="000C48AE" w:rsidRDefault="000C48AE" w:rsidP="001C6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 formátu</w:t>
            </w:r>
          </w:p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dd.mm.rrrr</w:t>
            </w:r>
          </w:p>
        </w:tc>
      </w:tr>
      <w:tr w:rsidR="000C48AE" w:rsidRPr="007503DA" w:rsidTr="008C3C94">
        <w:trPr>
          <w:trHeight w:val="645"/>
        </w:trPr>
        <w:tc>
          <w:tcPr>
            <w:tcW w:w="323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37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893" w:type="pct"/>
            <w:gridSpan w:val="3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89" w:type="pct"/>
            <w:shd w:val="clear" w:color="000000" w:fill="C0C0C0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Kód adresního místa</w:t>
            </w:r>
          </w:p>
        </w:tc>
        <w:tc>
          <w:tcPr>
            <w:tcW w:w="237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37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80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73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19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5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37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16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28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24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28" w:type="pct"/>
            <w:vMerge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36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</w:tr>
      <w:tr w:rsidR="000C48AE" w:rsidRPr="007503DA" w:rsidTr="008C3C9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23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37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62" w:type="pct"/>
            <w:vMerge w:val="restar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město</w:t>
            </w:r>
          </w:p>
        </w:tc>
        <w:tc>
          <w:tcPr>
            <w:tcW w:w="355" w:type="pct"/>
            <w:vMerge w:val="restar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ulice</w:t>
            </w:r>
          </w:p>
        </w:tc>
        <w:tc>
          <w:tcPr>
            <w:tcW w:w="277" w:type="pct"/>
            <w:vMerge w:val="restar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č.p./č.o.</w:t>
            </w:r>
          </w:p>
        </w:tc>
        <w:tc>
          <w:tcPr>
            <w:tcW w:w="289" w:type="pct"/>
            <w:textDirection w:val="btLr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7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P1</w:t>
            </w:r>
          </w:p>
        </w:tc>
        <w:tc>
          <w:tcPr>
            <w:tcW w:w="237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80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SEC</w:t>
            </w:r>
          </w:p>
        </w:tc>
        <w:tc>
          <w:tcPr>
            <w:tcW w:w="273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19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5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37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UNI</w:t>
            </w:r>
          </w:p>
        </w:tc>
        <w:tc>
          <w:tcPr>
            <w:tcW w:w="316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28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24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28" w:type="pct"/>
            <w:vMerge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36" w:type="pct"/>
            <w:vMerge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</w:tr>
      <w:tr w:rsidR="000C48AE" w:rsidRPr="007503DA" w:rsidTr="008C3C9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323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37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62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55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77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89" w:type="pct"/>
            <w:textDirection w:val="btLr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37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Fixed</w:t>
            </w:r>
          </w:p>
        </w:tc>
        <w:tc>
          <w:tcPr>
            <w:tcW w:w="237" w:type="pct"/>
            <w:textDirection w:val="btLr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80" w:type="pct"/>
            <w:textDirection w:val="btLr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19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5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37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RJ-45</w:t>
            </w:r>
          </w:p>
        </w:tc>
        <w:tc>
          <w:tcPr>
            <w:tcW w:w="316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28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24" w:type="pct"/>
            <w:vMerge/>
            <w:vAlign w:val="center"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28" w:type="pct"/>
            <w:vMerge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36" w:type="pct"/>
            <w:vMerge/>
          </w:tcPr>
          <w:p w:rsidR="000C48AE" w:rsidRPr="007503DA" w:rsidRDefault="000C48AE" w:rsidP="001C6D5C">
            <w:pPr>
              <w:rPr>
                <w:rFonts w:ascii="Arial Narrow" w:hAnsi="Arial Narrow"/>
                <w:color w:val="0000FF"/>
              </w:rPr>
            </w:pPr>
          </w:p>
        </w:tc>
      </w:tr>
      <w:tr w:rsidR="000C48AE" w:rsidRPr="007503DA" w:rsidTr="008C3C9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23" w:type="pct"/>
            <w:noWrap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37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62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77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89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37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37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80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73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19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45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237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316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328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24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 w:rsidRPr="006C2F90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328" w:type="pct"/>
          </w:tcPr>
          <w:p w:rsidR="000C48AE" w:rsidRPr="006C2F90" w:rsidRDefault="000C48AE" w:rsidP="001C6D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336" w:type="pct"/>
            <w:vAlign w:val="center"/>
          </w:tcPr>
          <w:p w:rsidR="000C48AE" w:rsidRPr="007503DA" w:rsidRDefault="000C48AE" w:rsidP="001C6D5C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</w:tr>
      <w:tr w:rsidR="000C48AE" w:rsidRPr="007503DA" w:rsidTr="008C3C94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23" w:type="pct"/>
            <w:noWrap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CA1279">
              <w:rPr>
                <w:rFonts w:ascii="Arial Narrow" w:hAnsi="Arial Narrow"/>
                <w:sz w:val="20"/>
                <w:szCs w:val="20"/>
              </w:rPr>
              <w:t>KIMFIDD_4026</w:t>
            </w:r>
          </w:p>
        </w:tc>
        <w:tc>
          <w:tcPr>
            <w:tcW w:w="237" w:type="pct"/>
            <w:vAlign w:val="center"/>
          </w:tcPr>
          <w:p w:rsidR="000C48AE" w:rsidRPr="00CA1279" w:rsidRDefault="000C48AE" w:rsidP="00CA1279">
            <w:pPr>
              <w:rPr>
                <w:rFonts w:ascii="Arial Narrow" w:hAnsi="Arial Narrow"/>
                <w:color w:val="000000"/>
                <w:sz w:val="20"/>
              </w:rPr>
            </w:pPr>
            <w:r w:rsidRPr="00CA1279">
              <w:rPr>
                <w:rFonts w:ascii="Arial Narrow" w:hAnsi="Arial Narrow" w:cs="Arial"/>
                <w:sz w:val="20"/>
                <w:szCs w:val="20"/>
              </w:rPr>
              <w:t>MF-GFŘ</w:t>
            </w:r>
          </w:p>
        </w:tc>
        <w:tc>
          <w:tcPr>
            <w:tcW w:w="262" w:type="pct"/>
            <w:vAlign w:val="center"/>
          </w:tcPr>
          <w:p w:rsidR="000C48AE" w:rsidRPr="00CA1279" w:rsidRDefault="000C48AE" w:rsidP="00CA1279">
            <w:pPr>
              <w:rPr>
                <w:rFonts w:ascii="Arial Narrow" w:hAnsi="Arial Narrow" w:cs="Arial"/>
                <w:color w:val="000000"/>
                <w:sz w:val="20"/>
                <w:szCs w:val="12"/>
              </w:rPr>
            </w:pPr>
            <w:r w:rsidRPr="00CA1279">
              <w:rPr>
                <w:rFonts w:ascii="Arial Narrow" w:hAnsi="Arial Narrow" w:cs="Arial"/>
                <w:color w:val="000000"/>
                <w:sz w:val="20"/>
                <w:szCs w:val="12"/>
              </w:rPr>
              <w:t xml:space="preserve">Praha </w:t>
            </w:r>
          </w:p>
        </w:tc>
        <w:tc>
          <w:tcPr>
            <w:tcW w:w="355" w:type="pct"/>
            <w:vAlign w:val="center"/>
          </w:tcPr>
          <w:p w:rsidR="000C48AE" w:rsidRPr="00CA1279" w:rsidRDefault="000C48AE" w:rsidP="00CA1279">
            <w:pPr>
              <w:rPr>
                <w:rFonts w:ascii="Arial Narrow" w:hAnsi="Arial Narrow" w:cs="Arial"/>
                <w:color w:val="000000"/>
                <w:sz w:val="20"/>
                <w:szCs w:val="12"/>
              </w:rPr>
            </w:pPr>
            <w:r w:rsidRPr="00CA1279">
              <w:rPr>
                <w:rFonts w:ascii="Arial Narrow" w:hAnsi="Arial Narrow" w:cs="Arial"/>
                <w:color w:val="000000"/>
                <w:sz w:val="20"/>
                <w:szCs w:val="12"/>
              </w:rPr>
              <w:t> Hvož</w:t>
            </w:r>
            <w:r>
              <w:rPr>
                <w:rFonts w:ascii="Arial Narrow" w:hAnsi="Arial Narrow" w:cs="Arial"/>
                <w:color w:val="000000"/>
                <w:sz w:val="20"/>
                <w:szCs w:val="12"/>
              </w:rPr>
              <w:t>ď</w:t>
            </w:r>
            <w:r w:rsidRPr="00CA1279">
              <w:rPr>
                <w:rFonts w:ascii="Arial Narrow" w:hAnsi="Arial Narrow" w:cs="Arial"/>
                <w:color w:val="000000"/>
                <w:sz w:val="20"/>
                <w:szCs w:val="12"/>
              </w:rPr>
              <w:t>anská</w:t>
            </w:r>
          </w:p>
        </w:tc>
        <w:tc>
          <w:tcPr>
            <w:tcW w:w="277" w:type="pct"/>
            <w:vAlign w:val="center"/>
          </w:tcPr>
          <w:p w:rsidR="000C48AE" w:rsidRPr="00CA1279" w:rsidRDefault="000C48AE" w:rsidP="00CA1279">
            <w:pPr>
              <w:rPr>
                <w:rFonts w:ascii="Arial Narrow" w:hAnsi="Arial Narrow" w:cs="Arial"/>
                <w:color w:val="000000"/>
                <w:sz w:val="20"/>
                <w:szCs w:val="12"/>
              </w:rPr>
            </w:pPr>
            <w:r w:rsidRPr="00CA1279">
              <w:rPr>
                <w:rFonts w:ascii="Arial Narrow" w:hAnsi="Arial Narrow" w:cs="Arial"/>
                <w:color w:val="000000"/>
                <w:sz w:val="20"/>
                <w:szCs w:val="12"/>
              </w:rPr>
              <w:t>2053/3</w:t>
            </w:r>
          </w:p>
        </w:tc>
        <w:tc>
          <w:tcPr>
            <w:tcW w:w="289" w:type="pct"/>
            <w:noWrap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CA1279">
              <w:rPr>
                <w:rFonts w:ascii="Arial Narrow" w:hAnsi="Arial Narrow" w:cs="Arial"/>
                <w:color w:val="000000"/>
                <w:sz w:val="20"/>
                <w:szCs w:val="12"/>
              </w:rPr>
              <w:t>21846146</w:t>
            </w:r>
          </w:p>
        </w:tc>
        <w:tc>
          <w:tcPr>
            <w:tcW w:w="237" w:type="pct"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CA127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37" w:type="pct"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CA1279">
              <w:rPr>
                <w:rFonts w:ascii="Arial Narrow" w:hAnsi="Arial Narrow"/>
                <w:sz w:val="20"/>
                <w:szCs w:val="20"/>
              </w:rPr>
              <w:t>Profill5</w:t>
            </w:r>
          </w:p>
        </w:tc>
        <w:tc>
          <w:tcPr>
            <w:tcW w:w="280" w:type="pct"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CA1279">
              <w:rPr>
                <w:rFonts w:ascii="Arial Narrow" w:hAnsi="Arial Narrow"/>
                <w:sz w:val="20"/>
                <w:szCs w:val="20"/>
              </w:rPr>
              <w:t>SEC0</w:t>
            </w:r>
          </w:p>
        </w:tc>
        <w:tc>
          <w:tcPr>
            <w:tcW w:w="273" w:type="pct"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CA1279">
              <w:rPr>
                <w:rFonts w:ascii="Arial Narrow" w:hAnsi="Arial Narrow"/>
                <w:sz w:val="20"/>
                <w:szCs w:val="20"/>
              </w:rPr>
              <w:t>SLA2</w:t>
            </w:r>
          </w:p>
        </w:tc>
        <w:tc>
          <w:tcPr>
            <w:tcW w:w="219" w:type="pct"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CA1279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45" w:type="pct"/>
            <w:vAlign w:val="center"/>
          </w:tcPr>
          <w:p w:rsidR="000C48AE" w:rsidRPr="00CA1279" w:rsidRDefault="000C48AE" w:rsidP="00CA1279">
            <w:pPr>
              <w:rPr>
                <w:rFonts w:ascii="Arial Narrow" w:hAnsi="Arial Narrow"/>
                <w:color w:val="000000"/>
                <w:sz w:val="20"/>
              </w:rPr>
            </w:pPr>
            <w:r w:rsidRPr="00CA1279">
              <w:rPr>
                <w:rFonts w:ascii="Arial Narrow" w:hAnsi="Arial Narrow" w:cs="Arial"/>
                <w:sz w:val="20"/>
                <w:szCs w:val="20"/>
              </w:rPr>
              <w:t>PROAKT-ANO</w:t>
            </w:r>
          </w:p>
        </w:tc>
        <w:tc>
          <w:tcPr>
            <w:tcW w:w="237" w:type="pct"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CA1279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16" w:type="pct"/>
            <w:noWrap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328" w:type="pct"/>
            <w:noWrap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24" w:type="pct"/>
            <w:noWrap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328" w:type="pct"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CA1279">
              <w:rPr>
                <w:rFonts w:ascii="Arial Narrow" w:hAnsi="Arial Narrow"/>
                <w:color w:val="000000"/>
                <w:sz w:val="20"/>
                <w:szCs w:val="22"/>
              </w:rPr>
              <w:t>1.1.201</w:t>
            </w:r>
            <w:r>
              <w:rPr>
                <w:rFonts w:ascii="Arial Narrow" w:hAnsi="Arial Narrow"/>
                <w:color w:val="000000"/>
                <w:sz w:val="20"/>
                <w:szCs w:val="22"/>
              </w:rPr>
              <w:t>6</w:t>
            </w:r>
            <w:r w:rsidRPr="00CA1279">
              <w:rPr>
                <w:rFonts w:ascii="Arial Narrow" w:hAnsi="Arial Narrow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36" w:type="pct"/>
            <w:noWrap/>
            <w:vAlign w:val="center"/>
          </w:tcPr>
          <w:p w:rsidR="000C48AE" w:rsidRPr="00CA1279" w:rsidRDefault="000C48AE" w:rsidP="00CA127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:rsidR="000C48AE" w:rsidRDefault="000C48AE" w:rsidP="00CA1279">
      <w:pPr>
        <w:pStyle w:val="BidNormal"/>
        <w:rPr>
          <w:b/>
          <w:lang w:val="cs-CZ"/>
        </w:rPr>
        <w:sectPr w:rsidR="000C48AE" w:rsidSect="00DD16EA">
          <w:pgSz w:w="23814" w:h="16840" w:orient="landscape" w:code="8"/>
          <w:pgMar w:top="1418" w:right="1559" w:bottom="1418" w:left="1418" w:header="709" w:footer="709" w:gutter="0"/>
          <w:cols w:space="708"/>
          <w:titlePg/>
          <w:docGrid w:linePitch="360"/>
        </w:sectPr>
      </w:pPr>
    </w:p>
    <w:p w:rsidR="000C48AE" w:rsidRDefault="000C48AE" w:rsidP="00571230">
      <w:pPr>
        <w:pStyle w:val="RLTextlnkuslovan"/>
        <w:pageBreakBefore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>Příloha č. 2</w:t>
      </w:r>
      <w:r w:rsidRPr="00096BD6">
        <w:rPr>
          <w:rFonts w:ascii="Arial" w:hAnsi="Arial"/>
          <w:b/>
        </w:rPr>
        <w:t>:</w:t>
      </w:r>
      <w:r w:rsidRPr="00096BD6">
        <w:rPr>
          <w:rFonts w:ascii="Arial" w:hAnsi="Arial"/>
          <w:b/>
        </w:rPr>
        <w:tab/>
        <w:t>Seznam oprávněných osob</w:t>
      </w:r>
    </w:p>
    <w:p w:rsidR="000C48AE" w:rsidRDefault="000C48AE" w:rsidP="00571230">
      <w:pPr>
        <w:rPr>
          <w:rFonts w:ascii="Arial" w:hAnsi="Arial" w:cs="Arial"/>
          <w:b/>
          <w:bCs/>
          <w:sz w:val="22"/>
          <w:szCs w:val="22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  <w:u w:val="single"/>
        </w:rPr>
      </w:pPr>
      <w:r w:rsidRPr="007740A1">
        <w:rPr>
          <w:rFonts w:ascii="Arial" w:hAnsi="Arial" w:cs="Arial"/>
          <w:b/>
          <w:bCs/>
          <w:sz w:val="20"/>
          <w:u w:val="single"/>
        </w:rPr>
        <w:t xml:space="preserve">Oprávněné osoby pro smluvní a obchodní jednání </w:t>
      </w:r>
    </w:p>
    <w:p w:rsidR="000C48AE" w:rsidRDefault="000C48AE" w:rsidP="00571230">
      <w:pPr>
        <w:rPr>
          <w:rFonts w:ascii="Arial" w:hAnsi="Arial" w:cs="Arial"/>
          <w:b/>
          <w:bCs/>
          <w:sz w:val="20"/>
        </w:rPr>
      </w:pPr>
    </w:p>
    <w:p w:rsidR="000C48AE" w:rsidRDefault="000C48AE" w:rsidP="00571230">
      <w:pPr>
        <w:rPr>
          <w:rFonts w:ascii="Arial" w:hAnsi="Arial" w:cs="Arial"/>
          <w:b/>
          <w:bCs/>
          <w:sz w:val="20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  <w:r w:rsidRPr="007740A1">
        <w:rPr>
          <w:rFonts w:ascii="Arial" w:hAnsi="Arial" w:cs="Arial"/>
          <w:b/>
          <w:bCs/>
          <w:sz w:val="20"/>
        </w:rPr>
        <w:t>Za Poskytovatele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998"/>
        <w:gridCol w:w="2009"/>
      </w:tblGrid>
      <w:tr w:rsidR="000C48AE" w:rsidRPr="00827C81" w:rsidTr="004910BB">
        <w:tc>
          <w:tcPr>
            <w:tcW w:w="2278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jméno</w:t>
            </w:r>
          </w:p>
        </w:tc>
        <w:tc>
          <w:tcPr>
            <w:tcW w:w="2998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e-mail</w:t>
            </w:r>
          </w:p>
        </w:tc>
        <w:tc>
          <w:tcPr>
            <w:tcW w:w="2009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telefon</w:t>
            </w:r>
          </w:p>
        </w:tc>
      </w:tr>
      <w:tr w:rsidR="000C48AE" w:rsidRPr="00827C81" w:rsidTr="004910BB">
        <w:tc>
          <w:tcPr>
            <w:tcW w:w="2278" w:type="dxa"/>
          </w:tcPr>
          <w:p w:rsidR="000C48AE" w:rsidRPr="00096BD6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98" w:type="dxa"/>
          </w:tcPr>
          <w:p w:rsidR="000C48AE" w:rsidRPr="00096BD6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9" w:type="dxa"/>
          </w:tcPr>
          <w:p w:rsidR="000C48AE" w:rsidRPr="00096BD6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C48AE" w:rsidRPr="00827C81" w:rsidTr="004910BB">
        <w:tc>
          <w:tcPr>
            <w:tcW w:w="2278" w:type="dxa"/>
          </w:tcPr>
          <w:p w:rsidR="000C48AE" w:rsidRPr="00096BD6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98" w:type="dxa"/>
          </w:tcPr>
          <w:p w:rsidR="000C48AE" w:rsidRPr="00096BD6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9" w:type="dxa"/>
          </w:tcPr>
          <w:p w:rsidR="000C48AE" w:rsidRPr="00096BD6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  <w:r w:rsidRPr="007740A1">
        <w:rPr>
          <w:rFonts w:ascii="Arial" w:hAnsi="Arial" w:cs="Arial"/>
          <w:b/>
          <w:bCs/>
          <w:sz w:val="20"/>
        </w:rPr>
        <w:t>Za Objednatele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3449"/>
        <w:gridCol w:w="2009"/>
      </w:tblGrid>
      <w:tr w:rsidR="000C48AE" w:rsidRPr="00827C81" w:rsidTr="004910BB">
        <w:tc>
          <w:tcPr>
            <w:tcW w:w="2280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jméno</w:t>
            </w:r>
          </w:p>
        </w:tc>
        <w:tc>
          <w:tcPr>
            <w:tcW w:w="3449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e-mail</w:t>
            </w:r>
          </w:p>
        </w:tc>
        <w:tc>
          <w:tcPr>
            <w:tcW w:w="2009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telefon</w:t>
            </w:r>
          </w:p>
        </w:tc>
      </w:tr>
      <w:tr w:rsidR="000C48AE" w:rsidRPr="00827C81" w:rsidTr="004910BB">
        <w:tc>
          <w:tcPr>
            <w:tcW w:w="2280" w:type="dxa"/>
          </w:tcPr>
          <w:p w:rsidR="000C48AE" w:rsidRPr="00971F54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Dipl.-Ing.Miroslav Hejna</w:t>
            </w:r>
          </w:p>
        </w:tc>
        <w:tc>
          <w:tcPr>
            <w:tcW w:w="3449" w:type="dxa"/>
          </w:tcPr>
          <w:p w:rsidR="000C48AE" w:rsidRPr="00971F54" w:rsidRDefault="000C48AE" w:rsidP="00FA524D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Pr="00C8488D">
                <w:rPr>
                  <w:rStyle w:val="Hyperlink"/>
                  <w:rFonts w:ascii="Arial" w:hAnsi="Arial" w:cs="Arial"/>
                  <w:sz w:val="20"/>
                </w:rPr>
                <w:t>miroslav.hejna@mfcr.cz</w:t>
              </w:r>
            </w:hyperlink>
          </w:p>
        </w:tc>
        <w:tc>
          <w:tcPr>
            <w:tcW w:w="2009" w:type="dxa"/>
          </w:tcPr>
          <w:p w:rsidR="000C48AE" w:rsidRPr="00971F54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257043072</w:t>
            </w:r>
          </w:p>
        </w:tc>
      </w:tr>
    </w:tbl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  <w:u w:val="single"/>
        </w:rPr>
      </w:pPr>
      <w:r w:rsidRPr="007740A1">
        <w:rPr>
          <w:rFonts w:ascii="Arial" w:hAnsi="Arial" w:cs="Arial"/>
          <w:b/>
          <w:bCs/>
          <w:sz w:val="20"/>
          <w:u w:val="single"/>
        </w:rPr>
        <w:t>Oprávněné osoby pro kontrolu Podkladů pro vyúčtování</w:t>
      </w:r>
    </w:p>
    <w:p w:rsidR="000C48AE" w:rsidRPr="007740A1" w:rsidRDefault="000C48AE" w:rsidP="00571230">
      <w:pPr>
        <w:rPr>
          <w:rFonts w:ascii="Arial" w:hAnsi="Arial" w:cs="Arial"/>
          <w:b/>
          <w:bCs/>
          <w:sz w:val="20"/>
          <w:u w:val="single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  <w:u w:val="single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  <w:r w:rsidRPr="007740A1">
        <w:rPr>
          <w:rFonts w:ascii="Arial" w:hAnsi="Arial" w:cs="Arial"/>
          <w:b/>
          <w:bCs/>
          <w:sz w:val="20"/>
        </w:rPr>
        <w:t>Za Poskytovatele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3500"/>
        <w:gridCol w:w="3544"/>
      </w:tblGrid>
      <w:tr w:rsidR="000C48AE" w:rsidRPr="008B4B6A" w:rsidTr="004910BB">
        <w:tc>
          <w:tcPr>
            <w:tcW w:w="2278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B4B6A">
              <w:rPr>
                <w:rFonts w:ascii="Arial" w:hAnsi="Arial" w:cs="Arial"/>
                <w:bCs/>
                <w:sz w:val="20"/>
              </w:rPr>
              <w:t>jméno</w:t>
            </w:r>
          </w:p>
        </w:tc>
        <w:tc>
          <w:tcPr>
            <w:tcW w:w="3500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B4B6A">
              <w:rPr>
                <w:rFonts w:ascii="Arial" w:hAnsi="Arial" w:cs="Arial"/>
                <w:bCs/>
                <w:sz w:val="20"/>
              </w:rPr>
              <w:t>e-mail</w:t>
            </w:r>
          </w:p>
        </w:tc>
        <w:tc>
          <w:tcPr>
            <w:tcW w:w="3544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B4B6A">
              <w:rPr>
                <w:rFonts w:ascii="Arial" w:hAnsi="Arial" w:cs="Arial"/>
                <w:bCs/>
                <w:sz w:val="20"/>
              </w:rPr>
              <w:t>telefon</w:t>
            </w:r>
          </w:p>
        </w:tc>
      </w:tr>
      <w:tr w:rsidR="000C48AE" w:rsidRPr="008B4B6A" w:rsidTr="004910BB">
        <w:tc>
          <w:tcPr>
            <w:tcW w:w="2278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0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C48AE" w:rsidRPr="008B4B6A" w:rsidTr="004910BB">
        <w:tc>
          <w:tcPr>
            <w:tcW w:w="2278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0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  <w:r w:rsidRPr="007740A1">
        <w:rPr>
          <w:rFonts w:ascii="Arial" w:hAnsi="Arial" w:cs="Arial"/>
          <w:b/>
          <w:bCs/>
          <w:sz w:val="20"/>
        </w:rPr>
        <w:t>Za Objednatele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543"/>
        <w:gridCol w:w="3544"/>
      </w:tblGrid>
      <w:tr w:rsidR="000C48AE" w:rsidRPr="00827C81" w:rsidTr="004910BB">
        <w:tc>
          <w:tcPr>
            <w:tcW w:w="2235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jméno</w:t>
            </w:r>
          </w:p>
        </w:tc>
        <w:tc>
          <w:tcPr>
            <w:tcW w:w="3543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e-mail</w:t>
            </w:r>
          </w:p>
        </w:tc>
        <w:tc>
          <w:tcPr>
            <w:tcW w:w="3544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telefon</w:t>
            </w:r>
          </w:p>
        </w:tc>
      </w:tr>
      <w:tr w:rsidR="000C48AE" w:rsidRPr="00827C81" w:rsidTr="004910BB">
        <w:tc>
          <w:tcPr>
            <w:tcW w:w="2235" w:type="dxa"/>
          </w:tcPr>
          <w:p w:rsidR="000C48AE" w:rsidRPr="00971F54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Jan Fliegl</w:t>
            </w:r>
          </w:p>
        </w:tc>
        <w:tc>
          <w:tcPr>
            <w:tcW w:w="3543" w:type="dxa"/>
          </w:tcPr>
          <w:p w:rsidR="000C48AE" w:rsidRPr="00971F54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hyperlink r:id="rId11" w:history="1">
              <w:r w:rsidRPr="00F27F53">
                <w:rPr>
                  <w:rStyle w:val="Hyperlink"/>
                  <w:rFonts w:ascii="Arial" w:hAnsi="Arial" w:cs="Arial"/>
                  <w:sz w:val="20"/>
                </w:rPr>
                <w:t>Jan.Fliegl@mfcr.cz</w:t>
              </w:r>
            </w:hyperlink>
          </w:p>
        </w:tc>
        <w:tc>
          <w:tcPr>
            <w:tcW w:w="3544" w:type="dxa"/>
          </w:tcPr>
          <w:p w:rsidR="000C48AE" w:rsidRPr="00971F54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257 04 2868</w:t>
            </w:r>
          </w:p>
        </w:tc>
      </w:tr>
      <w:tr w:rsidR="000C48AE" w:rsidRPr="00827C81" w:rsidTr="004910BB">
        <w:tc>
          <w:tcPr>
            <w:tcW w:w="2235" w:type="dxa"/>
          </w:tcPr>
          <w:p w:rsidR="000C48AE" w:rsidRDefault="000C48AE" w:rsidP="00A501C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Jan Braunstein</w:t>
            </w:r>
          </w:p>
        </w:tc>
        <w:tc>
          <w:tcPr>
            <w:tcW w:w="3543" w:type="dxa"/>
          </w:tcPr>
          <w:p w:rsidR="000C48AE" w:rsidRDefault="000C48AE" w:rsidP="00A501C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Jan.Braunstein@fs.mfcr.cz</w:t>
            </w:r>
          </w:p>
        </w:tc>
        <w:tc>
          <w:tcPr>
            <w:tcW w:w="3544" w:type="dxa"/>
          </w:tcPr>
          <w:p w:rsidR="000C48AE" w:rsidRPr="009B29B3" w:rsidRDefault="000C48AE" w:rsidP="00A501C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257 04 2568</w:t>
            </w:r>
          </w:p>
        </w:tc>
      </w:tr>
      <w:tr w:rsidR="000C48AE" w:rsidRPr="00827C81" w:rsidTr="004910BB">
        <w:tc>
          <w:tcPr>
            <w:tcW w:w="2235" w:type="dxa"/>
          </w:tcPr>
          <w:p w:rsidR="000C48AE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Tomáš Bauer</w:t>
            </w:r>
          </w:p>
        </w:tc>
        <w:tc>
          <w:tcPr>
            <w:tcW w:w="3543" w:type="dxa"/>
          </w:tcPr>
          <w:p w:rsidR="000C48AE" w:rsidRDefault="000C48AE" w:rsidP="0075594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Tomas.Bauer@mfcr.cz</w:t>
            </w:r>
          </w:p>
        </w:tc>
        <w:tc>
          <w:tcPr>
            <w:tcW w:w="3544" w:type="dxa"/>
          </w:tcPr>
          <w:p w:rsidR="000C48AE" w:rsidRPr="009B29B3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257 04 2711</w:t>
            </w:r>
          </w:p>
        </w:tc>
      </w:tr>
      <w:tr w:rsidR="000C48AE" w:rsidRPr="00827C81" w:rsidTr="004910BB">
        <w:tc>
          <w:tcPr>
            <w:tcW w:w="2235" w:type="dxa"/>
          </w:tcPr>
          <w:p w:rsidR="000C48AE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3" w:type="dxa"/>
          </w:tcPr>
          <w:p w:rsidR="000C48AE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</w:tcPr>
          <w:p w:rsidR="000C48AE" w:rsidRPr="009B29B3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  <w:u w:val="single"/>
        </w:rPr>
      </w:pPr>
      <w:r w:rsidRPr="007740A1">
        <w:rPr>
          <w:rFonts w:ascii="Arial" w:hAnsi="Arial" w:cs="Arial"/>
          <w:b/>
          <w:bCs/>
          <w:sz w:val="20"/>
          <w:u w:val="single"/>
        </w:rPr>
        <w:t>Oprávněné osoby pro technické a provozní záležitosti</w:t>
      </w:r>
    </w:p>
    <w:p w:rsidR="000C48AE" w:rsidRPr="007740A1" w:rsidRDefault="000C48AE" w:rsidP="00571230">
      <w:pPr>
        <w:rPr>
          <w:rFonts w:ascii="Arial" w:hAnsi="Arial" w:cs="Arial"/>
          <w:b/>
          <w:bCs/>
          <w:sz w:val="20"/>
          <w:u w:val="single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  <w:u w:val="single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  <w:r w:rsidRPr="007740A1">
        <w:rPr>
          <w:rFonts w:ascii="Arial" w:hAnsi="Arial" w:cs="Arial"/>
          <w:b/>
          <w:bCs/>
          <w:sz w:val="20"/>
        </w:rPr>
        <w:t>Za Poskytovatele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3500"/>
        <w:gridCol w:w="3544"/>
      </w:tblGrid>
      <w:tr w:rsidR="000C48AE" w:rsidRPr="008B4B6A" w:rsidTr="004910BB">
        <w:tc>
          <w:tcPr>
            <w:tcW w:w="2278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B4B6A">
              <w:rPr>
                <w:rFonts w:ascii="Arial" w:hAnsi="Arial" w:cs="Arial"/>
                <w:bCs/>
                <w:sz w:val="20"/>
              </w:rPr>
              <w:t>jméno</w:t>
            </w:r>
          </w:p>
        </w:tc>
        <w:tc>
          <w:tcPr>
            <w:tcW w:w="3500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B4B6A">
              <w:rPr>
                <w:rFonts w:ascii="Arial" w:hAnsi="Arial" w:cs="Arial"/>
                <w:bCs/>
                <w:sz w:val="20"/>
              </w:rPr>
              <w:t>e-mail</w:t>
            </w:r>
          </w:p>
        </w:tc>
        <w:tc>
          <w:tcPr>
            <w:tcW w:w="3544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B4B6A">
              <w:rPr>
                <w:rFonts w:ascii="Arial" w:hAnsi="Arial" w:cs="Arial"/>
                <w:bCs/>
                <w:sz w:val="20"/>
              </w:rPr>
              <w:t>telefon</w:t>
            </w:r>
          </w:p>
        </w:tc>
      </w:tr>
      <w:tr w:rsidR="000C48AE" w:rsidRPr="008B4B6A" w:rsidTr="004910BB">
        <w:tc>
          <w:tcPr>
            <w:tcW w:w="2278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0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C48AE" w:rsidRPr="008B4B6A" w:rsidTr="004910BB">
        <w:tc>
          <w:tcPr>
            <w:tcW w:w="2278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0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C48AE" w:rsidRPr="008B4B6A" w:rsidTr="004910BB">
        <w:tc>
          <w:tcPr>
            <w:tcW w:w="2278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0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</w:tcPr>
          <w:p w:rsidR="000C48AE" w:rsidRPr="008B4B6A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</w:p>
    <w:p w:rsidR="000C48AE" w:rsidRPr="007740A1" w:rsidRDefault="000C48AE" w:rsidP="00571230">
      <w:pPr>
        <w:rPr>
          <w:rFonts w:ascii="Arial" w:hAnsi="Arial" w:cs="Arial"/>
          <w:b/>
          <w:bCs/>
          <w:sz w:val="20"/>
        </w:rPr>
      </w:pPr>
      <w:r w:rsidRPr="007740A1">
        <w:rPr>
          <w:rFonts w:ascii="Arial" w:hAnsi="Arial" w:cs="Arial"/>
          <w:b/>
          <w:bCs/>
          <w:sz w:val="20"/>
        </w:rPr>
        <w:t>Za Objednatele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529"/>
        <w:gridCol w:w="3558"/>
      </w:tblGrid>
      <w:tr w:rsidR="000C48AE" w:rsidRPr="00827C81" w:rsidTr="004910BB">
        <w:tc>
          <w:tcPr>
            <w:tcW w:w="2235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jméno</w:t>
            </w:r>
          </w:p>
        </w:tc>
        <w:tc>
          <w:tcPr>
            <w:tcW w:w="3529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e-mail</w:t>
            </w:r>
          </w:p>
        </w:tc>
        <w:tc>
          <w:tcPr>
            <w:tcW w:w="3558" w:type="dxa"/>
          </w:tcPr>
          <w:p w:rsidR="000C48AE" w:rsidRPr="00827C81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 w:rsidRPr="00827C81">
              <w:rPr>
                <w:rFonts w:ascii="Arial" w:hAnsi="Arial" w:cs="Arial"/>
                <w:bCs/>
                <w:sz w:val="20"/>
              </w:rPr>
              <w:t>telefon</w:t>
            </w:r>
          </w:p>
        </w:tc>
      </w:tr>
      <w:tr w:rsidR="000C48AE" w:rsidRPr="00827C81" w:rsidTr="004910BB">
        <w:tc>
          <w:tcPr>
            <w:tcW w:w="2235" w:type="dxa"/>
          </w:tcPr>
          <w:p w:rsidR="000C48AE" w:rsidRPr="009B29B3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Jan Fliegl</w:t>
            </w:r>
          </w:p>
        </w:tc>
        <w:tc>
          <w:tcPr>
            <w:tcW w:w="3529" w:type="dxa"/>
          </w:tcPr>
          <w:p w:rsidR="000C48AE" w:rsidRPr="009B29B3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Jan.Fliegl</w:t>
            </w:r>
            <w:r w:rsidRPr="009B29B3">
              <w:rPr>
                <w:rFonts w:ascii="Arial" w:hAnsi="Arial" w:cs="Arial"/>
                <w:bCs/>
                <w:sz w:val="20"/>
              </w:rPr>
              <w:t>@mfcr.cz</w:t>
            </w:r>
          </w:p>
        </w:tc>
        <w:tc>
          <w:tcPr>
            <w:tcW w:w="3558" w:type="dxa"/>
          </w:tcPr>
          <w:p w:rsidR="000C48AE" w:rsidRPr="009B29B3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257 04 2868</w:t>
            </w:r>
          </w:p>
        </w:tc>
      </w:tr>
      <w:tr w:rsidR="000C48AE" w:rsidRPr="009B29B3" w:rsidTr="004910BB">
        <w:tc>
          <w:tcPr>
            <w:tcW w:w="2235" w:type="dxa"/>
          </w:tcPr>
          <w:p w:rsidR="000C48AE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Jan Braunstein</w:t>
            </w:r>
          </w:p>
        </w:tc>
        <w:tc>
          <w:tcPr>
            <w:tcW w:w="3529" w:type="dxa"/>
          </w:tcPr>
          <w:p w:rsidR="000C48AE" w:rsidRDefault="000C48AE" w:rsidP="0075594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Jan.Braunstein@fs.mfcr.cz</w:t>
            </w:r>
          </w:p>
        </w:tc>
        <w:tc>
          <w:tcPr>
            <w:tcW w:w="3558" w:type="dxa"/>
          </w:tcPr>
          <w:p w:rsidR="000C48AE" w:rsidRPr="009B29B3" w:rsidRDefault="000C48AE" w:rsidP="004910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257 04 2568</w:t>
            </w:r>
          </w:p>
        </w:tc>
      </w:tr>
      <w:tr w:rsidR="000C48AE" w:rsidRPr="009B29B3" w:rsidTr="004910BB">
        <w:tc>
          <w:tcPr>
            <w:tcW w:w="2235" w:type="dxa"/>
          </w:tcPr>
          <w:p w:rsidR="000C48AE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29" w:type="dxa"/>
          </w:tcPr>
          <w:p w:rsidR="000C48AE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58" w:type="dxa"/>
          </w:tcPr>
          <w:p w:rsidR="000C48AE" w:rsidRPr="009B29B3" w:rsidRDefault="000C48AE" w:rsidP="004910B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C48AE" w:rsidRDefault="000C48AE" w:rsidP="00571230">
      <w:pPr>
        <w:pStyle w:val="BidNadpis1"/>
        <w:pageBreakBefore/>
        <w:numPr>
          <w:ilvl w:val="0"/>
          <w:numId w:val="0"/>
        </w:numPr>
        <w:rPr>
          <w:noProof/>
          <w:sz w:val="24"/>
          <w:szCs w:val="24"/>
          <w:lang w:val="cs-CZ"/>
        </w:rPr>
      </w:pPr>
      <w:bookmarkStart w:id="3" w:name="_GoBack"/>
      <w:r>
        <w:rPr>
          <w:noProof/>
          <w:sz w:val="24"/>
          <w:szCs w:val="24"/>
          <w:lang w:val="cs-CZ"/>
        </w:rPr>
        <w:t>Přílo</w:t>
      </w:r>
      <w:bookmarkEnd w:id="3"/>
      <w:r>
        <w:rPr>
          <w:noProof/>
          <w:sz w:val="24"/>
          <w:szCs w:val="24"/>
          <w:lang w:val="cs-CZ"/>
        </w:rPr>
        <w:t>ha č. 3</w:t>
      </w:r>
      <w:r w:rsidRPr="00000F01">
        <w:rPr>
          <w:noProof/>
          <w:sz w:val="24"/>
          <w:szCs w:val="24"/>
          <w:lang w:val="cs-CZ"/>
        </w:rPr>
        <w:t xml:space="preserve"> </w:t>
      </w:r>
      <w:r>
        <w:rPr>
          <w:noProof/>
          <w:sz w:val="24"/>
          <w:szCs w:val="24"/>
          <w:lang w:val="cs-CZ"/>
        </w:rPr>
        <w:t xml:space="preserve">Stanovení dostupnosti Služby </w:t>
      </w:r>
    </w:p>
    <w:p w:rsidR="000C48AE" w:rsidRPr="00FB5399" w:rsidRDefault="000C48AE" w:rsidP="00571230">
      <w:pPr>
        <w:pStyle w:val="BidNormal"/>
        <w:rPr>
          <w:rFonts w:cs="Arial"/>
          <w:lang w:val="cs-CZ"/>
        </w:rPr>
      </w:pPr>
      <w:r w:rsidRPr="00FB5399">
        <w:rPr>
          <w:rFonts w:cs="Arial"/>
          <w:lang w:val="cs-CZ"/>
        </w:rPr>
        <w:t>Touto přílohou se řídí kvalita poskytovan</w:t>
      </w:r>
      <w:r>
        <w:rPr>
          <w:rFonts w:cs="Arial"/>
          <w:lang w:val="cs-CZ"/>
        </w:rPr>
        <w:t>é</w:t>
      </w:r>
      <w:r w:rsidRPr="00FB5399">
        <w:rPr>
          <w:rFonts w:cs="Arial"/>
          <w:lang w:val="cs-CZ"/>
        </w:rPr>
        <w:t xml:space="preserve"> Služb</w:t>
      </w:r>
      <w:r>
        <w:rPr>
          <w:rFonts w:cs="Arial"/>
          <w:lang w:val="cs-CZ"/>
        </w:rPr>
        <w:t>y</w:t>
      </w:r>
      <w:r w:rsidRPr="00FB5399">
        <w:rPr>
          <w:rFonts w:cs="Arial"/>
          <w:lang w:val="cs-CZ"/>
        </w:rPr>
        <w:t xml:space="preserve"> a smluvní sankce v případě nedodržení úrovně kvality ze strany Poskytovatele.</w:t>
      </w:r>
    </w:p>
    <w:p w:rsidR="000C48AE" w:rsidRPr="00FB5399" w:rsidRDefault="000C48AE" w:rsidP="00571230">
      <w:pPr>
        <w:pStyle w:val="BidNormal"/>
        <w:spacing w:after="120"/>
        <w:rPr>
          <w:rFonts w:cs="Arial"/>
          <w:b/>
          <w:u w:val="single"/>
          <w:lang w:val="cs-CZ"/>
        </w:rPr>
      </w:pPr>
      <w:r w:rsidRPr="00FB5399">
        <w:rPr>
          <w:rFonts w:cs="Arial"/>
          <w:b/>
          <w:u w:val="single"/>
          <w:lang w:val="cs-CZ"/>
        </w:rPr>
        <w:t>Definice</w:t>
      </w:r>
    </w:p>
    <w:p w:rsidR="000C48AE" w:rsidRPr="00FB5399" w:rsidRDefault="000C48AE" w:rsidP="00571230">
      <w:pPr>
        <w:pStyle w:val="BidNormal"/>
        <w:rPr>
          <w:rFonts w:cs="Arial"/>
          <w:lang w:val="cs-CZ"/>
        </w:rPr>
      </w:pPr>
      <w:r>
        <w:rPr>
          <w:rFonts w:cs="Arial"/>
          <w:lang w:val="cs-CZ"/>
        </w:rPr>
        <w:t>Služba</w:t>
      </w:r>
      <w:r w:rsidRPr="00FB5399">
        <w:rPr>
          <w:rFonts w:cs="Arial"/>
          <w:lang w:val="cs-CZ"/>
        </w:rPr>
        <w:t xml:space="preserve"> </w:t>
      </w:r>
      <w:r w:rsidRPr="00FB5399">
        <w:rPr>
          <w:rFonts w:cs="Arial"/>
          <w:noProof/>
          <w:lang w:val="cs-CZ"/>
        </w:rPr>
        <w:t xml:space="preserve">se považuje za </w:t>
      </w:r>
      <w:r w:rsidRPr="00FB5399">
        <w:rPr>
          <w:rFonts w:cs="Arial"/>
          <w:b/>
          <w:noProof/>
          <w:lang w:val="cs-CZ"/>
        </w:rPr>
        <w:t>nedostupnou</w:t>
      </w:r>
      <w:r w:rsidRPr="00FB5399">
        <w:rPr>
          <w:rFonts w:cs="Arial"/>
          <w:noProof/>
          <w:lang w:val="cs-CZ"/>
        </w:rPr>
        <w:t xml:space="preserve">, </w:t>
      </w:r>
      <w:r w:rsidRPr="00FB5399">
        <w:rPr>
          <w:rFonts w:cs="Arial"/>
          <w:lang w:val="cs-CZ"/>
        </w:rPr>
        <w:t xml:space="preserve">pokud jeden nebo více parametrů Služby jsou v rozporu s parametry sjednanými ve specifikaci </w:t>
      </w:r>
      <w:r>
        <w:rPr>
          <w:rFonts w:cs="Arial"/>
          <w:lang w:val="cs-CZ"/>
        </w:rPr>
        <w:t xml:space="preserve">Služby dle </w:t>
      </w:r>
      <w:r w:rsidRPr="009A3294">
        <w:rPr>
          <w:rFonts w:cs="Arial"/>
          <w:b/>
          <w:i/>
          <w:lang w:val="cs-CZ"/>
        </w:rPr>
        <w:t>Přílohy č.2</w:t>
      </w:r>
      <w:r>
        <w:rPr>
          <w:rFonts w:cs="Arial"/>
          <w:lang w:val="cs-CZ"/>
        </w:rPr>
        <w:t xml:space="preserve"> Smlouvy.</w:t>
      </w:r>
      <w:r w:rsidRPr="00FB5399">
        <w:rPr>
          <w:rFonts w:cs="Arial"/>
          <w:lang w:val="cs-CZ"/>
        </w:rPr>
        <w:t xml:space="preserve"> Výjimky z tohoto pravidla stanoví rovněž Smlouva a Všeobecné podmínky pro poskytování služeb elektronických komunikací. </w:t>
      </w:r>
    </w:p>
    <w:p w:rsidR="000C48AE" w:rsidRPr="00FB5399" w:rsidRDefault="000C48AE" w:rsidP="00571230">
      <w:pPr>
        <w:pStyle w:val="BidNormal"/>
        <w:rPr>
          <w:rFonts w:cs="Arial"/>
          <w:lang w:val="cs-CZ"/>
        </w:rPr>
      </w:pPr>
      <w:r w:rsidRPr="00FB5399">
        <w:rPr>
          <w:rFonts w:cs="Arial"/>
          <w:b/>
          <w:lang w:val="cs-CZ"/>
        </w:rPr>
        <w:t>Dobou nedostupnosti</w:t>
      </w:r>
      <w:r w:rsidRPr="00FB5399">
        <w:rPr>
          <w:rFonts w:cs="Arial"/>
          <w:lang w:val="cs-CZ"/>
        </w:rPr>
        <w:t xml:space="preserve"> se rozumí doba od nahlášení nedostupnosti </w:t>
      </w:r>
      <w:r>
        <w:rPr>
          <w:rFonts w:cs="Arial"/>
          <w:lang w:val="cs-CZ"/>
        </w:rPr>
        <w:t>Objednatelem</w:t>
      </w:r>
      <w:r w:rsidRPr="00FB5399">
        <w:rPr>
          <w:rFonts w:cs="Arial"/>
          <w:lang w:val="cs-CZ"/>
        </w:rPr>
        <w:t xml:space="preserve"> na </w:t>
      </w:r>
      <w:r>
        <w:rPr>
          <w:rFonts w:cs="Arial"/>
          <w:lang w:val="cs-CZ"/>
        </w:rPr>
        <w:t>servisní centrum</w:t>
      </w:r>
      <w:r w:rsidRPr="00FB5399">
        <w:rPr>
          <w:rFonts w:cs="Arial"/>
          <w:lang w:val="cs-CZ"/>
        </w:rPr>
        <w:t xml:space="preserve"> Poskytovatele do odstranění nedostupnosti. Do doby nedostupnosti se nezapočítává porucha způsobená výpadkem napájení či nevyhovujícími klimatickými podmínkami v místě ukončení Služby, které zajišťuje </w:t>
      </w:r>
      <w:r>
        <w:rPr>
          <w:rFonts w:cs="Arial"/>
          <w:lang w:val="cs-CZ"/>
        </w:rPr>
        <w:t>Objednatel</w:t>
      </w:r>
      <w:r w:rsidRPr="00FB5399">
        <w:rPr>
          <w:rFonts w:cs="Arial"/>
          <w:lang w:val="cs-CZ"/>
        </w:rPr>
        <w:t>. Dále se do doby nedostupnosti nezapočítává doba poruchy způsobená vyšší mocí, tedy událostí, jež nastaly nezávisle na vůli Poskytovatele a brání mu ve splnění jeho povinností, jestliže nelze rozumně předpokládat, že by Poskytovatel tuto překážku nebo její následky odvrátil nebo překonal a dále, že by v době vzniku závazku tuto překážku předvídal. Do doby nedostupnosti se nezapočítává doba potřebná k provedení plánovaných údržbových prací Poskytovatele. Stejně tak se do tohoto času nezapočítává doba, po kterou je zaměstnancům Poskytovatele znemožněn přístup za účelem opravy poruchy.</w:t>
      </w:r>
    </w:p>
    <w:p w:rsidR="000C48AE" w:rsidRPr="00FB5399" w:rsidRDefault="000C48AE" w:rsidP="00571230">
      <w:pPr>
        <w:pStyle w:val="BidNormal"/>
        <w:rPr>
          <w:rFonts w:cs="Arial"/>
          <w:lang w:val="cs-CZ"/>
        </w:rPr>
      </w:pPr>
      <w:r w:rsidRPr="00FB5399">
        <w:rPr>
          <w:rFonts w:cs="Arial"/>
          <w:b/>
          <w:lang w:val="cs-CZ"/>
        </w:rPr>
        <w:t>Sledovaným obdobím</w:t>
      </w:r>
      <w:r w:rsidRPr="00FB5399">
        <w:rPr>
          <w:rFonts w:cs="Arial"/>
          <w:lang w:val="cs-CZ"/>
        </w:rPr>
        <w:t xml:space="preserve"> se rozumí kalendářní měsíc, ve kterém byla Služb</w:t>
      </w:r>
      <w:r>
        <w:rPr>
          <w:rFonts w:cs="Arial"/>
          <w:lang w:val="cs-CZ"/>
        </w:rPr>
        <w:t>a</w:t>
      </w:r>
      <w:r w:rsidRPr="00FB5399">
        <w:rPr>
          <w:rFonts w:cs="Arial"/>
          <w:lang w:val="cs-CZ"/>
        </w:rPr>
        <w:t xml:space="preserve"> nedostupná.</w:t>
      </w:r>
    </w:p>
    <w:p w:rsidR="000C48AE" w:rsidRPr="001E210C" w:rsidRDefault="000C48AE" w:rsidP="00571230">
      <w:pPr>
        <w:pStyle w:val="BidNormal"/>
        <w:rPr>
          <w:rFonts w:cs="Arial"/>
          <w:lang w:val="cs-CZ"/>
        </w:rPr>
      </w:pPr>
      <w:r w:rsidRPr="001E210C">
        <w:rPr>
          <w:rFonts w:cs="Arial"/>
          <w:b/>
          <w:lang w:val="cs-CZ"/>
        </w:rPr>
        <w:t>Měsíčním paušálem</w:t>
      </w:r>
      <w:r w:rsidRPr="001E210C">
        <w:rPr>
          <w:rFonts w:cs="Arial"/>
          <w:lang w:val="cs-CZ"/>
        </w:rPr>
        <w:t xml:space="preserve"> se rozumí cena za poskytování a provozování Služby dle </w:t>
      </w:r>
      <w:r w:rsidRPr="001E210C">
        <w:rPr>
          <w:rFonts w:cs="Arial"/>
          <w:b/>
          <w:i/>
          <w:lang w:val="cs-CZ"/>
        </w:rPr>
        <w:t>Přílohy č. 2</w:t>
      </w:r>
      <w:r w:rsidRPr="001E210C">
        <w:rPr>
          <w:rFonts w:cs="Arial"/>
          <w:lang w:val="cs-CZ"/>
        </w:rPr>
        <w:t xml:space="preserve"> Smlouvy.</w:t>
      </w:r>
    </w:p>
    <w:p w:rsidR="000C48AE" w:rsidRPr="001E210C" w:rsidRDefault="000C48AE" w:rsidP="00571230">
      <w:pPr>
        <w:spacing w:before="60"/>
        <w:rPr>
          <w:rFonts w:ascii="Arial" w:hAnsi="Arial"/>
          <w:b/>
          <w:sz w:val="20"/>
          <w:u w:val="single"/>
        </w:rPr>
      </w:pPr>
      <w:r w:rsidRPr="001E210C">
        <w:rPr>
          <w:rFonts w:ascii="Arial" w:hAnsi="Arial"/>
          <w:b/>
          <w:sz w:val="20"/>
          <w:u w:val="single"/>
        </w:rPr>
        <w:t>Výpočet měsíční dostupnosti</w:t>
      </w:r>
    </w:p>
    <w:p w:rsidR="000C48AE" w:rsidRPr="001E210C" w:rsidRDefault="000C48AE" w:rsidP="00571230">
      <w:pPr>
        <w:pStyle w:val="Header"/>
        <w:tabs>
          <w:tab w:val="left" w:pos="284"/>
        </w:tabs>
        <w:spacing w:before="120"/>
        <w:ind w:firstLine="340"/>
        <w:jc w:val="both"/>
        <w:rPr>
          <w:rFonts w:ascii="Arial" w:hAnsi="Arial" w:cs="Arial"/>
          <w:sz w:val="20"/>
        </w:rPr>
      </w:pPr>
      <w:r w:rsidRPr="001E210C">
        <w:rPr>
          <w:rFonts w:ascii="Arial" w:hAnsi="Arial" w:cs="Arial"/>
          <w:sz w:val="20"/>
        </w:rPr>
        <w:t>Měsíční dostupnost Služby v procentech se vypočítá dle následujícího vzorce: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6874"/>
      </w:tblGrid>
      <w:tr w:rsidR="000C48AE" w:rsidRPr="001E210C" w:rsidTr="004910BB">
        <w:tc>
          <w:tcPr>
            <w:tcW w:w="2624" w:type="dxa"/>
            <w:tcBorders>
              <w:top w:val="single" w:sz="4" w:space="0" w:color="auto"/>
              <w:bottom w:val="nil"/>
              <w:right w:val="nil"/>
            </w:tcBorders>
          </w:tcPr>
          <w:p w:rsidR="000C48AE" w:rsidRPr="001E210C" w:rsidRDefault="000C48AE" w:rsidP="004910BB">
            <w:pPr>
              <w:spacing w:before="60" w:after="30"/>
              <w:rPr>
                <w:rFonts w:ascii="Arial" w:hAnsi="Arial" w:cs="Arial"/>
                <w:sz w:val="2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nil"/>
            </w:tcBorders>
          </w:tcPr>
          <w:p w:rsidR="000C48AE" w:rsidRPr="001E210C" w:rsidRDefault="000C48AE" w:rsidP="004910BB">
            <w:pPr>
              <w:spacing w:before="60" w:after="30"/>
              <w:rPr>
                <w:rFonts w:ascii="Arial" w:hAnsi="Arial" w:cs="Arial"/>
                <w:sz w:val="20"/>
              </w:rPr>
            </w:pPr>
          </w:p>
        </w:tc>
      </w:tr>
      <w:tr w:rsidR="000C48AE" w:rsidRPr="001E210C" w:rsidTr="004910BB">
        <w:tc>
          <w:tcPr>
            <w:tcW w:w="2624" w:type="dxa"/>
            <w:tcBorders>
              <w:top w:val="nil"/>
              <w:bottom w:val="single" w:sz="4" w:space="0" w:color="auto"/>
              <w:right w:val="nil"/>
            </w:tcBorders>
          </w:tcPr>
          <w:p w:rsidR="000C48AE" w:rsidRPr="001E210C" w:rsidRDefault="000C48AE" w:rsidP="004910BB">
            <w:pPr>
              <w:pStyle w:val="BidNormal"/>
              <w:spacing w:after="0"/>
              <w:rPr>
                <w:rFonts w:cs="Arial"/>
                <w:lang w:val="cs-CZ"/>
              </w:rPr>
            </w:pPr>
            <w:r w:rsidRPr="001E210C">
              <w:rPr>
                <w:rFonts w:cs="Arial"/>
                <w:position w:val="-24"/>
                <w:lang w:val="cs-CZ"/>
              </w:rPr>
              <w:object w:dxaOrig="19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4.5pt" o:ole="" fillcolor="window">
                  <v:imagedata r:id="rId12" o:title=""/>
                </v:shape>
                <o:OLEObject Type="Embed" ProgID="Equation.3" ShapeID="_x0000_i1025" DrawAspect="Content" ObjectID="_1510144155" r:id="rId13"/>
              </w:objec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</w:tcPr>
          <w:p w:rsidR="000C48AE" w:rsidRPr="001E210C" w:rsidRDefault="000C48AE" w:rsidP="004910BB">
            <w:pPr>
              <w:pStyle w:val="BidNormal"/>
              <w:spacing w:after="0"/>
              <w:jc w:val="left"/>
              <w:rPr>
                <w:rFonts w:cs="Arial"/>
                <w:lang w:val="cs-CZ"/>
              </w:rPr>
            </w:pPr>
            <w:r w:rsidRPr="001E210C">
              <w:rPr>
                <w:rFonts w:cs="Arial"/>
                <w:lang w:val="cs-CZ"/>
              </w:rPr>
              <w:object w:dxaOrig="360" w:dyaOrig="360">
                <v:shape id="_x0000_i1026" type="#_x0000_t75" style="width:18pt;height:18pt" o:ole="" fillcolor="window">
                  <v:imagedata r:id="rId14" o:title=""/>
                </v:shape>
                <o:OLEObject Type="Embed" ProgID="Equation.3" ShapeID="_x0000_i1026" DrawAspect="Content" ObjectID="_1510144156" r:id="rId15"/>
              </w:object>
            </w:r>
            <w:r w:rsidRPr="001E210C">
              <w:rPr>
                <w:rFonts w:cs="Arial"/>
                <w:lang w:val="cs-CZ"/>
              </w:rPr>
              <w:tab/>
              <w:t xml:space="preserve">je měsíční dostupnost Služby v % </w:t>
            </w:r>
            <w:r w:rsidRPr="001E210C">
              <w:rPr>
                <w:rFonts w:cs="Arial"/>
                <w:lang w:val="cs-CZ"/>
              </w:rPr>
              <w:br/>
            </w:r>
            <w:r w:rsidRPr="001E210C">
              <w:rPr>
                <w:rFonts w:cs="Arial"/>
                <w:lang w:val="cs-CZ"/>
              </w:rPr>
              <w:object w:dxaOrig="380" w:dyaOrig="360">
                <v:shape id="_x0000_i1027" type="#_x0000_t75" style="width:19.5pt;height:17.25pt" o:ole="" fillcolor="window">
                  <v:imagedata r:id="rId16" o:title=""/>
                </v:shape>
                <o:OLEObject Type="Embed" ProgID="Equation.3" ShapeID="_x0000_i1027" DrawAspect="Content" ObjectID="_1510144157" r:id="rId17"/>
              </w:object>
            </w:r>
            <w:r w:rsidRPr="001E210C">
              <w:rPr>
                <w:rFonts w:cs="Arial"/>
                <w:lang w:val="cs-CZ"/>
              </w:rPr>
              <w:tab/>
              <w:t xml:space="preserve">je celková doba nedostupnosti </w:t>
            </w:r>
            <w:r w:rsidRPr="001E210C">
              <w:rPr>
                <w:rFonts w:cs="Arial"/>
                <w:lang w:val="cs-CZ"/>
              </w:rPr>
              <w:br/>
            </w:r>
            <w:r w:rsidRPr="001E210C">
              <w:rPr>
                <w:rFonts w:cs="Arial"/>
                <w:lang w:val="cs-CZ"/>
              </w:rPr>
              <w:tab/>
              <w:t>za sledované období</w:t>
            </w:r>
          </w:p>
          <w:p w:rsidR="000C48AE" w:rsidRPr="001E210C" w:rsidRDefault="000C48AE" w:rsidP="004910BB">
            <w:pPr>
              <w:pStyle w:val="BidNormal"/>
              <w:spacing w:after="0"/>
              <w:jc w:val="left"/>
              <w:rPr>
                <w:rFonts w:cs="Arial"/>
                <w:lang w:val="cs-CZ"/>
              </w:rPr>
            </w:pPr>
            <w:r w:rsidRPr="001E210C">
              <w:rPr>
                <w:rFonts w:cs="Arial"/>
                <w:position w:val="-4"/>
                <w:lang w:val="cs-CZ"/>
              </w:rPr>
              <w:object w:dxaOrig="220" w:dyaOrig="260">
                <v:shape id="_x0000_i1028" type="#_x0000_t75" style="width:11.25pt;height:12.75pt" o:ole="" fillcolor="window">
                  <v:imagedata r:id="rId18" o:title=""/>
                </v:shape>
                <o:OLEObject Type="Embed" ProgID="Equation.3" ShapeID="_x0000_i1028" DrawAspect="Content" ObjectID="_1510144158" r:id="rId19"/>
              </w:object>
            </w:r>
            <w:r w:rsidRPr="001E210C">
              <w:rPr>
                <w:rFonts w:cs="Arial"/>
                <w:lang w:val="cs-CZ"/>
              </w:rPr>
              <w:tab/>
              <w:t>je celková doba provozování Služby za sledované období</w:t>
            </w:r>
          </w:p>
        </w:tc>
      </w:tr>
    </w:tbl>
    <w:p w:rsidR="000C48AE" w:rsidRPr="001E210C" w:rsidRDefault="000C48AE" w:rsidP="00571230">
      <w:pPr>
        <w:pStyle w:val="Header"/>
        <w:tabs>
          <w:tab w:val="left" w:pos="284"/>
        </w:tabs>
        <w:jc w:val="both"/>
        <w:rPr>
          <w:rFonts w:ascii="Arial" w:hAnsi="Arial" w:cs="Arial"/>
          <w:b w:val="0"/>
          <w:sz w:val="20"/>
        </w:rPr>
      </w:pPr>
      <w:r w:rsidRPr="001E210C">
        <w:rPr>
          <w:rFonts w:ascii="Arial" w:hAnsi="Arial" w:cs="Arial"/>
          <w:sz w:val="20"/>
        </w:rPr>
        <w:t>Doby T</w:t>
      </w:r>
      <w:r w:rsidRPr="001E210C">
        <w:rPr>
          <w:rFonts w:ascii="Arial" w:hAnsi="Arial" w:cs="Arial"/>
          <w:sz w:val="20"/>
          <w:vertAlign w:val="subscript"/>
        </w:rPr>
        <w:t>err</w:t>
      </w:r>
      <w:r w:rsidRPr="001E210C">
        <w:rPr>
          <w:rFonts w:ascii="Arial" w:hAnsi="Arial" w:cs="Arial"/>
          <w:sz w:val="20"/>
        </w:rPr>
        <w:t xml:space="preserve"> a T se počítají na celé minuty, dostupnost se vyjádří v procentech zaokrouhleně na tři desetinná místa.</w:t>
      </w:r>
    </w:p>
    <w:p w:rsidR="000C48AE" w:rsidRPr="001E210C" w:rsidRDefault="000C48AE" w:rsidP="00571230">
      <w:pPr>
        <w:pStyle w:val="Header"/>
        <w:tabs>
          <w:tab w:val="left" w:pos="284"/>
        </w:tabs>
        <w:jc w:val="both"/>
        <w:rPr>
          <w:rFonts w:ascii="Arial" w:hAnsi="Arial" w:cs="Arial"/>
          <w:sz w:val="20"/>
        </w:rPr>
      </w:pPr>
      <w:r w:rsidRPr="001E210C">
        <w:rPr>
          <w:rFonts w:ascii="Arial" w:hAnsi="Arial" w:cs="Arial"/>
          <w:sz w:val="20"/>
        </w:rPr>
        <w:t>Hodnota T</w:t>
      </w:r>
      <w:r w:rsidRPr="001E210C">
        <w:rPr>
          <w:rFonts w:ascii="Arial" w:hAnsi="Arial" w:cs="Arial"/>
          <w:sz w:val="20"/>
          <w:vertAlign w:val="subscript"/>
        </w:rPr>
        <w:t xml:space="preserve">err  </w:t>
      </w:r>
      <w:r w:rsidRPr="001E210C">
        <w:rPr>
          <w:rFonts w:ascii="Arial" w:hAnsi="Arial" w:cs="Arial"/>
          <w:sz w:val="20"/>
        </w:rPr>
        <w:t xml:space="preserve">bude uvedena na základě </w:t>
      </w:r>
      <w:r w:rsidRPr="001E210C">
        <w:rPr>
          <w:rFonts w:ascii="Arial" w:hAnsi="Arial" w:cs="Arial"/>
          <w:sz w:val="20"/>
          <w:u w:val="single"/>
        </w:rPr>
        <w:t>proaktivního</w:t>
      </w:r>
      <w:r w:rsidRPr="001E210C">
        <w:rPr>
          <w:rFonts w:ascii="Arial" w:hAnsi="Arial" w:cs="Arial"/>
          <w:sz w:val="20"/>
        </w:rPr>
        <w:t xml:space="preserve"> dohledu zajišťovaného Poskytovatelem.</w:t>
      </w:r>
    </w:p>
    <w:p w:rsidR="000C48AE" w:rsidRPr="001E210C" w:rsidRDefault="000C48AE" w:rsidP="00571230">
      <w:pPr>
        <w:pStyle w:val="BidNormal"/>
        <w:rPr>
          <w:rFonts w:cs="Arial"/>
          <w:b/>
          <w:u w:val="single"/>
          <w:lang w:val="cs-CZ"/>
        </w:rPr>
      </w:pPr>
    </w:p>
    <w:p w:rsidR="000C48AE" w:rsidRPr="001E210C" w:rsidRDefault="000C48AE" w:rsidP="00571230">
      <w:pPr>
        <w:pStyle w:val="BidNormal"/>
        <w:rPr>
          <w:rFonts w:cs="Arial"/>
          <w:b/>
          <w:u w:val="single"/>
          <w:lang w:val="cs-CZ"/>
        </w:rPr>
      </w:pPr>
      <w:r w:rsidRPr="001E210C">
        <w:rPr>
          <w:rFonts w:cs="Arial"/>
          <w:b/>
          <w:u w:val="single"/>
          <w:lang w:val="cs-CZ"/>
        </w:rPr>
        <w:t>Kvalita Služby</w:t>
      </w:r>
    </w:p>
    <w:p w:rsidR="000C48AE" w:rsidRPr="008460D8" w:rsidRDefault="000C48AE" w:rsidP="00571230">
      <w:pPr>
        <w:pStyle w:val="BidNormal"/>
        <w:spacing w:after="120"/>
        <w:rPr>
          <w:rFonts w:cs="Arial"/>
          <w:lang w:val="cs-CZ"/>
        </w:rPr>
      </w:pPr>
      <w:r w:rsidRPr="001E210C">
        <w:rPr>
          <w:rFonts w:cs="Arial"/>
          <w:lang w:val="cs-CZ"/>
        </w:rPr>
        <w:t>Poskytovatel garantuje Objednateli minimální měsíční dostupnost každé dotčené Služby na úrovni definovanou v </w:t>
      </w:r>
      <w:r w:rsidRPr="001E210C">
        <w:rPr>
          <w:rFonts w:cs="Arial"/>
          <w:b/>
          <w:i/>
          <w:lang w:val="cs-CZ"/>
        </w:rPr>
        <w:t>Příloze č.2</w:t>
      </w:r>
      <w:r w:rsidRPr="001E210C">
        <w:rPr>
          <w:rFonts w:cs="Arial"/>
          <w:lang w:val="cs-CZ"/>
        </w:rPr>
        <w:t xml:space="preserve"> této Smlouvy. Výše smluvních pokut v případě nižší dostupnosti Služby je sjednána takto:</w:t>
      </w:r>
    </w:p>
    <w:p w:rsidR="000C48AE" w:rsidRPr="008460D8" w:rsidRDefault="000C48AE" w:rsidP="00571230">
      <w:pPr>
        <w:pStyle w:val="BidNormal"/>
        <w:rPr>
          <w:rFonts w:cs="Arial"/>
          <w:b/>
          <w:u w:val="single"/>
          <w:lang w:val="cs-CZ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2515"/>
        <w:gridCol w:w="5641"/>
      </w:tblGrid>
      <w:tr w:rsidR="000C48AE" w:rsidRPr="008460D8" w:rsidTr="004910BB">
        <w:tc>
          <w:tcPr>
            <w:tcW w:w="1324" w:type="dxa"/>
          </w:tcPr>
          <w:p w:rsidR="000C48AE" w:rsidRPr="008460D8" w:rsidRDefault="000C48AE" w:rsidP="004910BB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8460D8">
              <w:rPr>
                <w:rFonts w:ascii="Arial" w:hAnsi="Arial" w:cs="Arial"/>
                <w:b/>
                <w:sz w:val="20"/>
              </w:rPr>
              <w:t>Parametr</w:t>
            </w:r>
          </w:p>
        </w:tc>
        <w:tc>
          <w:tcPr>
            <w:tcW w:w="2515" w:type="dxa"/>
          </w:tcPr>
          <w:p w:rsidR="000C48AE" w:rsidRPr="008460D8" w:rsidRDefault="000C48AE" w:rsidP="004910BB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8460D8">
              <w:rPr>
                <w:rFonts w:ascii="Arial" w:hAnsi="Arial" w:cs="Arial"/>
                <w:b/>
                <w:sz w:val="20"/>
              </w:rPr>
              <w:t>Definovaná minimální hodnota</w:t>
            </w:r>
            <w:r>
              <w:rPr>
                <w:rFonts w:ascii="Arial" w:hAnsi="Arial" w:cs="Arial"/>
                <w:b/>
                <w:sz w:val="20"/>
              </w:rPr>
              <w:t xml:space="preserve"> dostupnosti</w:t>
            </w:r>
          </w:p>
        </w:tc>
        <w:tc>
          <w:tcPr>
            <w:tcW w:w="5641" w:type="dxa"/>
          </w:tcPr>
          <w:p w:rsidR="000C48AE" w:rsidRPr="008460D8" w:rsidRDefault="000C48AE" w:rsidP="004910BB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8460D8">
              <w:rPr>
                <w:rFonts w:ascii="Arial" w:hAnsi="Arial" w:cs="Arial"/>
                <w:b/>
                <w:sz w:val="20"/>
              </w:rPr>
              <w:t>Výše smluvní pokuty</w:t>
            </w:r>
          </w:p>
        </w:tc>
      </w:tr>
      <w:tr w:rsidR="000C48AE" w:rsidRPr="008460D8" w:rsidTr="004910BB">
        <w:tc>
          <w:tcPr>
            <w:tcW w:w="1324" w:type="dxa"/>
            <w:vMerge w:val="restart"/>
          </w:tcPr>
          <w:p w:rsidR="000C48AE" w:rsidRPr="008460D8" w:rsidRDefault="000C48AE" w:rsidP="004910B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8460D8">
              <w:rPr>
                <w:rFonts w:ascii="Arial" w:hAnsi="Arial" w:cs="Arial"/>
                <w:sz w:val="20"/>
              </w:rPr>
              <w:t>Dostupnost</w:t>
            </w:r>
          </w:p>
        </w:tc>
        <w:tc>
          <w:tcPr>
            <w:tcW w:w="2515" w:type="dxa"/>
          </w:tcPr>
          <w:p w:rsidR="000C48AE" w:rsidRPr="008460D8" w:rsidRDefault="000C48AE" w:rsidP="004910B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8460D8">
              <w:rPr>
                <w:rFonts w:ascii="Arial" w:hAnsi="Arial" w:cs="Arial"/>
                <w:sz w:val="20"/>
              </w:rPr>
              <w:t>99,000%</w:t>
            </w:r>
          </w:p>
        </w:tc>
        <w:tc>
          <w:tcPr>
            <w:tcW w:w="5641" w:type="dxa"/>
          </w:tcPr>
          <w:p w:rsidR="000C48AE" w:rsidRPr="008460D8" w:rsidRDefault="000C48AE" w:rsidP="004910B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460D8">
              <w:rPr>
                <w:rFonts w:ascii="Arial" w:hAnsi="Arial" w:cs="Arial"/>
                <w:sz w:val="20"/>
              </w:rPr>
              <w:t>0,05*R* Měsíční paušál poskytované Služby</w:t>
            </w:r>
          </w:p>
        </w:tc>
      </w:tr>
      <w:tr w:rsidR="000C48AE" w:rsidRPr="008460D8" w:rsidTr="004910BB">
        <w:tc>
          <w:tcPr>
            <w:tcW w:w="0" w:type="auto"/>
            <w:vMerge/>
            <w:vAlign w:val="center"/>
          </w:tcPr>
          <w:p w:rsidR="000C48AE" w:rsidRPr="008460D8" w:rsidRDefault="000C48AE" w:rsidP="004910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0C48AE" w:rsidRPr="008460D8" w:rsidRDefault="000C48AE" w:rsidP="004910B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8460D8">
              <w:rPr>
                <w:rFonts w:ascii="Arial" w:hAnsi="Arial" w:cs="Arial"/>
                <w:sz w:val="20"/>
              </w:rPr>
              <w:t>99,</w:t>
            </w:r>
            <w:r>
              <w:rPr>
                <w:rFonts w:ascii="Arial" w:hAnsi="Arial" w:cs="Arial"/>
                <w:sz w:val="20"/>
              </w:rPr>
              <w:t>3</w:t>
            </w:r>
            <w:r w:rsidRPr="008460D8">
              <w:rPr>
                <w:rFonts w:ascii="Arial" w:hAnsi="Arial" w:cs="Arial"/>
                <w:sz w:val="20"/>
              </w:rPr>
              <w:t>00%</w:t>
            </w:r>
          </w:p>
        </w:tc>
        <w:tc>
          <w:tcPr>
            <w:tcW w:w="5641" w:type="dxa"/>
          </w:tcPr>
          <w:p w:rsidR="000C48AE" w:rsidRPr="008460D8" w:rsidRDefault="000C48AE" w:rsidP="004910BB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0,06</w:t>
            </w:r>
            <w:r w:rsidRPr="008460D8">
              <w:rPr>
                <w:rFonts w:ascii="Arial" w:hAnsi="Arial" w:cs="Arial"/>
                <w:sz w:val="20"/>
              </w:rPr>
              <w:t>*R* Měsíční paušál poskytované Služby</w:t>
            </w:r>
          </w:p>
        </w:tc>
      </w:tr>
      <w:tr w:rsidR="000C48AE" w:rsidRPr="008460D8" w:rsidTr="004910BB">
        <w:tc>
          <w:tcPr>
            <w:tcW w:w="0" w:type="auto"/>
            <w:vMerge/>
            <w:vAlign w:val="center"/>
          </w:tcPr>
          <w:p w:rsidR="000C48AE" w:rsidRPr="008460D8" w:rsidRDefault="000C48AE" w:rsidP="004910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0C48AE" w:rsidRPr="008460D8" w:rsidRDefault="000C48AE" w:rsidP="004910B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8460D8">
              <w:rPr>
                <w:rFonts w:ascii="Arial" w:hAnsi="Arial" w:cs="Arial"/>
                <w:sz w:val="20"/>
              </w:rPr>
              <w:t>99,</w:t>
            </w:r>
            <w:r>
              <w:rPr>
                <w:rFonts w:ascii="Arial" w:hAnsi="Arial" w:cs="Arial"/>
                <w:sz w:val="20"/>
              </w:rPr>
              <w:t>5</w:t>
            </w:r>
            <w:r w:rsidRPr="008460D8">
              <w:rPr>
                <w:rFonts w:ascii="Arial" w:hAnsi="Arial" w:cs="Arial"/>
                <w:sz w:val="20"/>
              </w:rPr>
              <w:t>00%</w:t>
            </w:r>
          </w:p>
        </w:tc>
        <w:tc>
          <w:tcPr>
            <w:tcW w:w="5641" w:type="dxa"/>
          </w:tcPr>
          <w:p w:rsidR="000C48AE" w:rsidRPr="008460D8" w:rsidRDefault="000C48AE" w:rsidP="004910B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460D8">
              <w:rPr>
                <w:rFonts w:ascii="Arial" w:hAnsi="Arial" w:cs="Arial"/>
                <w:sz w:val="20"/>
              </w:rPr>
              <w:t>0,</w:t>
            </w:r>
            <w:r>
              <w:rPr>
                <w:rFonts w:ascii="Arial" w:hAnsi="Arial" w:cs="Arial"/>
                <w:sz w:val="20"/>
              </w:rPr>
              <w:t>07</w:t>
            </w:r>
            <w:r w:rsidRPr="008460D8">
              <w:rPr>
                <w:rFonts w:ascii="Arial" w:hAnsi="Arial" w:cs="Arial"/>
                <w:sz w:val="20"/>
              </w:rPr>
              <w:t xml:space="preserve">*R* Měsíční paušál poskytované Služby </w:t>
            </w:r>
          </w:p>
        </w:tc>
      </w:tr>
      <w:tr w:rsidR="000C48AE" w:rsidRPr="008460D8" w:rsidTr="004910BB">
        <w:tc>
          <w:tcPr>
            <w:tcW w:w="0" w:type="auto"/>
            <w:vMerge/>
            <w:vAlign w:val="center"/>
          </w:tcPr>
          <w:p w:rsidR="000C48AE" w:rsidRPr="008460D8" w:rsidRDefault="000C48AE" w:rsidP="004910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0C48AE" w:rsidRPr="008460D8" w:rsidRDefault="000C48AE" w:rsidP="004910B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8460D8">
              <w:rPr>
                <w:rFonts w:ascii="Arial" w:hAnsi="Arial" w:cs="Arial"/>
                <w:sz w:val="20"/>
              </w:rPr>
              <w:t>99,9</w:t>
            </w:r>
            <w:r>
              <w:rPr>
                <w:rFonts w:ascii="Arial" w:hAnsi="Arial" w:cs="Arial"/>
                <w:sz w:val="20"/>
              </w:rPr>
              <w:t>0</w:t>
            </w:r>
            <w:r w:rsidRPr="008460D8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5641" w:type="dxa"/>
          </w:tcPr>
          <w:p w:rsidR="000C48AE" w:rsidRPr="008460D8" w:rsidRDefault="000C48AE" w:rsidP="004910BB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0,08</w:t>
            </w:r>
            <w:r w:rsidRPr="008460D8">
              <w:rPr>
                <w:rFonts w:ascii="Arial" w:hAnsi="Arial" w:cs="Arial"/>
                <w:sz w:val="20"/>
              </w:rPr>
              <w:t xml:space="preserve">*R* Měsíční paušál poskytované Služby </w:t>
            </w:r>
          </w:p>
        </w:tc>
      </w:tr>
    </w:tbl>
    <w:p w:rsidR="000C48AE" w:rsidRPr="008460D8" w:rsidRDefault="000C48AE" w:rsidP="00571230">
      <w:pPr>
        <w:rPr>
          <w:rFonts w:ascii="Arial" w:hAnsi="Arial" w:cs="Arial"/>
          <w:sz w:val="20"/>
        </w:rPr>
      </w:pPr>
      <w:r w:rsidRPr="008460D8">
        <w:rPr>
          <w:rFonts w:ascii="Arial" w:hAnsi="Arial" w:cs="Arial"/>
          <w:sz w:val="20"/>
        </w:rPr>
        <w:t>Hodnota „R“ se vypočte odečtením hodnoty skutečně dosažené dostupnosti D</w:t>
      </w:r>
      <w:r w:rsidRPr="008460D8">
        <w:rPr>
          <w:rFonts w:ascii="Arial" w:hAnsi="Arial" w:cs="Arial"/>
          <w:sz w:val="20"/>
          <w:vertAlign w:val="subscript"/>
        </w:rPr>
        <w:t>m</w:t>
      </w:r>
      <w:r w:rsidRPr="008460D8">
        <w:rPr>
          <w:rFonts w:ascii="Arial" w:hAnsi="Arial" w:cs="Arial"/>
          <w:sz w:val="20"/>
        </w:rPr>
        <w:t xml:space="preserve"> (v % zaokrouhleno nahoru na tři desetinná místa) od definované minimální hodnoty dostupnosti. </w:t>
      </w:r>
    </w:p>
    <w:p w:rsidR="000C48AE" w:rsidRPr="0043355A" w:rsidRDefault="000C48AE" w:rsidP="00571230">
      <w:pPr>
        <w:pStyle w:val="BidNadpis2"/>
        <w:pageBreakBefore/>
        <w:numPr>
          <w:ilvl w:val="0"/>
          <w:numId w:val="0"/>
        </w:numPr>
        <w:tabs>
          <w:tab w:val="right" w:pos="9214"/>
        </w:tabs>
        <w:spacing w:before="120" w:after="0"/>
        <w:jc w:val="left"/>
        <w:rPr>
          <w:lang w:val="cs-CZ"/>
        </w:rPr>
      </w:pPr>
      <w:r w:rsidRPr="0043355A">
        <w:rPr>
          <w:lang w:val="cs-CZ"/>
        </w:rPr>
        <w:t xml:space="preserve">Příloha č. 4 Servisní podmínky </w:t>
      </w:r>
      <w:r>
        <w:rPr>
          <w:lang w:val="cs-CZ"/>
        </w:rPr>
        <w:t>–</w:t>
      </w:r>
      <w:r w:rsidRPr="0043355A">
        <w:rPr>
          <w:lang w:val="cs-CZ"/>
        </w:rPr>
        <w:t xml:space="preserve"> text vloží Poskytovatel  </w:t>
      </w:r>
    </w:p>
    <w:p w:rsidR="000C48AE" w:rsidRPr="0043355A" w:rsidRDefault="000C48AE" w:rsidP="00571230">
      <w:pPr>
        <w:pStyle w:val="BidNadpis2"/>
        <w:pageBreakBefore/>
        <w:numPr>
          <w:ilvl w:val="0"/>
          <w:numId w:val="0"/>
        </w:numPr>
        <w:tabs>
          <w:tab w:val="right" w:pos="9214"/>
        </w:tabs>
        <w:spacing w:before="120" w:after="0"/>
        <w:jc w:val="left"/>
        <w:rPr>
          <w:lang w:val="cs-CZ"/>
        </w:rPr>
      </w:pPr>
    </w:p>
    <w:p w:rsidR="000C48AE" w:rsidRPr="00323F07" w:rsidRDefault="000C48AE" w:rsidP="005712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5</w:t>
      </w:r>
      <w:r w:rsidRPr="00323F07">
        <w:rPr>
          <w:rFonts w:ascii="Arial" w:hAnsi="Arial" w:cs="Arial"/>
          <w:b/>
        </w:rPr>
        <w:t xml:space="preserve"> Katalogový list Služby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58"/>
        <w:gridCol w:w="1985"/>
        <w:gridCol w:w="5244"/>
      </w:tblGrid>
      <w:tr w:rsidR="000C48AE" w:rsidRPr="00323F07" w:rsidTr="004910BB">
        <w:trPr>
          <w:trHeight w:val="300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Označení služby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b/>
                <w:color w:val="000000"/>
                <w:sz w:val="20"/>
              </w:rPr>
            </w:pPr>
            <w:r w:rsidRPr="00323F07">
              <w:rPr>
                <w:rFonts w:cs="Calibri"/>
                <w:b/>
                <w:color w:val="000000"/>
              </w:rPr>
              <w:t>IP MPLS VPN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Stručný popis služby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Připojení lokality do prostředí IP MPLS VPN.</w:t>
            </w:r>
          </w:p>
        </w:tc>
      </w:tr>
      <w:tr w:rsidR="000C48AE" w:rsidRPr="00323F07" w:rsidTr="004910BB">
        <w:trPr>
          <w:trHeight w:val="1473"/>
        </w:trPr>
        <w:tc>
          <w:tcPr>
            <w:tcW w:w="1858" w:type="dxa"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Popis vlastností služby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Trvalé připojení (pevná přípojka) lokality do sítě IP MPLS VPN splňující globální parametry KIVS služby. Jednotlivé individuální parametry služby jsou definovány tímto katalogovým listem –( též jen KL).</w:t>
            </w:r>
          </w:p>
          <w:p w:rsidR="000C48AE" w:rsidRPr="00323F07" w:rsidRDefault="000C48AE" w:rsidP="0049429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musí umožnit použití adresního prostoru zvoleného Zadavatelem/Pověřujícím zadavatelem (dále také „Koncový uživatel“)</w:t>
            </w:r>
          </w:p>
          <w:p w:rsidR="000C48AE" w:rsidRPr="00323F07" w:rsidRDefault="000C48AE" w:rsidP="0049429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nesmí filtrovat zákaznický provoz.</w:t>
            </w:r>
          </w:p>
          <w:p w:rsidR="000C48AE" w:rsidRPr="00323F07" w:rsidRDefault="000C48AE" w:rsidP="0049429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Nedílnou součástí služby musí být koncové zařízení (CPE) spravované operátorem.</w:t>
            </w:r>
          </w:p>
          <w:p w:rsidR="000C48AE" w:rsidRPr="00323F07" w:rsidRDefault="000C48AE" w:rsidP="0049429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Předávacím rozhraním služby je/jsou Ethernet port/porty koncového zařízení.</w:t>
            </w:r>
          </w:p>
          <w:p w:rsidR="000C48AE" w:rsidRPr="00323F07" w:rsidRDefault="000C48AE" w:rsidP="0049429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 xml:space="preserve">Symetrická i asymetrická přípojka musí splňovat garanci kapacity (rychlosti)  v požadované (tedy plné) parametrice a nesmí být tvořena spojenými linkami, kde by technologická omezení představovala překážku pro využití celé kapacity linky aplikacemi zákazníka (např. 8 Mbit/s downstream musí při využití standardního FTP (jedna session) dosahovat rychlosti 8 Mbit/s +- 10 procent, při vypnutí QoS) </w:t>
            </w:r>
          </w:p>
        </w:tc>
      </w:tr>
      <w:tr w:rsidR="000C48AE" w:rsidRPr="00323F07" w:rsidTr="004910BB">
        <w:trPr>
          <w:trHeight w:val="1440"/>
        </w:trPr>
        <w:tc>
          <w:tcPr>
            <w:tcW w:w="1858" w:type="dxa"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Použitelné technologie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 realizaci služeb IP MPLS VPN je požadováno použití výhradně těchto přenosových technologií: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metalická vedení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optická vedení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radiové spoje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 w:hanging="284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 služby s parametrem SLA 99,5 % a vyšším musí být použita technologie pracující na kmitočtech s individuálním oprávněním v případě, že si to vyžádají podmínky v dané lokalitě – např. míra zarušení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 w:hanging="284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technologie pracující v pásmech se všeobecným oprávněním je povoleno používat pouze pro služby s parametrem SLA nižším než 99,5 %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Lokalizace služby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Adresa budovy, lokalita bude na vyžádání dodavatele doplněna kódem registru RUIAN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Monitoring služby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 závislosti na doplňkových službách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Podmíněno službami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N/A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Maximální doba zřízení služby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b/>
                <w:color w:val="000000"/>
                <w:sz w:val="20"/>
              </w:rPr>
            </w:pPr>
            <w:r w:rsidRPr="00323F07">
              <w:rPr>
                <w:rFonts w:cs="Calibri"/>
                <w:b/>
                <w:color w:val="000000"/>
                <w:sz w:val="20"/>
              </w:rPr>
              <w:t>5</w:t>
            </w:r>
            <w:r>
              <w:rPr>
                <w:rFonts w:cs="Calibri"/>
                <w:b/>
                <w:color w:val="000000"/>
                <w:sz w:val="20"/>
              </w:rPr>
              <w:t>0</w:t>
            </w:r>
            <w:r w:rsidRPr="00323F07">
              <w:rPr>
                <w:rFonts w:cs="Calibri"/>
                <w:b/>
                <w:color w:val="000000"/>
                <w:sz w:val="20"/>
              </w:rPr>
              <w:t>0 kalendářních dní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</w:tr>
      <w:tr w:rsidR="000C48AE" w:rsidRPr="00323F07" w:rsidTr="004910BB">
        <w:trPr>
          <w:trHeight w:val="40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Název skupiny parametrů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Kód parametru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ID Parametru</w:t>
            </w: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Popis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Kapacita</w:t>
            </w: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4096/256-1:50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K1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Asymetrické připojení s agregací maximálně 1:50 s kapacitou „do“ 4096/256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1, Profil 2 a Profil 3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b/>
                <w:color w:val="FF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4096/256-1:20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K2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Asymetrické připojení s agregací maximálně 1:20 s kapacitou „do“ 4096/256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1, Profil 2 a Profil 3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8192/512-1:50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K3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Asymetrické připojení s agregací maximálně 1:50 s kapacitou „do“ 8192/512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1, Profil 2 a Profil 3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b/>
                <w:color w:val="FF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8192/512-1:20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K4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Asymetrické připojení s agregací maximálně 1:20 s kapacitou „do“ 8192/512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1, Profil 2 a Profil 3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16/1-1:50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K5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Asymetrické připojení s agregací maximálně 1:50 s kapacitou „do“ 16/1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1, Profil 2 a Profil 3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b/>
                <w:color w:val="FF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16/1-1:20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K6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Asymetrické připojení s agregací maximálně 1:20 s kapacitou „do“ 16/1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1, Profil 2 a Profil 3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128k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K8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128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1, Profil 2 a Profil 3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256k</w:t>
            </w:r>
          </w:p>
          <w:p w:rsidR="000C48AE" w:rsidRPr="00323F07" w:rsidRDefault="000C48AE" w:rsidP="004910BB">
            <w:pPr>
              <w:rPr>
                <w:rFonts w:cs="Calibri"/>
                <w:color w:val="FF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K9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256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1, Profil 2 a Profil 3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512k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K10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512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1, Profil 2 a Profil 3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K11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2M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K12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2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4M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K13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4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6M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K14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6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8M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K15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8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K16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12M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K17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12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14M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K18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14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16M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K19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16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18M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K20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18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20M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K21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20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25M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K22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25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30M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K23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30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35M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K24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35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40M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K25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40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45M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K26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45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50M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K27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50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60M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K28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60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70M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K29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70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80M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K30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80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90M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K31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90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100M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K32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100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120M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K33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120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140M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K34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140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150M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K35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150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200M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K36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200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250M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K37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250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300M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K38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300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350M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K39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350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400M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K40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400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500M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K41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500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600M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K42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600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700M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K43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700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800M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K44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800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900M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K45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900 Mbit/s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1G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K46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Symetrické neagregované připojení s kapacitou 1 Gbit/s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Dostupné QoS profily: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781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Všechny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QoS</w:t>
            </w: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QoS-NE</w:t>
            </w:r>
          </w:p>
          <w:p w:rsidR="000C48AE" w:rsidRPr="00323F07" w:rsidRDefault="000C48AE" w:rsidP="004910BB">
            <w:pPr>
              <w:rPr>
                <w:rFonts w:cs="Calibri"/>
                <w:color w:val="FF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QOS0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neumožňuje nasazení QoS modelu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QoS-ANO</w:t>
            </w:r>
          </w:p>
          <w:p w:rsidR="000C48AE" w:rsidRPr="00323F07" w:rsidRDefault="000C48AE" w:rsidP="004910BB">
            <w:pPr>
              <w:rPr>
                <w:rFonts w:cs="Calibri"/>
                <w:color w:val="FF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QOS1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umožňuje nasazení QoS modelu dle definice v katalogovém listu IP MPLS VPN - QoS</w:t>
            </w:r>
          </w:p>
        </w:tc>
      </w:tr>
      <w:tr w:rsidR="000C48AE" w:rsidRPr="00323F07" w:rsidTr="004910BB">
        <w:trPr>
          <w:trHeight w:val="424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Multiple VPN</w:t>
            </w: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MVPN-NE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MVPN0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neumožňuje vytvoření vzájemně oddělených VPN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MVPN-TRUNK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MVPN1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umožňuje vytvoření více vzájemně oddělených VPN - předání na jednom Ethernetovém portu v trunk módu (802.1Q)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maximální počet VPN v rámci služby je 8</w:t>
            </w:r>
          </w:p>
          <w:p w:rsidR="000C48AE" w:rsidRPr="00323F07" w:rsidRDefault="000C48AE" w:rsidP="0049429C">
            <w:pPr>
              <w:numPr>
                <w:ilvl w:val="0"/>
                <w:numId w:val="9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minimální kapacita každé jednotlivé VPN je 256 kbit/s</w:t>
            </w:r>
          </w:p>
          <w:p w:rsidR="000C48AE" w:rsidRPr="00323F07" w:rsidRDefault="000C48AE" w:rsidP="0049429C">
            <w:pPr>
              <w:numPr>
                <w:ilvl w:val="0"/>
                <w:numId w:val="9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koncový uživatel definuje požadovaný počet VPN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MVPN-FYZ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MVPN2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umožňuje vytvoření více vzájemně oddělených VPN - předání na více fyzických Ethernetových portech RJ-45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maximální počet VPN v rámci služby je 8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minimální kapacita každé jednotlivé VPN je 256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 xml:space="preserve">koncový uživatel definuje požadovaný počet VPN 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Garantovaná dostupnost</w:t>
            </w: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SLA-0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SLA0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nemá garantovanou dostupnost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SLA-99,0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SLA2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má garantovanou dostupnost minimálně 99%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SLA-99,5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SLA3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má garantovanou dostupnost minimálně 99,5%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SLA-99,9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SLA4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má garantovanou dostupnost minimálně 99,9%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SLA-99,99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SLA5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má garantovanou dostupnost minimálně 99,99%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Záloha služby</w:t>
            </w: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ZAL-NE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ZAL0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bez zálohy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ZAL-25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ZAL1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se zálohou o kapacitě 25% primární linky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ZAL-50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ZAL2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se zálohou o kapacitě 50% primární linky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ZAL-75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ZAL3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se zálohou o kapacitě 75% primární linky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Bezpečnost</w:t>
            </w: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SEC-NE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SEC0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Bezpečnost je dána charakterem služby</w:t>
            </w:r>
          </w:p>
        </w:tc>
      </w:tr>
      <w:tr w:rsidR="000C48AE" w:rsidRPr="00323F07" w:rsidTr="004910BB">
        <w:trPr>
          <w:trHeight w:val="675"/>
        </w:trPr>
        <w:tc>
          <w:tcPr>
            <w:tcW w:w="1858" w:type="dxa"/>
            <w:vMerge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SEC-1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SEC1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Bezpečnost služby je rozšířena nasazením access-listů</w:t>
            </w:r>
          </w:p>
          <w:p w:rsidR="000C48AE" w:rsidRPr="00323F07" w:rsidRDefault="000C48AE" w:rsidP="0049429C">
            <w:pPr>
              <w:numPr>
                <w:ilvl w:val="0"/>
                <w:numId w:val="9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poskytovatel garantuje provedení úpravy access-listu do 2pracovních dní</w:t>
            </w:r>
          </w:p>
          <w:p w:rsidR="000C48AE" w:rsidRPr="00323F07" w:rsidRDefault="000C48AE" w:rsidP="0049429C">
            <w:pPr>
              <w:numPr>
                <w:ilvl w:val="0"/>
                <w:numId w:val="9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 ceně služby je úprava access-listů maximálně 4x za kalendářní měsíc</w:t>
            </w:r>
          </w:p>
        </w:tc>
      </w:tr>
      <w:tr w:rsidR="000C48AE" w:rsidRPr="00323F07" w:rsidTr="004910BB">
        <w:trPr>
          <w:trHeight w:val="1434"/>
        </w:trPr>
        <w:tc>
          <w:tcPr>
            <w:tcW w:w="18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SEC-2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SEC2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Bezpečnost služby je rozšířena nasazením šifrování</w:t>
            </w:r>
          </w:p>
          <w:p w:rsidR="000C48AE" w:rsidRPr="00323F07" w:rsidRDefault="000C48AE" w:rsidP="0049429C">
            <w:pPr>
              <w:numPr>
                <w:ilvl w:val="0"/>
                <w:numId w:val="9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šifrování musí být nasazeno minimálně na dvou službách IP MPLS VPN, začleněných do téže VPN (musí být vytvořeny minimálně konec A a konec B)</w:t>
            </w:r>
          </w:p>
          <w:p w:rsidR="000C48AE" w:rsidRPr="00323F07" w:rsidRDefault="000C48AE" w:rsidP="0049429C">
            <w:pPr>
              <w:numPr>
                <w:ilvl w:val="0"/>
                <w:numId w:val="9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šifrování je zajištěno šifrováním AES-256</w:t>
            </w:r>
          </w:p>
          <w:p w:rsidR="000C48AE" w:rsidRPr="00323F07" w:rsidRDefault="000C48AE" w:rsidP="0049429C">
            <w:pPr>
              <w:numPr>
                <w:ilvl w:val="0"/>
                <w:numId w:val="9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</w:tr>
      <w:tr w:rsidR="000C48AE" w:rsidRPr="00323F07" w:rsidTr="004910BB">
        <w:trPr>
          <w:trHeight w:val="300"/>
        </w:trPr>
        <w:tc>
          <w:tcPr>
            <w:tcW w:w="90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Doplňkové služby</w:t>
            </w:r>
          </w:p>
        </w:tc>
      </w:tr>
      <w:tr w:rsidR="000C48AE" w:rsidRPr="00323F07" w:rsidTr="004910BB">
        <w:trPr>
          <w:trHeight w:val="358"/>
        </w:trPr>
        <w:tc>
          <w:tcPr>
            <w:tcW w:w="1858" w:type="dxa"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Název skupiny parametrů</w:t>
            </w:r>
          </w:p>
        </w:tc>
        <w:tc>
          <w:tcPr>
            <w:tcW w:w="1985" w:type="dxa"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Kód parametru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ID Parametru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Popis</w:t>
            </w:r>
          </w:p>
        </w:tc>
      </w:tr>
      <w:tr w:rsidR="000C48AE" w:rsidRPr="00323F07" w:rsidTr="004910BB">
        <w:trPr>
          <w:trHeight w:val="534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Performance monitoring</w:t>
            </w: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PERF-NE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PER0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Monitorování výkonnostních charakteristik není požadováno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PERF-ANO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PER1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 xml:space="preserve">Součástí služby je monitorování výkonnostních charakteristik </w:t>
            </w:r>
          </w:p>
          <w:p w:rsidR="000C48AE" w:rsidRPr="00323F07" w:rsidRDefault="000C48AE" w:rsidP="0049429C">
            <w:pPr>
              <w:numPr>
                <w:ilvl w:val="0"/>
                <w:numId w:val="9"/>
              </w:numPr>
              <w:spacing w:after="0" w:line="240" w:lineRule="auto"/>
              <w:ind w:left="348" w:hanging="284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monitorované parametry jsou závislé na parametrice konektivitní služby</w:t>
            </w:r>
          </w:p>
        </w:tc>
      </w:tr>
      <w:tr w:rsidR="000C48AE" w:rsidRPr="00323F07" w:rsidTr="004910BB">
        <w:trPr>
          <w:trHeight w:val="775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Proaktivní dohled</w:t>
            </w: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PROAKT-NE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PRO0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Konektivitní služba není proaktivně dohledována</w:t>
            </w:r>
          </w:p>
          <w:p w:rsidR="000C48AE" w:rsidRPr="00323F07" w:rsidRDefault="000C48AE" w:rsidP="0049429C">
            <w:pPr>
              <w:numPr>
                <w:ilvl w:val="0"/>
                <w:numId w:val="11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operátor negarantuje proaktivní zahájení odstraňování závady</w:t>
            </w:r>
          </w:p>
        </w:tc>
      </w:tr>
      <w:tr w:rsidR="000C48AE" w:rsidRPr="00323F07" w:rsidTr="004910BB">
        <w:trPr>
          <w:trHeight w:val="404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PROAKT-ANO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PRO1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Konektivitní služba je proaktivně dohledována operátorem</w:t>
            </w:r>
          </w:p>
          <w:p w:rsidR="000C48AE" w:rsidRPr="00323F07" w:rsidRDefault="000C48AE" w:rsidP="0049429C">
            <w:pPr>
              <w:numPr>
                <w:ilvl w:val="0"/>
                <w:numId w:val="10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operátor zahajuje řešení incidentu i bez nahlášení ze strany uživatele služby</w:t>
            </w:r>
          </w:p>
          <w:p w:rsidR="000C48AE" w:rsidRPr="00323F07" w:rsidRDefault="000C48AE" w:rsidP="0049429C">
            <w:pPr>
              <w:numPr>
                <w:ilvl w:val="0"/>
                <w:numId w:val="10"/>
              </w:numPr>
              <w:spacing w:after="0" w:line="240" w:lineRule="auto"/>
              <w:ind w:left="356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operátor informuje zástupce uživatele o incidentu na službě do 30 minut od vzniku incidentu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IPv6 VPN</w:t>
            </w:r>
          </w:p>
        </w:tc>
        <w:tc>
          <w:tcPr>
            <w:tcW w:w="1985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IPv6-NE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IPV0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IP MPLS VPN nepodporuje využití adresního prostoru IPv6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IPv6-ANO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IPV1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Služba IP MPLS VPN podporuje využití adresního prostoru IPv6</w:t>
            </w:r>
          </w:p>
        </w:tc>
      </w:tr>
    </w:tbl>
    <w:p w:rsidR="000C48AE" w:rsidRPr="00323F07" w:rsidRDefault="000C48AE" w:rsidP="00571230">
      <w:pPr>
        <w:rPr>
          <w:u w:val="single"/>
        </w:rPr>
      </w:pPr>
    </w:p>
    <w:p w:rsidR="000C48AE" w:rsidRPr="00323F07" w:rsidRDefault="000C48AE" w:rsidP="00571230">
      <w:r w:rsidRPr="00323F07">
        <w:t>Rámcové požadavky na kvalitu služeb QoS jsou uvedeny níže: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58"/>
        <w:gridCol w:w="2559"/>
        <w:gridCol w:w="4670"/>
      </w:tblGrid>
      <w:tr w:rsidR="000C48AE" w:rsidRPr="00323F07" w:rsidTr="004910BB">
        <w:trPr>
          <w:trHeight w:val="300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Označení služby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b/>
                <w:color w:val="000000"/>
                <w:sz w:val="20"/>
              </w:rPr>
            </w:pPr>
            <w:r w:rsidRPr="00323F07">
              <w:rPr>
                <w:rFonts w:cs="Calibri"/>
                <w:b/>
                <w:color w:val="000000"/>
              </w:rPr>
              <w:t>IP MPLS VPN - QoS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tcBorders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Stručný popis služby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18"/>
                <w:szCs w:val="16"/>
              </w:rPr>
            </w:pPr>
            <w:r w:rsidRPr="00323F07">
              <w:rPr>
                <w:rFonts w:cs="Calibri"/>
                <w:color w:val="000000"/>
                <w:sz w:val="18"/>
                <w:szCs w:val="16"/>
              </w:rPr>
              <w:t>Definice QoS pro služby v rámci KIVS.</w:t>
            </w:r>
          </w:p>
        </w:tc>
      </w:tr>
      <w:tr w:rsidR="000C48AE" w:rsidRPr="00323F07" w:rsidTr="004910BB">
        <w:trPr>
          <w:trHeight w:val="1473"/>
        </w:trPr>
        <w:tc>
          <w:tcPr>
            <w:tcW w:w="1858" w:type="dxa"/>
            <w:tcBorders>
              <w:lef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Popis vlastností služby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18"/>
                <w:szCs w:val="16"/>
              </w:rPr>
            </w:pPr>
            <w:r w:rsidRPr="00323F07">
              <w:rPr>
                <w:rFonts w:cs="Calibri"/>
                <w:color w:val="000000"/>
                <w:sz w:val="18"/>
                <w:szCs w:val="16"/>
              </w:rPr>
              <w:t>QoS model v rámci KIVS  umožňuje nasadit maximálně 6 tříd služeb. Dostupné třídy:</w:t>
            </w:r>
          </w:p>
          <w:p w:rsidR="000C48AE" w:rsidRPr="00323F07" w:rsidRDefault="000C48AE" w:rsidP="0049429C">
            <w:pPr>
              <w:numPr>
                <w:ilvl w:val="0"/>
                <w:numId w:val="13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18"/>
                <w:szCs w:val="16"/>
              </w:rPr>
            </w:pPr>
            <w:r w:rsidRPr="00323F07">
              <w:rPr>
                <w:rFonts w:cs="Calibri"/>
                <w:color w:val="000000"/>
                <w:sz w:val="18"/>
                <w:szCs w:val="16"/>
              </w:rPr>
              <w:t>Class A – real-time (např. VoIP)</w:t>
            </w:r>
          </w:p>
          <w:p w:rsidR="000C48AE" w:rsidRPr="00323F07" w:rsidRDefault="000C48AE" w:rsidP="0049429C">
            <w:pPr>
              <w:numPr>
                <w:ilvl w:val="0"/>
                <w:numId w:val="13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18"/>
                <w:szCs w:val="16"/>
              </w:rPr>
            </w:pPr>
            <w:r w:rsidRPr="00323F07">
              <w:rPr>
                <w:rFonts w:cs="Calibri"/>
                <w:color w:val="000000"/>
                <w:sz w:val="18"/>
                <w:szCs w:val="16"/>
              </w:rPr>
              <w:t>Class B – signalizace</w:t>
            </w:r>
          </w:p>
          <w:p w:rsidR="000C48AE" w:rsidRPr="00323F07" w:rsidRDefault="000C48AE" w:rsidP="0049429C">
            <w:pPr>
              <w:numPr>
                <w:ilvl w:val="0"/>
                <w:numId w:val="13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18"/>
                <w:szCs w:val="16"/>
              </w:rPr>
            </w:pPr>
            <w:r w:rsidRPr="00323F07">
              <w:rPr>
                <w:rFonts w:cs="Calibri"/>
                <w:color w:val="000000"/>
                <w:sz w:val="18"/>
                <w:szCs w:val="16"/>
              </w:rPr>
              <w:t>Class C – kritické aplikace (např. video, videokonference, klíčové systémy)</w:t>
            </w:r>
          </w:p>
          <w:p w:rsidR="000C48AE" w:rsidRPr="00323F07" w:rsidRDefault="000C48AE" w:rsidP="0049429C">
            <w:pPr>
              <w:numPr>
                <w:ilvl w:val="0"/>
                <w:numId w:val="13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18"/>
                <w:szCs w:val="16"/>
              </w:rPr>
            </w:pPr>
            <w:r w:rsidRPr="00323F07">
              <w:rPr>
                <w:rFonts w:cs="Calibri"/>
                <w:color w:val="000000"/>
                <w:sz w:val="18"/>
                <w:szCs w:val="16"/>
              </w:rPr>
              <w:t>Class D – aplikační třída 2</w:t>
            </w:r>
          </w:p>
          <w:p w:rsidR="000C48AE" w:rsidRPr="00323F07" w:rsidRDefault="000C48AE" w:rsidP="0049429C">
            <w:pPr>
              <w:numPr>
                <w:ilvl w:val="0"/>
                <w:numId w:val="13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18"/>
                <w:szCs w:val="16"/>
              </w:rPr>
            </w:pPr>
            <w:r w:rsidRPr="00323F07">
              <w:rPr>
                <w:rFonts w:cs="Calibri"/>
                <w:color w:val="000000"/>
                <w:sz w:val="18"/>
                <w:szCs w:val="16"/>
              </w:rPr>
              <w:t>Class E – aplikační třída 3</w:t>
            </w:r>
          </w:p>
          <w:p w:rsidR="000C48AE" w:rsidRPr="00323F07" w:rsidRDefault="000C48AE" w:rsidP="0049429C">
            <w:pPr>
              <w:numPr>
                <w:ilvl w:val="0"/>
                <w:numId w:val="13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18"/>
                <w:szCs w:val="16"/>
              </w:rPr>
            </w:pPr>
            <w:r w:rsidRPr="00323F07">
              <w:rPr>
                <w:rFonts w:cs="Calibri"/>
                <w:color w:val="000000"/>
                <w:sz w:val="18"/>
                <w:szCs w:val="16"/>
              </w:rPr>
              <w:t>Class F – best-effort (ostatní provoz)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6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</w:tr>
      <w:tr w:rsidR="000C48AE" w:rsidRPr="00323F07" w:rsidTr="004910BB">
        <w:trPr>
          <w:trHeight w:val="40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Název skupiny parametrů</w:t>
            </w:r>
          </w:p>
        </w:tc>
        <w:tc>
          <w:tcPr>
            <w:tcW w:w="2559" w:type="dxa"/>
            <w:tcBorders>
              <w:top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Kód parametru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ID Parametru</w:t>
            </w:r>
          </w:p>
        </w:tc>
        <w:tc>
          <w:tcPr>
            <w:tcW w:w="467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Popis</w:t>
            </w:r>
          </w:p>
        </w:tc>
      </w:tr>
      <w:tr w:rsidR="000C48AE" w:rsidRPr="00323F07" w:rsidTr="004910BB">
        <w:trPr>
          <w:trHeight w:val="195"/>
        </w:trPr>
        <w:tc>
          <w:tcPr>
            <w:tcW w:w="1858" w:type="dxa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Společné vlastnosti tříd</w:t>
            </w: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Vlastnosti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VLAS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Garance performance (výkonnostních) parametrů je možná pouze v kombinaci s objednáním doplňkové služby „Performance monitoring“. Bez této doplňkové služby jsou hodnoty, uváděné u jednotlivých tříd pouze orientační.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V případě objednání doplňkové služby „Performance monitoring“ dochází k rozšíření SLA i na uvedené performance parametry jednotlivých tříd.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Parametry jsou garantovány v případě, že provoz, generovaný koncovým uživatelem nepřesáhne 90 % celkové kapacity VPN přípojky.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Šířka pásma každé jednotlivé třídy je zadávána v % z celkové kapacity VPN přípojky.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Minimální kapacita je 5 % z celkové kapacity přípojky a zároveň minimálně 64 kbit/s.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Šířku pásma jednotlivých tříd je možné měnit po 5 % kapacity VPN přípojky.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Součet kapacit všech tříd je 95 %. 5% kapacity linky je vyhrazeno pro kontrolní provoz poskytovatele.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Performance parametry</w:t>
            </w: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Performance</w:t>
            </w:r>
          </w:p>
          <w:p w:rsidR="000C48AE" w:rsidRPr="00323F07" w:rsidRDefault="000C48AE" w:rsidP="004910BB">
            <w:pPr>
              <w:rPr>
                <w:rFonts w:cs="Calibri"/>
                <w:color w:val="FF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PPAR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V rámci QoS modelu jsou za performance parametry považovány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Zpoždění (Latency)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JITTER (variabilita zpoždění)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Ztrátovost paketů (Packet Loss)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Všechny hodnoty jsou měřeny pro smyčku (jedná se o obousměrné hodnoty)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Měření performance parametrů</w:t>
            </w: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Měření perf</w:t>
            </w:r>
          </w:p>
          <w:p w:rsidR="000C48AE" w:rsidRPr="00323F07" w:rsidRDefault="000C48AE" w:rsidP="004910BB">
            <w:pPr>
              <w:rPr>
                <w:rFonts w:cs="Calibri"/>
                <w:color w:val="FF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MPPA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Měření performance parametrů probíhá mezi CPE (koncovým zařízením) umístěným v lokalitě zakončení služby MPLS IP VPN a sondou, umístěnou v páteřní síti poskytovatele.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QoS třídy</w:t>
            </w: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A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CLS1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Real-time třída, určená pro provoz IP telefonie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Minimální šířka pásma je 5 % z celkové kapacity VPN přípojky a zároveň minimálně 64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Maximální šířka pásma třídy je 50 % celkové kapacity VPN přípojky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Hodnoty performance parametrů: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Ztrátovost paketů – 0,25 % (platí pro symetrické služby)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Ztrátovost paketů – 0,5 % (platí pro služby asymetrické)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JITTER – 30 ms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Zpoždění – 60 ms (platí pro symetrické služby)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Zpoždění – 70 ms (platí pro asymetrické služby)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Uvedené hodnoty platí v případě vytížení celkové kapacity VPN přípojky na 90 % a v případě, že nedochází k přehlcení třídy. Měření je prováděno pakety s velikostí do 64 B.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  <w:szCs w:val="16"/>
              </w:rPr>
            </w:pP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B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CLS2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Prioritní třída, určená pro například pro přenášení VoIP signalizace (vyžaduje-li koncový uživatel pro signalizaci samostatnou třídu)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Minimální šířka pásma je 5 % z celkové kapacity VPN přípojky a zároveň minimálně 64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Maximální šířka pásma třídy je 20 % celkové kapacity VPN přípojky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Hodnoty performance parametrů: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Ztrátovost paketů – 0,25 % (platí pro symetrické služby)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JITTER – 30 ms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Zpoždění – 60 ms (platí pro symetrické služby)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Uvedené hodnoty platí v případě vytížení celkové kapacity VPN přípojky na 90 % a v případě, že nedochází k přehlcení třídy. Měření je prováděno pakety s velikostí do 64 B.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  <w:szCs w:val="16"/>
              </w:rPr>
            </w:pP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C</w:t>
            </w:r>
          </w:p>
          <w:p w:rsidR="000C48AE" w:rsidRPr="00323F07" w:rsidRDefault="000C48AE" w:rsidP="004910BB">
            <w:pPr>
              <w:rPr>
                <w:rFonts w:cs="Calibri"/>
                <w:b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CLS3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Prioritní třída, určená pro Business Critical aplikace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Minimální šířka pásma je 5 % z celkové kapacity VPN přípojky a zároveň minimálně 64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Hodnoty performance parametrů: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Ztrátovost paketů – 0,5 % (platí pro symetrické služby)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JITTER – není garantován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Zpoždění – 200 ms (platí pro symetrické služby)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Uvedené hodnoty platí v případě vytížení celkové kapacity VPN přípojky na 90 %. Měření je prováděno pakety s velikostí do 64 B.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  <w:szCs w:val="16"/>
              </w:rPr>
            </w:pP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D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CLS4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Prioritní třída, určená pro Business aplikace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Minimální šířka pásma je 5 % z celkové kapacity VPN přípojky a zároveň minimálně 64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Hodnoty performance parametrů: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Ztrátovost paketů – není garantována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JITTER – není garantován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Zpoždění – 250 ms (platí pro symetrické služby)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Uvedené hodnoty platí v případě vytížení celkové kapacity VPN přípojky na 90 %. Měření je prováděno pakety s velikostí do 64 B.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  <w:szCs w:val="16"/>
              </w:rPr>
            </w:pP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E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CLS5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Prioritní třída, určená pro ostatní aplikace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Minimální šířka pásma je 5 % z celkové kapacity VPN přípojky a zároveň minimálně 64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Hodnoty performance parametrů: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Ztrátovost paketů – není garantována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JITTER – není garantován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Zpoždění – není garantováno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Uvedené hodnoty platí v případě vytížení celkové kapacity VPN přípojky na 90 %. Měření je prováděno pakety s velikostí do 64 B.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  <w:szCs w:val="16"/>
              </w:rPr>
            </w:pP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F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CLS6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Best-effort třída, zbytkové pásmo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Kapacita minimálně 64 kbit/s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 xml:space="preserve">Kapacita určena v % z celkové kapacity VPN 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ind w:left="360" w:hanging="283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Hodnoty performance parametrů: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Ztrátovost paketů – není garantována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JITTER – není garantován</w:t>
            </w:r>
          </w:p>
          <w:p w:rsidR="000C48AE" w:rsidRPr="00323F07" w:rsidRDefault="000C48AE" w:rsidP="0049429C">
            <w:pPr>
              <w:numPr>
                <w:ilvl w:val="1"/>
                <w:numId w:val="8"/>
              </w:numPr>
              <w:spacing w:after="0" w:line="240" w:lineRule="auto"/>
              <w:ind w:left="644"/>
              <w:contextualSpacing/>
              <w:jc w:val="both"/>
              <w:rPr>
                <w:rFonts w:cs="Calibri"/>
                <w:color w:val="000000"/>
                <w:sz w:val="20"/>
                <w:szCs w:val="16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Zpoždění – není garantováno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  <w:szCs w:val="16"/>
              </w:rPr>
              <w:t>Možnosti provozu QoS</w:t>
            </w: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DCSP-TRANS</w:t>
            </w:r>
          </w:p>
          <w:p w:rsidR="000C48AE" w:rsidRPr="00323F07" w:rsidRDefault="000C48AE" w:rsidP="004910BB">
            <w:pPr>
              <w:rPr>
                <w:rFonts w:cs="Calibri"/>
                <w:color w:val="FF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DSCP1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Markování provozu provádí koncový uživatel v jeho síti (LAN) poskytovateli KIVS pak předává jím zvolené DSCP hodnoty. Poskytovatel tyto hodnoty transparentně přenáší přes WAN síť.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</w:tcBorders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DSCP-FIX</w:t>
            </w:r>
          </w:p>
          <w:p w:rsidR="000C48AE" w:rsidRPr="00323F07" w:rsidRDefault="000C48AE" w:rsidP="004910BB">
            <w:pPr>
              <w:rPr>
                <w:rFonts w:cs="Calibri"/>
                <w:color w:val="FF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DSCP2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Markování provádí poskytovatel (a stanovuje hodnotu DSCP) na základě IP adres a portů, dodaných koncovým uživatelem.</w:t>
            </w:r>
          </w:p>
        </w:tc>
      </w:tr>
      <w:tr w:rsidR="000C48AE" w:rsidRPr="00323F07" w:rsidTr="004910BB">
        <w:trPr>
          <w:trHeight w:val="553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Profily QoS</w:t>
            </w: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1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PROF1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 profilu jsou dostupné třídy: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E a Class F</w:t>
            </w:r>
          </w:p>
        </w:tc>
      </w:tr>
      <w:tr w:rsidR="000C48AE" w:rsidRPr="00323F07" w:rsidTr="004910BB">
        <w:trPr>
          <w:trHeight w:val="553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2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PROF2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 profilu jsou dostupné třídy: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A a Class F</w:t>
            </w:r>
          </w:p>
        </w:tc>
      </w:tr>
      <w:tr w:rsidR="000C48AE" w:rsidRPr="00323F07" w:rsidTr="004910BB">
        <w:trPr>
          <w:trHeight w:val="553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3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PROF3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 profilu jsou dostupné třídy: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A, Class E a Class F</w:t>
            </w:r>
          </w:p>
        </w:tc>
      </w:tr>
      <w:tr w:rsidR="000C48AE" w:rsidRPr="00323F07" w:rsidTr="004910BB">
        <w:trPr>
          <w:trHeight w:val="553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4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PROF4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 profilu jsou dostupné třídy: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A, Class D, Class E a Class F</w:t>
            </w:r>
          </w:p>
        </w:tc>
      </w:tr>
      <w:tr w:rsidR="000C48AE" w:rsidRPr="00323F07" w:rsidTr="004910BB">
        <w:trPr>
          <w:trHeight w:val="553"/>
        </w:trPr>
        <w:tc>
          <w:tcPr>
            <w:tcW w:w="1858" w:type="dxa"/>
            <w:vMerge/>
            <w:tcBorders>
              <w:left w:val="single" w:sz="12" w:space="0" w:color="auto"/>
            </w:tcBorders>
            <w:noWrap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559" w:type="dxa"/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5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PROF5</w:t>
            </w:r>
          </w:p>
        </w:tc>
        <w:tc>
          <w:tcPr>
            <w:tcW w:w="4670" w:type="dxa"/>
            <w:tcBorders>
              <w:right w:val="single" w:sz="12" w:space="0" w:color="auto"/>
            </w:tcBorders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 profilu jsou dostupné třídy: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A, Class C, Class D, Class E a Class F</w:t>
            </w:r>
          </w:p>
        </w:tc>
      </w:tr>
      <w:tr w:rsidR="000C48AE" w:rsidRPr="00323F07" w:rsidTr="004910BB">
        <w:trPr>
          <w:trHeight w:val="300"/>
        </w:trPr>
        <w:tc>
          <w:tcPr>
            <w:tcW w:w="18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559" w:type="dxa"/>
            <w:tcBorders>
              <w:bottom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Profil 6</w:t>
            </w:r>
          </w:p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FF0000"/>
                <w:sz w:val="20"/>
              </w:rPr>
              <w:t>PROF6</w:t>
            </w:r>
          </w:p>
        </w:tc>
        <w:tc>
          <w:tcPr>
            <w:tcW w:w="467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8AE" w:rsidRPr="00323F07" w:rsidRDefault="000C48AE" w:rsidP="004910BB">
            <w:pPr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V profilu jsou dostupné třídy:</w:t>
            </w:r>
          </w:p>
          <w:p w:rsidR="000C48AE" w:rsidRPr="00323F07" w:rsidRDefault="000C48AE" w:rsidP="0049429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cs="Calibri"/>
                <w:color w:val="000000"/>
                <w:sz w:val="20"/>
              </w:rPr>
            </w:pPr>
            <w:r w:rsidRPr="00323F07">
              <w:rPr>
                <w:rFonts w:cs="Calibri"/>
                <w:color w:val="000000"/>
                <w:sz w:val="20"/>
              </w:rPr>
              <w:t>Class A, Class B, Class C, Class D, Class E a Class F</w:t>
            </w:r>
          </w:p>
        </w:tc>
      </w:tr>
    </w:tbl>
    <w:p w:rsidR="000C48AE" w:rsidRDefault="000C48AE" w:rsidP="00571230">
      <w:pPr>
        <w:rPr>
          <w:rFonts w:ascii="Arial" w:hAnsi="Arial" w:cs="Arial"/>
          <w:b/>
          <w:highlight w:val="cyan"/>
        </w:rPr>
      </w:pPr>
    </w:p>
    <w:sectPr w:rsidR="000C48AE" w:rsidSect="002D3643"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AE" w:rsidRDefault="000C48AE">
      <w:r>
        <w:separator/>
      </w:r>
    </w:p>
  </w:endnote>
  <w:endnote w:type="continuationSeparator" w:id="0">
    <w:p w:rsidR="000C48AE" w:rsidRDefault="000C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leLog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AE" w:rsidRPr="002D269A" w:rsidRDefault="000C48AE" w:rsidP="002D269A">
    <w:pPr>
      <w:pStyle w:val="Footer"/>
      <w:tabs>
        <w:tab w:val="center" w:pos="4536"/>
        <w:tab w:val="right" w:pos="9070"/>
      </w:tabs>
      <w:rPr>
        <w:rFonts w:ascii="Arial" w:hAnsi="Arial" w:cs="Arial"/>
        <w:sz w:val="14"/>
        <w:szCs w:val="14"/>
      </w:rPr>
    </w:pPr>
    <w:r w:rsidRPr="002D269A">
      <w:rPr>
        <w:rFonts w:ascii="Arial" w:hAnsi="Arial" w:cs="Arial"/>
        <w:sz w:val="14"/>
        <w:szCs w:val="14"/>
      </w:rPr>
      <w:tab/>
      <w:t xml:space="preserve">Strana </w:t>
    </w:r>
    <w:r w:rsidRPr="002D269A">
      <w:rPr>
        <w:rStyle w:val="PageNumber"/>
        <w:rFonts w:ascii="Arial" w:hAnsi="Arial" w:cs="Arial"/>
        <w:sz w:val="14"/>
        <w:szCs w:val="14"/>
      </w:rPr>
      <w:fldChar w:fldCharType="begin"/>
    </w:r>
    <w:r w:rsidRPr="002D269A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2D269A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10</w:t>
    </w:r>
    <w:r w:rsidRPr="002D269A"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AE" w:rsidRDefault="000C48AE">
    <w:pPr>
      <w:pStyle w:val="Footer"/>
      <w:jc w:val="right"/>
    </w:pPr>
    <w:r>
      <w:t xml:space="preserve">Strana </w:t>
    </w:r>
    <w:fldSimple w:instr=" PAGE   \* MERGEFORMAT ">
      <w:r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AE" w:rsidRDefault="000C48AE">
      <w:r>
        <w:separator/>
      </w:r>
    </w:p>
  </w:footnote>
  <w:footnote w:type="continuationSeparator" w:id="0">
    <w:p w:rsidR="000C48AE" w:rsidRDefault="000C4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B1E"/>
    <w:multiLevelType w:val="hybridMultilevel"/>
    <w:tmpl w:val="3FB67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0F63"/>
    <w:multiLevelType w:val="singleLevel"/>
    <w:tmpl w:val="FF4EEEAC"/>
    <w:lvl w:ilvl="0">
      <w:start w:val="1"/>
      <w:numFmt w:val="decimal"/>
      <w:pStyle w:val="BidNormal12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772191B"/>
    <w:multiLevelType w:val="hybridMultilevel"/>
    <w:tmpl w:val="A582DE52"/>
    <w:lvl w:ilvl="0" w:tplc="9C24A9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0165"/>
    <w:multiLevelType w:val="hybridMultilevel"/>
    <w:tmpl w:val="9C20F166"/>
    <w:lvl w:ilvl="0" w:tplc="9C24A9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71E3"/>
    <w:multiLevelType w:val="hybridMultilevel"/>
    <w:tmpl w:val="6F0EFF52"/>
    <w:lvl w:ilvl="0" w:tplc="9C24A9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FCD"/>
    <w:multiLevelType w:val="multilevel"/>
    <w:tmpl w:val="8A8E0DC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217"/>
        </w:tabs>
        <w:ind w:left="1134" w:hanging="654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AF807A1"/>
    <w:multiLevelType w:val="multilevel"/>
    <w:tmpl w:val="D916D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7">
    <w:nsid w:val="4A8D47AB"/>
    <w:multiLevelType w:val="hybridMultilevel"/>
    <w:tmpl w:val="168EBA26"/>
    <w:lvl w:ilvl="0" w:tplc="6D1421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5664B"/>
    <w:multiLevelType w:val="singleLevel"/>
    <w:tmpl w:val="DCAC6D92"/>
    <w:lvl w:ilvl="0">
      <w:start w:val="1"/>
      <w:numFmt w:val="lowerLetter"/>
      <w:pStyle w:val="BidNormalabc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F1A6C09"/>
    <w:multiLevelType w:val="hybridMultilevel"/>
    <w:tmpl w:val="79A4153A"/>
    <w:lvl w:ilvl="0" w:tplc="9C24A9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C03C6"/>
    <w:multiLevelType w:val="multilevel"/>
    <w:tmpl w:val="660AEDBC"/>
    <w:lvl w:ilvl="0">
      <w:start w:val="1"/>
      <w:numFmt w:val="decimal"/>
      <w:pStyle w:val="Bid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id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id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6D3D031C"/>
    <w:multiLevelType w:val="hybridMultilevel"/>
    <w:tmpl w:val="DC84394A"/>
    <w:name w:val="WW8Num82"/>
    <w:lvl w:ilvl="0" w:tplc="7DF6DAF2">
      <w:start w:val="1"/>
      <w:numFmt w:val="bullet"/>
      <w:pStyle w:val="BidNormalo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12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A5A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2A2C2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29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5CC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44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E7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AC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07E6B"/>
    <w:multiLevelType w:val="singleLevel"/>
    <w:tmpl w:val="868C1F0A"/>
    <w:lvl w:ilvl="0">
      <w:start w:val="1"/>
      <w:numFmt w:val="lowerLetter"/>
      <w:pStyle w:val="Pododstavecsmlouvy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</w:abstractNum>
  <w:abstractNum w:abstractNumId="13">
    <w:nsid w:val="7ADD4176"/>
    <w:multiLevelType w:val="multilevel"/>
    <w:tmpl w:val="F57E6B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5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ascii="Arial" w:hAnsi="Arial" w:cs="Arial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217"/>
          </w:tabs>
          <w:ind w:left="1217" w:hanging="737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701"/>
          </w:tabs>
          <w:ind w:left="1701" w:hanging="737"/>
        </w:pPr>
        <w:rPr>
          <w:rFonts w:ascii="Arial" w:hAnsi="Arial" w:cs="Arial" w:hint="default"/>
          <w:sz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  <w:num w:numId="14">
    <w:abstractNumId w:val="5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ascii="Arial" w:hAnsi="Arial" w:cs="Arial"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217"/>
          </w:tabs>
          <w:ind w:left="1217" w:hanging="737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88"/>
          </w:tabs>
          <w:ind w:left="1588" w:hanging="737"/>
        </w:pPr>
        <w:rPr>
          <w:rFonts w:ascii="Arial" w:hAnsi="Arial" w:cs="Arial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ascii="Arial" w:hAnsi="Arial" w:cs="Arial" w:hint="default"/>
          <w:b/>
          <w:i w:val="0"/>
          <w:caps/>
          <w:strike w:val="0"/>
          <w:dstrike w:val="0"/>
          <w:vanish w:val="0"/>
          <w:color w:val="00000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217"/>
          </w:tabs>
          <w:ind w:left="1134" w:hanging="654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701"/>
          </w:tabs>
          <w:ind w:left="1701" w:hanging="680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16">
    <w:abstractNumId w:val="13"/>
  </w:num>
  <w:num w:numId="17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removePersonalInformation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A82"/>
    <w:rsid w:val="000004D7"/>
    <w:rsid w:val="00000F01"/>
    <w:rsid w:val="00001269"/>
    <w:rsid w:val="00001E3D"/>
    <w:rsid w:val="000023AB"/>
    <w:rsid w:val="0000430C"/>
    <w:rsid w:val="000051C5"/>
    <w:rsid w:val="00005999"/>
    <w:rsid w:val="000059D7"/>
    <w:rsid w:val="00005DB6"/>
    <w:rsid w:val="00005E8A"/>
    <w:rsid w:val="0001032F"/>
    <w:rsid w:val="00011674"/>
    <w:rsid w:val="00011B60"/>
    <w:rsid w:val="000129CC"/>
    <w:rsid w:val="000136F7"/>
    <w:rsid w:val="000139DE"/>
    <w:rsid w:val="00015294"/>
    <w:rsid w:val="00016785"/>
    <w:rsid w:val="00017421"/>
    <w:rsid w:val="000240C1"/>
    <w:rsid w:val="00024D92"/>
    <w:rsid w:val="000253FD"/>
    <w:rsid w:val="0003006F"/>
    <w:rsid w:val="0003075D"/>
    <w:rsid w:val="00031D97"/>
    <w:rsid w:val="00032DE5"/>
    <w:rsid w:val="00035371"/>
    <w:rsid w:val="000368F5"/>
    <w:rsid w:val="0003697D"/>
    <w:rsid w:val="000375B4"/>
    <w:rsid w:val="00042314"/>
    <w:rsid w:val="00051CD6"/>
    <w:rsid w:val="000524ED"/>
    <w:rsid w:val="00053FFB"/>
    <w:rsid w:val="00054607"/>
    <w:rsid w:val="0005525C"/>
    <w:rsid w:val="00055FEF"/>
    <w:rsid w:val="00062686"/>
    <w:rsid w:val="00064B7B"/>
    <w:rsid w:val="0006630E"/>
    <w:rsid w:val="000665D0"/>
    <w:rsid w:val="000665EF"/>
    <w:rsid w:val="0007122F"/>
    <w:rsid w:val="000749D1"/>
    <w:rsid w:val="00074E7F"/>
    <w:rsid w:val="00075750"/>
    <w:rsid w:val="00076D62"/>
    <w:rsid w:val="00077610"/>
    <w:rsid w:val="000809B7"/>
    <w:rsid w:val="00083E63"/>
    <w:rsid w:val="00084131"/>
    <w:rsid w:val="00084DD8"/>
    <w:rsid w:val="00086E6B"/>
    <w:rsid w:val="00091E03"/>
    <w:rsid w:val="0009449F"/>
    <w:rsid w:val="00094A1C"/>
    <w:rsid w:val="00096012"/>
    <w:rsid w:val="000966EA"/>
    <w:rsid w:val="00096BD6"/>
    <w:rsid w:val="000A0140"/>
    <w:rsid w:val="000A0EEC"/>
    <w:rsid w:val="000A1AAC"/>
    <w:rsid w:val="000A1D5E"/>
    <w:rsid w:val="000A2484"/>
    <w:rsid w:val="000B2C85"/>
    <w:rsid w:val="000B5761"/>
    <w:rsid w:val="000B6428"/>
    <w:rsid w:val="000B6E6E"/>
    <w:rsid w:val="000C26A8"/>
    <w:rsid w:val="000C2A3B"/>
    <w:rsid w:val="000C3F23"/>
    <w:rsid w:val="000C41D0"/>
    <w:rsid w:val="000C43BA"/>
    <w:rsid w:val="000C48AE"/>
    <w:rsid w:val="000C4A11"/>
    <w:rsid w:val="000C53CA"/>
    <w:rsid w:val="000D2DF0"/>
    <w:rsid w:val="000D4AC0"/>
    <w:rsid w:val="000E044C"/>
    <w:rsid w:val="000E07D4"/>
    <w:rsid w:val="000E0E77"/>
    <w:rsid w:val="000E2BCB"/>
    <w:rsid w:val="000E303C"/>
    <w:rsid w:val="000E726A"/>
    <w:rsid w:val="000E7F1B"/>
    <w:rsid w:val="000F5EE6"/>
    <w:rsid w:val="000F7E77"/>
    <w:rsid w:val="00100F65"/>
    <w:rsid w:val="00101DEE"/>
    <w:rsid w:val="00102443"/>
    <w:rsid w:val="00103B65"/>
    <w:rsid w:val="0010712C"/>
    <w:rsid w:val="00107153"/>
    <w:rsid w:val="00110EA8"/>
    <w:rsid w:val="00111B15"/>
    <w:rsid w:val="00112090"/>
    <w:rsid w:val="00113AE6"/>
    <w:rsid w:val="00114C0F"/>
    <w:rsid w:val="00114FD7"/>
    <w:rsid w:val="001220B3"/>
    <w:rsid w:val="00123D2C"/>
    <w:rsid w:val="001260ED"/>
    <w:rsid w:val="0012689A"/>
    <w:rsid w:val="00127F2D"/>
    <w:rsid w:val="00130A15"/>
    <w:rsid w:val="00131104"/>
    <w:rsid w:val="00131A40"/>
    <w:rsid w:val="0013270D"/>
    <w:rsid w:val="00134B9F"/>
    <w:rsid w:val="00136BA6"/>
    <w:rsid w:val="00140DAD"/>
    <w:rsid w:val="001415FB"/>
    <w:rsid w:val="0014166C"/>
    <w:rsid w:val="00141AC6"/>
    <w:rsid w:val="001448F1"/>
    <w:rsid w:val="0015093E"/>
    <w:rsid w:val="00150EAA"/>
    <w:rsid w:val="00155159"/>
    <w:rsid w:val="00157717"/>
    <w:rsid w:val="0015789E"/>
    <w:rsid w:val="00157C44"/>
    <w:rsid w:val="00157E3A"/>
    <w:rsid w:val="001605A0"/>
    <w:rsid w:val="001626C3"/>
    <w:rsid w:val="0016421A"/>
    <w:rsid w:val="00164313"/>
    <w:rsid w:val="0016588B"/>
    <w:rsid w:val="00166027"/>
    <w:rsid w:val="00167653"/>
    <w:rsid w:val="00170419"/>
    <w:rsid w:val="001748F6"/>
    <w:rsid w:val="00175999"/>
    <w:rsid w:val="00183EFA"/>
    <w:rsid w:val="00184443"/>
    <w:rsid w:val="00187AF6"/>
    <w:rsid w:val="00190EF6"/>
    <w:rsid w:val="00194C77"/>
    <w:rsid w:val="00196905"/>
    <w:rsid w:val="001971AE"/>
    <w:rsid w:val="001A16C1"/>
    <w:rsid w:val="001A3158"/>
    <w:rsid w:val="001A33F1"/>
    <w:rsid w:val="001A3C7C"/>
    <w:rsid w:val="001A4173"/>
    <w:rsid w:val="001A485A"/>
    <w:rsid w:val="001A75BC"/>
    <w:rsid w:val="001B3B28"/>
    <w:rsid w:val="001B67A9"/>
    <w:rsid w:val="001C1485"/>
    <w:rsid w:val="001C1737"/>
    <w:rsid w:val="001C226F"/>
    <w:rsid w:val="001C2B9B"/>
    <w:rsid w:val="001C4253"/>
    <w:rsid w:val="001C6D5C"/>
    <w:rsid w:val="001D01D5"/>
    <w:rsid w:val="001E210C"/>
    <w:rsid w:val="001E2BC1"/>
    <w:rsid w:val="001E44C4"/>
    <w:rsid w:val="001E779D"/>
    <w:rsid w:val="001F0489"/>
    <w:rsid w:val="001F198B"/>
    <w:rsid w:val="001F35B5"/>
    <w:rsid w:val="001F4719"/>
    <w:rsid w:val="001F5616"/>
    <w:rsid w:val="001F5FDA"/>
    <w:rsid w:val="001F6ADA"/>
    <w:rsid w:val="00202E94"/>
    <w:rsid w:val="00203E98"/>
    <w:rsid w:val="00204336"/>
    <w:rsid w:val="002066CD"/>
    <w:rsid w:val="0020691F"/>
    <w:rsid w:val="0020726E"/>
    <w:rsid w:val="00207E26"/>
    <w:rsid w:val="00210945"/>
    <w:rsid w:val="00212BAE"/>
    <w:rsid w:val="00215465"/>
    <w:rsid w:val="002162EB"/>
    <w:rsid w:val="00216723"/>
    <w:rsid w:val="0022343D"/>
    <w:rsid w:val="00226F9E"/>
    <w:rsid w:val="002276F1"/>
    <w:rsid w:val="00230372"/>
    <w:rsid w:val="00232935"/>
    <w:rsid w:val="00233E13"/>
    <w:rsid w:val="00237A9D"/>
    <w:rsid w:val="002405BE"/>
    <w:rsid w:val="00240A64"/>
    <w:rsid w:val="00240FCC"/>
    <w:rsid w:val="00241755"/>
    <w:rsid w:val="00242468"/>
    <w:rsid w:val="00245019"/>
    <w:rsid w:val="00247770"/>
    <w:rsid w:val="00247EA5"/>
    <w:rsid w:val="00250EB6"/>
    <w:rsid w:val="002517E3"/>
    <w:rsid w:val="00253615"/>
    <w:rsid w:val="0025540C"/>
    <w:rsid w:val="0025591D"/>
    <w:rsid w:val="00256389"/>
    <w:rsid w:val="002566AF"/>
    <w:rsid w:val="00256BE9"/>
    <w:rsid w:val="002612CB"/>
    <w:rsid w:val="002613D3"/>
    <w:rsid w:val="00262BD6"/>
    <w:rsid w:val="00262E5D"/>
    <w:rsid w:val="00263680"/>
    <w:rsid w:val="002638C1"/>
    <w:rsid w:val="00264790"/>
    <w:rsid w:val="00264C7E"/>
    <w:rsid w:val="00265EEF"/>
    <w:rsid w:val="0026717E"/>
    <w:rsid w:val="00267577"/>
    <w:rsid w:val="002704DB"/>
    <w:rsid w:val="00270729"/>
    <w:rsid w:val="00271080"/>
    <w:rsid w:val="002724A4"/>
    <w:rsid w:val="002735C9"/>
    <w:rsid w:val="0027500C"/>
    <w:rsid w:val="00281697"/>
    <w:rsid w:val="00284827"/>
    <w:rsid w:val="00292516"/>
    <w:rsid w:val="00293845"/>
    <w:rsid w:val="002938B4"/>
    <w:rsid w:val="002957C4"/>
    <w:rsid w:val="002A2281"/>
    <w:rsid w:val="002A3056"/>
    <w:rsid w:val="002A4D16"/>
    <w:rsid w:val="002A4E25"/>
    <w:rsid w:val="002A7BBF"/>
    <w:rsid w:val="002B0694"/>
    <w:rsid w:val="002B2648"/>
    <w:rsid w:val="002B2FA0"/>
    <w:rsid w:val="002B3821"/>
    <w:rsid w:val="002B55AC"/>
    <w:rsid w:val="002B5ED3"/>
    <w:rsid w:val="002B6233"/>
    <w:rsid w:val="002B6C4E"/>
    <w:rsid w:val="002C0092"/>
    <w:rsid w:val="002C1612"/>
    <w:rsid w:val="002C169B"/>
    <w:rsid w:val="002C1BCA"/>
    <w:rsid w:val="002C2557"/>
    <w:rsid w:val="002C3AAD"/>
    <w:rsid w:val="002C3B38"/>
    <w:rsid w:val="002C3B92"/>
    <w:rsid w:val="002C7475"/>
    <w:rsid w:val="002C7A01"/>
    <w:rsid w:val="002D0DD8"/>
    <w:rsid w:val="002D269A"/>
    <w:rsid w:val="002D3643"/>
    <w:rsid w:val="002D3958"/>
    <w:rsid w:val="002D7149"/>
    <w:rsid w:val="002D7485"/>
    <w:rsid w:val="002D7CC1"/>
    <w:rsid w:val="002E0B98"/>
    <w:rsid w:val="002E1176"/>
    <w:rsid w:val="002E2F6B"/>
    <w:rsid w:val="002E3AAF"/>
    <w:rsid w:val="002E3EA6"/>
    <w:rsid w:val="002E5BA3"/>
    <w:rsid w:val="002E718D"/>
    <w:rsid w:val="002F58CC"/>
    <w:rsid w:val="002F71B5"/>
    <w:rsid w:val="002F7715"/>
    <w:rsid w:val="00301415"/>
    <w:rsid w:val="0030163B"/>
    <w:rsid w:val="00302C4A"/>
    <w:rsid w:val="00305C33"/>
    <w:rsid w:val="003068DC"/>
    <w:rsid w:val="00306C27"/>
    <w:rsid w:val="003146D2"/>
    <w:rsid w:val="003157ED"/>
    <w:rsid w:val="003177F0"/>
    <w:rsid w:val="0032058E"/>
    <w:rsid w:val="00322AFF"/>
    <w:rsid w:val="00323003"/>
    <w:rsid w:val="003231C0"/>
    <w:rsid w:val="003234EF"/>
    <w:rsid w:val="00323F07"/>
    <w:rsid w:val="003306B3"/>
    <w:rsid w:val="0033573A"/>
    <w:rsid w:val="003360DA"/>
    <w:rsid w:val="00337AB7"/>
    <w:rsid w:val="00341678"/>
    <w:rsid w:val="003456F9"/>
    <w:rsid w:val="00345C95"/>
    <w:rsid w:val="0034617F"/>
    <w:rsid w:val="00346856"/>
    <w:rsid w:val="0034798B"/>
    <w:rsid w:val="00350D46"/>
    <w:rsid w:val="00351B98"/>
    <w:rsid w:val="00351EB7"/>
    <w:rsid w:val="00355B54"/>
    <w:rsid w:val="003563F7"/>
    <w:rsid w:val="00356E62"/>
    <w:rsid w:val="0036196E"/>
    <w:rsid w:val="0036275D"/>
    <w:rsid w:val="003654DB"/>
    <w:rsid w:val="00367067"/>
    <w:rsid w:val="00370908"/>
    <w:rsid w:val="00372AF1"/>
    <w:rsid w:val="00374D30"/>
    <w:rsid w:val="003758FC"/>
    <w:rsid w:val="0037636C"/>
    <w:rsid w:val="00376C77"/>
    <w:rsid w:val="00377DF3"/>
    <w:rsid w:val="00381FE1"/>
    <w:rsid w:val="003820D0"/>
    <w:rsid w:val="00382E24"/>
    <w:rsid w:val="00383788"/>
    <w:rsid w:val="00383F8A"/>
    <w:rsid w:val="00385818"/>
    <w:rsid w:val="0038734C"/>
    <w:rsid w:val="00387936"/>
    <w:rsid w:val="003904FE"/>
    <w:rsid w:val="003918AA"/>
    <w:rsid w:val="003918DF"/>
    <w:rsid w:val="00392733"/>
    <w:rsid w:val="003940A7"/>
    <w:rsid w:val="00395D44"/>
    <w:rsid w:val="003A0E9D"/>
    <w:rsid w:val="003A13FD"/>
    <w:rsid w:val="003A2659"/>
    <w:rsid w:val="003A3424"/>
    <w:rsid w:val="003A424A"/>
    <w:rsid w:val="003A6516"/>
    <w:rsid w:val="003A7075"/>
    <w:rsid w:val="003B46E5"/>
    <w:rsid w:val="003B54FF"/>
    <w:rsid w:val="003C0188"/>
    <w:rsid w:val="003C122F"/>
    <w:rsid w:val="003C208C"/>
    <w:rsid w:val="003C21EC"/>
    <w:rsid w:val="003C3A9E"/>
    <w:rsid w:val="003C53E0"/>
    <w:rsid w:val="003C670B"/>
    <w:rsid w:val="003C76E9"/>
    <w:rsid w:val="003D11AD"/>
    <w:rsid w:val="003D18C0"/>
    <w:rsid w:val="003D2430"/>
    <w:rsid w:val="003D395F"/>
    <w:rsid w:val="003D44F5"/>
    <w:rsid w:val="003D460A"/>
    <w:rsid w:val="003D4C40"/>
    <w:rsid w:val="003D546C"/>
    <w:rsid w:val="003D6C46"/>
    <w:rsid w:val="003D7270"/>
    <w:rsid w:val="003D7441"/>
    <w:rsid w:val="003E0F3E"/>
    <w:rsid w:val="003E146B"/>
    <w:rsid w:val="003E15E1"/>
    <w:rsid w:val="003E1EEB"/>
    <w:rsid w:val="003E550E"/>
    <w:rsid w:val="003E6485"/>
    <w:rsid w:val="003F3722"/>
    <w:rsid w:val="00400217"/>
    <w:rsid w:val="00400B61"/>
    <w:rsid w:val="00401CA8"/>
    <w:rsid w:val="00402FEC"/>
    <w:rsid w:val="0040370F"/>
    <w:rsid w:val="004052C3"/>
    <w:rsid w:val="0041164A"/>
    <w:rsid w:val="00411FC6"/>
    <w:rsid w:val="00415B22"/>
    <w:rsid w:val="00417274"/>
    <w:rsid w:val="00420611"/>
    <w:rsid w:val="00420970"/>
    <w:rsid w:val="004247AD"/>
    <w:rsid w:val="00424C7D"/>
    <w:rsid w:val="004266EA"/>
    <w:rsid w:val="004309D0"/>
    <w:rsid w:val="00430E9E"/>
    <w:rsid w:val="0043355A"/>
    <w:rsid w:val="00434CC4"/>
    <w:rsid w:val="00443C97"/>
    <w:rsid w:val="00443DCE"/>
    <w:rsid w:val="00452C7A"/>
    <w:rsid w:val="00453469"/>
    <w:rsid w:val="00453BE9"/>
    <w:rsid w:val="00453FFC"/>
    <w:rsid w:val="004551B1"/>
    <w:rsid w:val="004609CB"/>
    <w:rsid w:val="00462F3E"/>
    <w:rsid w:val="00463AD1"/>
    <w:rsid w:val="00465536"/>
    <w:rsid w:val="00466438"/>
    <w:rsid w:val="00466778"/>
    <w:rsid w:val="0046771E"/>
    <w:rsid w:val="00474544"/>
    <w:rsid w:val="00476D4B"/>
    <w:rsid w:val="004805A9"/>
    <w:rsid w:val="00483EFC"/>
    <w:rsid w:val="00484901"/>
    <w:rsid w:val="004856FD"/>
    <w:rsid w:val="00490532"/>
    <w:rsid w:val="004910BB"/>
    <w:rsid w:val="0049235D"/>
    <w:rsid w:val="004929DC"/>
    <w:rsid w:val="00492FD5"/>
    <w:rsid w:val="0049429C"/>
    <w:rsid w:val="004966E1"/>
    <w:rsid w:val="00496FDC"/>
    <w:rsid w:val="004971CB"/>
    <w:rsid w:val="004973BA"/>
    <w:rsid w:val="004A354F"/>
    <w:rsid w:val="004A498D"/>
    <w:rsid w:val="004A5D01"/>
    <w:rsid w:val="004B5085"/>
    <w:rsid w:val="004B5C6B"/>
    <w:rsid w:val="004B633C"/>
    <w:rsid w:val="004B6B38"/>
    <w:rsid w:val="004C0640"/>
    <w:rsid w:val="004C1F38"/>
    <w:rsid w:val="004C3C6C"/>
    <w:rsid w:val="004C580F"/>
    <w:rsid w:val="004C7258"/>
    <w:rsid w:val="004D011E"/>
    <w:rsid w:val="004D401F"/>
    <w:rsid w:val="004D5975"/>
    <w:rsid w:val="004D637E"/>
    <w:rsid w:val="004D71DA"/>
    <w:rsid w:val="004E1A76"/>
    <w:rsid w:val="004E38B2"/>
    <w:rsid w:val="004E6408"/>
    <w:rsid w:val="004E6886"/>
    <w:rsid w:val="004E728D"/>
    <w:rsid w:val="004F09D6"/>
    <w:rsid w:val="004F44E8"/>
    <w:rsid w:val="004F5A11"/>
    <w:rsid w:val="004F6307"/>
    <w:rsid w:val="00501794"/>
    <w:rsid w:val="00504712"/>
    <w:rsid w:val="00507433"/>
    <w:rsid w:val="00507536"/>
    <w:rsid w:val="0051214E"/>
    <w:rsid w:val="0051259E"/>
    <w:rsid w:val="00513A5A"/>
    <w:rsid w:val="0051557D"/>
    <w:rsid w:val="00516784"/>
    <w:rsid w:val="0052392F"/>
    <w:rsid w:val="00524598"/>
    <w:rsid w:val="00525DA6"/>
    <w:rsid w:val="00526465"/>
    <w:rsid w:val="005272CC"/>
    <w:rsid w:val="00530F0F"/>
    <w:rsid w:val="00534DF1"/>
    <w:rsid w:val="00540E72"/>
    <w:rsid w:val="00540E7E"/>
    <w:rsid w:val="00542C0A"/>
    <w:rsid w:val="0054392A"/>
    <w:rsid w:val="005448DE"/>
    <w:rsid w:val="00547F7C"/>
    <w:rsid w:val="00550257"/>
    <w:rsid w:val="00552481"/>
    <w:rsid w:val="005527BB"/>
    <w:rsid w:val="0055475A"/>
    <w:rsid w:val="00556510"/>
    <w:rsid w:val="00556CC7"/>
    <w:rsid w:val="005575F0"/>
    <w:rsid w:val="00562A83"/>
    <w:rsid w:val="005640B0"/>
    <w:rsid w:val="00570546"/>
    <w:rsid w:val="00571011"/>
    <w:rsid w:val="00571230"/>
    <w:rsid w:val="00572018"/>
    <w:rsid w:val="00573907"/>
    <w:rsid w:val="00574424"/>
    <w:rsid w:val="00574678"/>
    <w:rsid w:val="005747A0"/>
    <w:rsid w:val="005751E7"/>
    <w:rsid w:val="00576779"/>
    <w:rsid w:val="00580C5B"/>
    <w:rsid w:val="005811D0"/>
    <w:rsid w:val="0058294B"/>
    <w:rsid w:val="005835BD"/>
    <w:rsid w:val="00586DC4"/>
    <w:rsid w:val="005872EA"/>
    <w:rsid w:val="0059080A"/>
    <w:rsid w:val="00590B48"/>
    <w:rsid w:val="00590BE2"/>
    <w:rsid w:val="00593A1A"/>
    <w:rsid w:val="005950DC"/>
    <w:rsid w:val="005A0505"/>
    <w:rsid w:val="005A350E"/>
    <w:rsid w:val="005A4055"/>
    <w:rsid w:val="005A4E09"/>
    <w:rsid w:val="005A5668"/>
    <w:rsid w:val="005A5E6F"/>
    <w:rsid w:val="005B029B"/>
    <w:rsid w:val="005B2242"/>
    <w:rsid w:val="005B3A7A"/>
    <w:rsid w:val="005C0CCB"/>
    <w:rsid w:val="005C1FD2"/>
    <w:rsid w:val="005C45F3"/>
    <w:rsid w:val="005C5B12"/>
    <w:rsid w:val="005C62E1"/>
    <w:rsid w:val="005C6530"/>
    <w:rsid w:val="005C6DCF"/>
    <w:rsid w:val="005C74A0"/>
    <w:rsid w:val="005D0D05"/>
    <w:rsid w:val="005D206D"/>
    <w:rsid w:val="005D4196"/>
    <w:rsid w:val="005D58B5"/>
    <w:rsid w:val="005E019D"/>
    <w:rsid w:val="005E1C51"/>
    <w:rsid w:val="005E485B"/>
    <w:rsid w:val="005E48E5"/>
    <w:rsid w:val="005F449E"/>
    <w:rsid w:val="005F76F9"/>
    <w:rsid w:val="005F7834"/>
    <w:rsid w:val="00600DAB"/>
    <w:rsid w:val="00600EB4"/>
    <w:rsid w:val="00600F45"/>
    <w:rsid w:val="006039AE"/>
    <w:rsid w:val="00603D57"/>
    <w:rsid w:val="00606AEF"/>
    <w:rsid w:val="00607CFF"/>
    <w:rsid w:val="006105C2"/>
    <w:rsid w:val="00611BFD"/>
    <w:rsid w:val="0061248E"/>
    <w:rsid w:val="0061356E"/>
    <w:rsid w:val="00614766"/>
    <w:rsid w:val="0061686F"/>
    <w:rsid w:val="00616CB9"/>
    <w:rsid w:val="00616D15"/>
    <w:rsid w:val="00621515"/>
    <w:rsid w:val="006237D9"/>
    <w:rsid w:val="0062403B"/>
    <w:rsid w:val="0062442B"/>
    <w:rsid w:val="00625BA1"/>
    <w:rsid w:val="0062698A"/>
    <w:rsid w:val="006270C6"/>
    <w:rsid w:val="0062780D"/>
    <w:rsid w:val="00631265"/>
    <w:rsid w:val="0063202C"/>
    <w:rsid w:val="00632F23"/>
    <w:rsid w:val="006331BC"/>
    <w:rsid w:val="0063377B"/>
    <w:rsid w:val="00635309"/>
    <w:rsid w:val="00636D21"/>
    <w:rsid w:val="00637CFD"/>
    <w:rsid w:val="00640B3C"/>
    <w:rsid w:val="006423A2"/>
    <w:rsid w:val="00643116"/>
    <w:rsid w:val="00643B02"/>
    <w:rsid w:val="00646390"/>
    <w:rsid w:val="00647E23"/>
    <w:rsid w:val="006510F9"/>
    <w:rsid w:val="0065156C"/>
    <w:rsid w:val="0065180F"/>
    <w:rsid w:val="00654686"/>
    <w:rsid w:val="006551D1"/>
    <w:rsid w:val="006566D4"/>
    <w:rsid w:val="006621CF"/>
    <w:rsid w:val="006632B7"/>
    <w:rsid w:val="0066404C"/>
    <w:rsid w:val="00670A0B"/>
    <w:rsid w:val="006761B1"/>
    <w:rsid w:val="006772E9"/>
    <w:rsid w:val="0068149D"/>
    <w:rsid w:val="00684B53"/>
    <w:rsid w:val="006861CD"/>
    <w:rsid w:val="00686651"/>
    <w:rsid w:val="00686EDF"/>
    <w:rsid w:val="0069040B"/>
    <w:rsid w:val="00690E43"/>
    <w:rsid w:val="00692349"/>
    <w:rsid w:val="006933E7"/>
    <w:rsid w:val="00695A9A"/>
    <w:rsid w:val="006969B1"/>
    <w:rsid w:val="006A082D"/>
    <w:rsid w:val="006A1821"/>
    <w:rsid w:val="006A3711"/>
    <w:rsid w:val="006A432C"/>
    <w:rsid w:val="006A58EF"/>
    <w:rsid w:val="006A5BFF"/>
    <w:rsid w:val="006A6060"/>
    <w:rsid w:val="006A781F"/>
    <w:rsid w:val="006B001A"/>
    <w:rsid w:val="006B0E1C"/>
    <w:rsid w:val="006B249A"/>
    <w:rsid w:val="006B359E"/>
    <w:rsid w:val="006B622E"/>
    <w:rsid w:val="006B7BAA"/>
    <w:rsid w:val="006C270F"/>
    <w:rsid w:val="006C2F90"/>
    <w:rsid w:val="006C6365"/>
    <w:rsid w:val="006C6488"/>
    <w:rsid w:val="006C65A6"/>
    <w:rsid w:val="006C6768"/>
    <w:rsid w:val="006D3A4A"/>
    <w:rsid w:val="006D6663"/>
    <w:rsid w:val="006D6C8B"/>
    <w:rsid w:val="006E18A1"/>
    <w:rsid w:val="006E2B42"/>
    <w:rsid w:val="006E2C73"/>
    <w:rsid w:val="006E2ED5"/>
    <w:rsid w:val="006E40C7"/>
    <w:rsid w:val="006E7277"/>
    <w:rsid w:val="006F0AF2"/>
    <w:rsid w:val="006F1DD0"/>
    <w:rsid w:val="006F2AFA"/>
    <w:rsid w:val="006F3C66"/>
    <w:rsid w:val="007006EF"/>
    <w:rsid w:val="00700C3C"/>
    <w:rsid w:val="00701277"/>
    <w:rsid w:val="00706740"/>
    <w:rsid w:val="007072BC"/>
    <w:rsid w:val="00712949"/>
    <w:rsid w:val="007135CD"/>
    <w:rsid w:val="0071407C"/>
    <w:rsid w:val="0071540B"/>
    <w:rsid w:val="00717A4D"/>
    <w:rsid w:val="007204B2"/>
    <w:rsid w:val="00720E64"/>
    <w:rsid w:val="007218A3"/>
    <w:rsid w:val="00722B5A"/>
    <w:rsid w:val="00726EA1"/>
    <w:rsid w:val="00727F05"/>
    <w:rsid w:val="00730ADD"/>
    <w:rsid w:val="00733E77"/>
    <w:rsid w:val="0073477C"/>
    <w:rsid w:val="00734B84"/>
    <w:rsid w:val="00737847"/>
    <w:rsid w:val="007379D3"/>
    <w:rsid w:val="00740395"/>
    <w:rsid w:val="007433B6"/>
    <w:rsid w:val="007436FA"/>
    <w:rsid w:val="007447F2"/>
    <w:rsid w:val="00747B67"/>
    <w:rsid w:val="007503DA"/>
    <w:rsid w:val="0075098C"/>
    <w:rsid w:val="00752133"/>
    <w:rsid w:val="007522B9"/>
    <w:rsid w:val="00753C04"/>
    <w:rsid w:val="0075594B"/>
    <w:rsid w:val="007570F8"/>
    <w:rsid w:val="00757BAD"/>
    <w:rsid w:val="00760910"/>
    <w:rsid w:val="0076133A"/>
    <w:rsid w:val="0076258A"/>
    <w:rsid w:val="00762EFC"/>
    <w:rsid w:val="00763090"/>
    <w:rsid w:val="0076544E"/>
    <w:rsid w:val="00767AC4"/>
    <w:rsid w:val="00771B02"/>
    <w:rsid w:val="007721EE"/>
    <w:rsid w:val="007740A1"/>
    <w:rsid w:val="00775485"/>
    <w:rsid w:val="00775E4A"/>
    <w:rsid w:val="00776D5C"/>
    <w:rsid w:val="00790C50"/>
    <w:rsid w:val="0079197D"/>
    <w:rsid w:val="00795E60"/>
    <w:rsid w:val="007970B9"/>
    <w:rsid w:val="007A169E"/>
    <w:rsid w:val="007A2B9B"/>
    <w:rsid w:val="007A2C4A"/>
    <w:rsid w:val="007A2C64"/>
    <w:rsid w:val="007A3B1F"/>
    <w:rsid w:val="007B2906"/>
    <w:rsid w:val="007B3576"/>
    <w:rsid w:val="007B5197"/>
    <w:rsid w:val="007B595B"/>
    <w:rsid w:val="007B5AA5"/>
    <w:rsid w:val="007B68A1"/>
    <w:rsid w:val="007C17E2"/>
    <w:rsid w:val="007C26D9"/>
    <w:rsid w:val="007C60FF"/>
    <w:rsid w:val="007C75D7"/>
    <w:rsid w:val="007D1135"/>
    <w:rsid w:val="007D2051"/>
    <w:rsid w:val="007D2539"/>
    <w:rsid w:val="007D6DF5"/>
    <w:rsid w:val="007E175A"/>
    <w:rsid w:val="007E1914"/>
    <w:rsid w:val="007E3815"/>
    <w:rsid w:val="007E58A7"/>
    <w:rsid w:val="007E78DA"/>
    <w:rsid w:val="007E7D70"/>
    <w:rsid w:val="007E7F13"/>
    <w:rsid w:val="007F4C29"/>
    <w:rsid w:val="007F67C6"/>
    <w:rsid w:val="00800E69"/>
    <w:rsid w:val="0080102A"/>
    <w:rsid w:val="008011D8"/>
    <w:rsid w:val="00802268"/>
    <w:rsid w:val="00806BA1"/>
    <w:rsid w:val="00806F78"/>
    <w:rsid w:val="00810EAB"/>
    <w:rsid w:val="0081184E"/>
    <w:rsid w:val="00812C34"/>
    <w:rsid w:val="00813F56"/>
    <w:rsid w:val="0081474A"/>
    <w:rsid w:val="00816C48"/>
    <w:rsid w:val="00822B11"/>
    <w:rsid w:val="00823CB0"/>
    <w:rsid w:val="00824164"/>
    <w:rsid w:val="00824586"/>
    <w:rsid w:val="00827C81"/>
    <w:rsid w:val="0083074E"/>
    <w:rsid w:val="008328CA"/>
    <w:rsid w:val="00833AC9"/>
    <w:rsid w:val="00836C2C"/>
    <w:rsid w:val="00840088"/>
    <w:rsid w:val="0084170B"/>
    <w:rsid w:val="00841745"/>
    <w:rsid w:val="00841A82"/>
    <w:rsid w:val="00843608"/>
    <w:rsid w:val="00843E2C"/>
    <w:rsid w:val="00844527"/>
    <w:rsid w:val="00845B90"/>
    <w:rsid w:val="008460D8"/>
    <w:rsid w:val="008503C0"/>
    <w:rsid w:val="00851791"/>
    <w:rsid w:val="00852504"/>
    <w:rsid w:val="00855276"/>
    <w:rsid w:val="0085544A"/>
    <w:rsid w:val="00856300"/>
    <w:rsid w:val="008600C1"/>
    <w:rsid w:val="00860656"/>
    <w:rsid w:val="008624A2"/>
    <w:rsid w:val="0086348D"/>
    <w:rsid w:val="00865E43"/>
    <w:rsid w:val="00866BA1"/>
    <w:rsid w:val="00867FD8"/>
    <w:rsid w:val="008718AF"/>
    <w:rsid w:val="008749B0"/>
    <w:rsid w:val="008759D8"/>
    <w:rsid w:val="00881F16"/>
    <w:rsid w:val="00882ABE"/>
    <w:rsid w:val="008865AA"/>
    <w:rsid w:val="00886D6B"/>
    <w:rsid w:val="0089011C"/>
    <w:rsid w:val="008929F1"/>
    <w:rsid w:val="00893BDD"/>
    <w:rsid w:val="008B0623"/>
    <w:rsid w:val="008B395E"/>
    <w:rsid w:val="008B4B6A"/>
    <w:rsid w:val="008B708B"/>
    <w:rsid w:val="008C0E9C"/>
    <w:rsid w:val="008C1A38"/>
    <w:rsid w:val="008C2800"/>
    <w:rsid w:val="008C3C94"/>
    <w:rsid w:val="008C43D0"/>
    <w:rsid w:val="008C4EE1"/>
    <w:rsid w:val="008C5C38"/>
    <w:rsid w:val="008C7586"/>
    <w:rsid w:val="008C7B14"/>
    <w:rsid w:val="008D215C"/>
    <w:rsid w:val="008D21E2"/>
    <w:rsid w:val="008D272D"/>
    <w:rsid w:val="008D3E2E"/>
    <w:rsid w:val="008D40AB"/>
    <w:rsid w:val="008D40D7"/>
    <w:rsid w:val="008D5A3A"/>
    <w:rsid w:val="008E15F0"/>
    <w:rsid w:val="008E2E3B"/>
    <w:rsid w:val="008E4372"/>
    <w:rsid w:val="008E6452"/>
    <w:rsid w:val="008F0C99"/>
    <w:rsid w:val="008F15DD"/>
    <w:rsid w:val="008F576D"/>
    <w:rsid w:val="008F5B6D"/>
    <w:rsid w:val="008F6256"/>
    <w:rsid w:val="009030D2"/>
    <w:rsid w:val="00904048"/>
    <w:rsid w:val="009043D3"/>
    <w:rsid w:val="00905EE9"/>
    <w:rsid w:val="00905F10"/>
    <w:rsid w:val="009078DC"/>
    <w:rsid w:val="00907F29"/>
    <w:rsid w:val="0091116B"/>
    <w:rsid w:val="00911D31"/>
    <w:rsid w:val="00912BD9"/>
    <w:rsid w:val="0091338D"/>
    <w:rsid w:val="009134EE"/>
    <w:rsid w:val="00915226"/>
    <w:rsid w:val="00916900"/>
    <w:rsid w:val="00921C95"/>
    <w:rsid w:val="0092230D"/>
    <w:rsid w:val="009320F1"/>
    <w:rsid w:val="00932306"/>
    <w:rsid w:val="00935449"/>
    <w:rsid w:val="009402DC"/>
    <w:rsid w:val="0094351E"/>
    <w:rsid w:val="0094380D"/>
    <w:rsid w:val="00944121"/>
    <w:rsid w:val="00944162"/>
    <w:rsid w:val="00944991"/>
    <w:rsid w:val="00945D7F"/>
    <w:rsid w:val="00952E0A"/>
    <w:rsid w:val="00953C1E"/>
    <w:rsid w:val="00955F8B"/>
    <w:rsid w:val="00956EB4"/>
    <w:rsid w:val="00960565"/>
    <w:rsid w:val="00961150"/>
    <w:rsid w:val="009657C5"/>
    <w:rsid w:val="00970763"/>
    <w:rsid w:val="009710D1"/>
    <w:rsid w:val="00971F54"/>
    <w:rsid w:val="009752D8"/>
    <w:rsid w:val="009772ED"/>
    <w:rsid w:val="009853BF"/>
    <w:rsid w:val="00987B01"/>
    <w:rsid w:val="00987B56"/>
    <w:rsid w:val="00990D8F"/>
    <w:rsid w:val="00991D75"/>
    <w:rsid w:val="009922E8"/>
    <w:rsid w:val="009935A5"/>
    <w:rsid w:val="009A0D3C"/>
    <w:rsid w:val="009A2765"/>
    <w:rsid w:val="009A3294"/>
    <w:rsid w:val="009A33B6"/>
    <w:rsid w:val="009A3C32"/>
    <w:rsid w:val="009A44FB"/>
    <w:rsid w:val="009A496D"/>
    <w:rsid w:val="009A77E8"/>
    <w:rsid w:val="009B29B3"/>
    <w:rsid w:val="009B2CA0"/>
    <w:rsid w:val="009B5CBF"/>
    <w:rsid w:val="009C097D"/>
    <w:rsid w:val="009C10B0"/>
    <w:rsid w:val="009C4CE9"/>
    <w:rsid w:val="009C5288"/>
    <w:rsid w:val="009C54D8"/>
    <w:rsid w:val="009C6D4B"/>
    <w:rsid w:val="009C705B"/>
    <w:rsid w:val="009C749E"/>
    <w:rsid w:val="009C7E44"/>
    <w:rsid w:val="009D3B7B"/>
    <w:rsid w:val="009E11FD"/>
    <w:rsid w:val="009E2AC7"/>
    <w:rsid w:val="009E3B0A"/>
    <w:rsid w:val="009F1B03"/>
    <w:rsid w:val="009F3D06"/>
    <w:rsid w:val="009F6A70"/>
    <w:rsid w:val="009F7BB2"/>
    <w:rsid w:val="00A00F30"/>
    <w:rsid w:val="00A012AE"/>
    <w:rsid w:val="00A01A65"/>
    <w:rsid w:val="00A01B3B"/>
    <w:rsid w:val="00A01C26"/>
    <w:rsid w:val="00A02B37"/>
    <w:rsid w:val="00A02DFC"/>
    <w:rsid w:val="00A05D6F"/>
    <w:rsid w:val="00A1090C"/>
    <w:rsid w:val="00A1214F"/>
    <w:rsid w:val="00A1333C"/>
    <w:rsid w:val="00A1454E"/>
    <w:rsid w:val="00A167E3"/>
    <w:rsid w:val="00A1726F"/>
    <w:rsid w:val="00A21F1E"/>
    <w:rsid w:val="00A22C7F"/>
    <w:rsid w:val="00A26C23"/>
    <w:rsid w:val="00A32534"/>
    <w:rsid w:val="00A3314C"/>
    <w:rsid w:val="00A348E6"/>
    <w:rsid w:val="00A36D9D"/>
    <w:rsid w:val="00A37602"/>
    <w:rsid w:val="00A4078C"/>
    <w:rsid w:val="00A40F00"/>
    <w:rsid w:val="00A413F8"/>
    <w:rsid w:val="00A46BCD"/>
    <w:rsid w:val="00A501CD"/>
    <w:rsid w:val="00A53160"/>
    <w:rsid w:val="00A56807"/>
    <w:rsid w:val="00A56BD9"/>
    <w:rsid w:val="00A57E61"/>
    <w:rsid w:val="00A60A5A"/>
    <w:rsid w:val="00A6115D"/>
    <w:rsid w:val="00A62135"/>
    <w:rsid w:val="00A652DF"/>
    <w:rsid w:val="00A65471"/>
    <w:rsid w:val="00A66760"/>
    <w:rsid w:val="00A71540"/>
    <w:rsid w:val="00A723FE"/>
    <w:rsid w:val="00A73960"/>
    <w:rsid w:val="00A74399"/>
    <w:rsid w:val="00A74BF6"/>
    <w:rsid w:val="00A767E8"/>
    <w:rsid w:val="00A8192A"/>
    <w:rsid w:val="00A82690"/>
    <w:rsid w:val="00A84CBF"/>
    <w:rsid w:val="00A8618F"/>
    <w:rsid w:val="00A870B8"/>
    <w:rsid w:val="00A879BE"/>
    <w:rsid w:val="00A907EF"/>
    <w:rsid w:val="00A92358"/>
    <w:rsid w:val="00A929AE"/>
    <w:rsid w:val="00A9345E"/>
    <w:rsid w:val="00A93F84"/>
    <w:rsid w:val="00A9638D"/>
    <w:rsid w:val="00A96D59"/>
    <w:rsid w:val="00A971DB"/>
    <w:rsid w:val="00AA0E1E"/>
    <w:rsid w:val="00AA127E"/>
    <w:rsid w:val="00AA1BA4"/>
    <w:rsid w:val="00AA444A"/>
    <w:rsid w:val="00AA521F"/>
    <w:rsid w:val="00AA5C7C"/>
    <w:rsid w:val="00AA62DD"/>
    <w:rsid w:val="00AA65A9"/>
    <w:rsid w:val="00AA7797"/>
    <w:rsid w:val="00AB0BD8"/>
    <w:rsid w:val="00AB2849"/>
    <w:rsid w:val="00AB2D3C"/>
    <w:rsid w:val="00AB4C84"/>
    <w:rsid w:val="00AB5728"/>
    <w:rsid w:val="00AB73E9"/>
    <w:rsid w:val="00AC07B9"/>
    <w:rsid w:val="00AC1C9E"/>
    <w:rsid w:val="00AD1149"/>
    <w:rsid w:val="00AD1E87"/>
    <w:rsid w:val="00AD485C"/>
    <w:rsid w:val="00AD509D"/>
    <w:rsid w:val="00AD5A9F"/>
    <w:rsid w:val="00AD74CB"/>
    <w:rsid w:val="00AE3B81"/>
    <w:rsid w:val="00AE445F"/>
    <w:rsid w:val="00AE4DAF"/>
    <w:rsid w:val="00AE6A87"/>
    <w:rsid w:val="00AE6EDE"/>
    <w:rsid w:val="00AF0D0F"/>
    <w:rsid w:val="00AF6125"/>
    <w:rsid w:val="00B000D8"/>
    <w:rsid w:val="00B02AE2"/>
    <w:rsid w:val="00B03375"/>
    <w:rsid w:val="00B04207"/>
    <w:rsid w:val="00B04216"/>
    <w:rsid w:val="00B058DC"/>
    <w:rsid w:val="00B13DD3"/>
    <w:rsid w:val="00B164E4"/>
    <w:rsid w:val="00B20AF5"/>
    <w:rsid w:val="00B23B8D"/>
    <w:rsid w:val="00B258F5"/>
    <w:rsid w:val="00B25BB6"/>
    <w:rsid w:val="00B26686"/>
    <w:rsid w:val="00B27934"/>
    <w:rsid w:val="00B376B5"/>
    <w:rsid w:val="00B37E4F"/>
    <w:rsid w:val="00B40616"/>
    <w:rsid w:val="00B44D1C"/>
    <w:rsid w:val="00B467FE"/>
    <w:rsid w:val="00B478F8"/>
    <w:rsid w:val="00B5131A"/>
    <w:rsid w:val="00B545E5"/>
    <w:rsid w:val="00B5493F"/>
    <w:rsid w:val="00B56910"/>
    <w:rsid w:val="00B60DA2"/>
    <w:rsid w:val="00B6136C"/>
    <w:rsid w:val="00B616C7"/>
    <w:rsid w:val="00B62664"/>
    <w:rsid w:val="00B6444A"/>
    <w:rsid w:val="00B646C0"/>
    <w:rsid w:val="00B675E4"/>
    <w:rsid w:val="00B677B0"/>
    <w:rsid w:val="00B70CEF"/>
    <w:rsid w:val="00B71779"/>
    <w:rsid w:val="00B72449"/>
    <w:rsid w:val="00B77EF4"/>
    <w:rsid w:val="00B80A7D"/>
    <w:rsid w:val="00B8415C"/>
    <w:rsid w:val="00B92E1D"/>
    <w:rsid w:val="00B93473"/>
    <w:rsid w:val="00B93475"/>
    <w:rsid w:val="00B94096"/>
    <w:rsid w:val="00B968AD"/>
    <w:rsid w:val="00B974EC"/>
    <w:rsid w:val="00BA18C2"/>
    <w:rsid w:val="00BA2A02"/>
    <w:rsid w:val="00BB4228"/>
    <w:rsid w:val="00BB6F91"/>
    <w:rsid w:val="00BC2D35"/>
    <w:rsid w:val="00BC4DBD"/>
    <w:rsid w:val="00BC778B"/>
    <w:rsid w:val="00BC7A3F"/>
    <w:rsid w:val="00BE027F"/>
    <w:rsid w:val="00BE02B4"/>
    <w:rsid w:val="00BE0BA4"/>
    <w:rsid w:val="00BE2DDF"/>
    <w:rsid w:val="00BE2F54"/>
    <w:rsid w:val="00BE4F9F"/>
    <w:rsid w:val="00BE67C4"/>
    <w:rsid w:val="00BE74CB"/>
    <w:rsid w:val="00BF019A"/>
    <w:rsid w:val="00BF0D67"/>
    <w:rsid w:val="00BF0FD5"/>
    <w:rsid w:val="00BF1E8E"/>
    <w:rsid w:val="00BF1F5F"/>
    <w:rsid w:val="00BF2873"/>
    <w:rsid w:val="00BF3A6A"/>
    <w:rsid w:val="00BF5092"/>
    <w:rsid w:val="00BF6B24"/>
    <w:rsid w:val="00BF73B0"/>
    <w:rsid w:val="00C011DD"/>
    <w:rsid w:val="00C04900"/>
    <w:rsid w:val="00C05B40"/>
    <w:rsid w:val="00C0645B"/>
    <w:rsid w:val="00C07374"/>
    <w:rsid w:val="00C10EE7"/>
    <w:rsid w:val="00C12AE7"/>
    <w:rsid w:val="00C13CBF"/>
    <w:rsid w:val="00C13D71"/>
    <w:rsid w:val="00C17073"/>
    <w:rsid w:val="00C17272"/>
    <w:rsid w:val="00C22D09"/>
    <w:rsid w:val="00C24D4F"/>
    <w:rsid w:val="00C30F87"/>
    <w:rsid w:val="00C31C94"/>
    <w:rsid w:val="00C31F2E"/>
    <w:rsid w:val="00C338BB"/>
    <w:rsid w:val="00C41C16"/>
    <w:rsid w:val="00C43C2E"/>
    <w:rsid w:val="00C45B1D"/>
    <w:rsid w:val="00C45EA0"/>
    <w:rsid w:val="00C64017"/>
    <w:rsid w:val="00C661FA"/>
    <w:rsid w:val="00C70F7A"/>
    <w:rsid w:val="00C71572"/>
    <w:rsid w:val="00C723F4"/>
    <w:rsid w:val="00C75312"/>
    <w:rsid w:val="00C754B0"/>
    <w:rsid w:val="00C756D7"/>
    <w:rsid w:val="00C758C4"/>
    <w:rsid w:val="00C80B3D"/>
    <w:rsid w:val="00C83510"/>
    <w:rsid w:val="00C8464B"/>
    <w:rsid w:val="00C8488D"/>
    <w:rsid w:val="00C84C31"/>
    <w:rsid w:val="00C86210"/>
    <w:rsid w:val="00C8681E"/>
    <w:rsid w:val="00C90ECE"/>
    <w:rsid w:val="00C92C40"/>
    <w:rsid w:val="00C92C6C"/>
    <w:rsid w:val="00C94873"/>
    <w:rsid w:val="00C94A90"/>
    <w:rsid w:val="00C9680C"/>
    <w:rsid w:val="00CA1279"/>
    <w:rsid w:val="00CA1C93"/>
    <w:rsid w:val="00CA53F7"/>
    <w:rsid w:val="00CA6073"/>
    <w:rsid w:val="00CA724A"/>
    <w:rsid w:val="00CA7D6B"/>
    <w:rsid w:val="00CB09CD"/>
    <w:rsid w:val="00CB1CBB"/>
    <w:rsid w:val="00CB4254"/>
    <w:rsid w:val="00CB50BB"/>
    <w:rsid w:val="00CB5999"/>
    <w:rsid w:val="00CB5B6D"/>
    <w:rsid w:val="00CC0436"/>
    <w:rsid w:val="00CC25D1"/>
    <w:rsid w:val="00CC683A"/>
    <w:rsid w:val="00CC7655"/>
    <w:rsid w:val="00CC771B"/>
    <w:rsid w:val="00CC77A7"/>
    <w:rsid w:val="00CD0C60"/>
    <w:rsid w:val="00CD1E9F"/>
    <w:rsid w:val="00CD446F"/>
    <w:rsid w:val="00CD4629"/>
    <w:rsid w:val="00CD609E"/>
    <w:rsid w:val="00CE02DB"/>
    <w:rsid w:val="00CE0DAB"/>
    <w:rsid w:val="00CE1145"/>
    <w:rsid w:val="00CE42C8"/>
    <w:rsid w:val="00CE79A5"/>
    <w:rsid w:val="00CF17B2"/>
    <w:rsid w:val="00D00428"/>
    <w:rsid w:val="00D01963"/>
    <w:rsid w:val="00D02888"/>
    <w:rsid w:val="00D03DD5"/>
    <w:rsid w:val="00D04D08"/>
    <w:rsid w:val="00D052B6"/>
    <w:rsid w:val="00D055BC"/>
    <w:rsid w:val="00D0584E"/>
    <w:rsid w:val="00D058ED"/>
    <w:rsid w:val="00D06258"/>
    <w:rsid w:val="00D12D8C"/>
    <w:rsid w:val="00D133FB"/>
    <w:rsid w:val="00D14BCC"/>
    <w:rsid w:val="00D17E9C"/>
    <w:rsid w:val="00D21164"/>
    <w:rsid w:val="00D21491"/>
    <w:rsid w:val="00D215F4"/>
    <w:rsid w:val="00D220B6"/>
    <w:rsid w:val="00D2477A"/>
    <w:rsid w:val="00D24EAF"/>
    <w:rsid w:val="00D27DA0"/>
    <w:rsid w:val="00D27F6E"/>
    <w:rsid w:val="00D304F3"/>
    <w:rsid w:val="00D317CC"/>
    <w:rsid w:val="00D32983"/>
    <w:rsid w:val="00D33343"/>
    <w:rsid w:val="00D349E5"/>
    <w:rsid w:val="00D36596"/>
    <w:rsid w:val="00D4329F"/>
    <w:rsid w:val="00D45B3B"/>
    <w:rsid w:val="00D473C9"/>
    <w:rsid w:val="00D47762"/>
    <w:rsid w:val="00D47885"/>
    <w:rsid w:val="00D5512E"/>
    <w:rsid w:val="00D55F7B"/>
    <w:rsid w:val="00D64975"/>
    <w:rsid w:val="00D704F8"/>
    <w:rsid w:val="00D735C9"/>
    <w:rsid w:val="00D73B39"/>
    <w:rsid w:val="00D75776"/>
    <w:rsid w:val="00D771EE"/>
    <w:rsid w:val="00D772A6"/>
    <w:rsid w:val="00D77BF6"/>
    <w:rsid w:val="00D80BF3"/>
    <w:rsid w:val="00D80DA9"/>
    <w:rsid w:val="00D82B64"/>
    <w:rsid w:val="00D84EBE"/>
    <w:rsid w:val="00D85E06"/>
    <w:rsid w:val="00D85F12"/>
    <w:rsid w:val="00D869DF"/>
    <w:rsid w:val="00D87DC3"/>
    <w:rsid w:val="00D94CC2"/>
    <w:rsid w:val="00D95A0A"/>
    <w:rsid w:val="00D96336"/>
    <w:rsid w:val="00D973E3"/>
    <w:rsid w:val="00DA0424"/>
    <w:rsid w:val="00DA28C2"/>
    <w:rsid w:val="00DA6BED"/>
    <w:rsid w:val="00DB3481"/>
    <w:rsid w:val="00DB437A"/>
    <w:rsid w:val="00DB46D2"/>
    <w:rsid w:val="00DB479B"/>
    <w:rsid w:val="00DB4A52"/>
    <w:rsid w:val="00DB6D89"/>
    <w:rsid w:val="00DC392A"/>
    <w:rsid w:val="00DC5340"/>
    <w:rsid w:val="00DC5C9C"/>
    <w:rsid w:val="00DD16EA"/>
    <w:rsid w:val="00DD26E3"/>
    <w:rsid w:val="00DD32AA"/>
    <w:rsid w:val="00DD437C"/>
    <w:rsid w:val="00DD58C7"/>
    <w:rsid w:val="00DE1FA5"/>
    <w:rsid w:val="00DE226D"/>
    <w:rsid w:val="00DE56CD"/>
    <w:rsid w:val="00DE76D8"/>
    <w:rsid w:val="00DE7EE8"/>
    <w:rsid w:val="00DF1784"/>
    <w:rsid w:val="00DF2011"/>
    <w:rsid w:val="00DF233A"/>
    <w:rsid w:val="00DF52A8"/>
    <w:rsid w:val="00DF6F06"/>
    <w:rsid w:val="00DF7127"/>
    <w:rsid w:val="00DF7A0C"/>
    <w:rsid w:val="00DF7C96"/>
    <w:rsid w:val="00E01CA8"/>
    <w:rsid w:val="00E04483"/>
    <w:rsid w:val="00E04757"/>
    <w:rsid w:val="00E1510A"/>
    <w:rsid w:val="00E161F4"/>
    <w:rsid w:val="00E17193"/>
    <w:rsid w:val="00E22D48"/>
    <w:rsid w:val="00E24141"/>
    <w:rsid w:val="00E2426D"/>
    <w:rsid w:val="00E3007D"/>
    <w:rsid w:val="00E31A37"/>
    <w:rsid w:val="00E31F1A"/>
    <w:rsid w:val="00E31FDC"/>
    <w:rsid w:val="00E33514"/>
    <w:rsid w:val="00E34FD2"/>
    <w:rsid w:val="00E35489"/>
    <w:rsid w:val="00E35CA3"/>
    <w:rsid w:val="00E36AD1"/>
    <w:rsid w:val="00E418A3"/>
    <w:rsid w:val="00E4303D"/>
    <w:rsid w:val="00E43246"/>
    <w:rsid w:val="00E43F5C"/>
    <w:rsid w:val="00E466C4"/>
    <w:rsid w:val="00E47452"/>
    <w:rsid w:val="00E51AE9"/>
    <w:rsid w:val="00E51CA9"/>
    <w:rsid w:val="00E55BD9"/>
    <w:rsid w:val="00E56117"/>
    <w:rsid w:val="00E569F8"/>
    <w:rsid w:val="00E60997"/>
    <w:rsid w:val="00E61153"/>
    <w:rsid w:val="00E653B4"/>
    <w:rsid w:val="00E657C5"/>
    <w:rsid w:val="00E661D4"/>
    <w:rsid w:val="00E73C0C"/>
    <w:rsid w:val="00E74F66"/>
    <w:rsid w:val="00E7562F"/>
    <w:rsid w:val="00E759BA"/>
    <w:rsid w:val="00E77511"/>
    <w:rsid w:val="00E778B4"/>
    <w:rsid w:val="00E80071"/>
    <w:rsid w:val="00E802B7"/>
    <w:rsid w:val="00E831AA"/>
    <w:rsid w:val="00E832EC"/>
    <w:rsid w:val="00E84055"/>
    <w:rsid w:val="00E92181"/>
    <w:rsid w:val="00E92585"/>
    <w:rsid w:val="00E94CC0"/>
    <w:rsid w:val="00E95129"/>
    <w:rsid w:val="00E95AC0"/>
    <w:rsid w:val="00E95EB9"/>
    <w:rsid w:val="00E9703E"/>
    <w:rsid w:val="00EA422C"/>
    <w:rsid w:val="00EA687B"/>
    <w:rsid w:val="00EB4210"/>
    <w:rsid w:val="00EB4733"/>
    <w:rsid w:val="00EB5625"/>
    <w:rsid w:val="00EB5D7B"/>
    <w:rsid w:val="00EB7962"/>
    <w:rsid w:val="00EC025C"/>
    <w:rsid w:val="00EC0851"/>
    <w:rsid w:val="00EC0D2B"/>
    <w:rsid w:val="00EC12CC"/>
    <w:rsid w:val="00EC148D"/>
    <w:rsid w:val="00EC1C91"/>
    <w:rsid w:val="00EC245F"/>
    <w:rsid w:val="00EC33F5"/>
    <w:rsid w:val="00ED1966"/>
    <w:rsid w:val="00ED1BE7"/>
    <w:rsid w:val="00ED2E94"/>
    <w:rsid w:val="00ED5D71"/>
    <w:rsid w:val="00ED63FA"/>
    <w:rsid w:val="00ED68EB"/>
    <w:rsid w:val="00ED7E4E"/>
    <w:rsid w:val="00EE059C"/>
    <w:rsid w:val="00EE26DA"/>
    <w:rsid w:val="00EE3BA4"/>
    <w:rsid w:val="00EE4013"/>
    <w:rsid w:val="00EE6541"/>
    <w:rsid w:val="00EE72ED"/>
    <w:rsid w:val="00EF1A42"/>
    <w:rsid w:val="00EF224F"/>
    <w:rsid w:val="00EF4D96"/>
    <w:rsid w:val="00F012D8"/>
    <w:rsid w:val="00F01365"/>
    <w:rsid w:val="00F02F7E"/>
    <w:rsid w:val="00F07F8D"/>
    <w:rsid w:val="00F10BB9"/>
    <w:rsid w:val="00F114BD"/>
    <w:rsid w:val="00F12E5D"/>
    <w:rsid w:val="00F15C6E"/>
    <w:rsid w:val="00F16A41"/>
    <w:rsid w:val="00F20A62"/>
    <w:rsid w:val="00F2138F"/>
    <w:rsid w:val="00F226ED"/>
    <w:rsid w:val="00F23367"/>
    <w:rsid w:val="00F25DE0"/>
    <w:rsid w:val="00F26256"/>
    <w:rsid w:val="00F272F2"/>
    <w:rsid w:val="00F27BF2"/>
    <w:rsid w:val="00F27F53"/>
    <w:rsid w:val="00F27F91"/>
    <w:rsid w:val="00F30105"/>
    <w:rsid w:val="00F30946"/>
    <w:rsid w:val="00F30CA5"/>
    <w:rsid w:val="00F314BA"/>
    <w:rsid w:val="00F32447"/>
    <w:rsid w:val="00F34425"/>
    <w:rsid w:val="00F34B58"/>
    <w:rsid w:val="00F350EE"/>
    <w:rsid w:val="00F35348"/>
    <w:rsid w:val="00F42B36"/>
    <w:rsid w:val="00F4393F"/>
    <w:rsid w:val="00F44627"/>
    <w:rsid w:val="00F4625E"/>
    <w:rsid w:val="00F5024C"/>
    <w:rsid w:val="00F52727"/>
    <w:rsid w:val="00F55755"/>
    <w:rsid w:val="00F560BC"/>
    <w:rsid w:val="00F62A14"/>
    <w:rsid w:val="00F66970"/>
    <w:rsid w:val="00F72ADC"/>
    <w:rsid w:val="00F7547C"/>
    <w:rsid w:val="00F76497"/>
    <w:rsid w:val="00F77308"/>
    <w:rsid w:val="00F8582F"/>
    <w:rsid w:val="00F926F7"/>
    <w:rsid w:val="00F94043"/>
    <w:rsid w:val="00F947F1"/>
    <w:rsid w:val="00F967EE"/>
    <w:rsid w:val="00FA07F7"/>
    <w:rsid w:val="00FA188C"/>
    <w:rsid w:val="00FA30AB"/>
    <w:rsid w:val="00FA524D"/>
    <w:rsid w:val="00FA5792"/>
    <w:rsid w:val="00FA7158"/>
    <w:rsid w:val="00FB22D7"/>
    <w:rsid w:val="00FB4DFC"/>
    <w:rsid w:val="00FB5399"/>
    <w:rsid w:val="00FC396E"/>
    <w:rsid w:val="00FC3D59"/>
    <w:rsid w:val="00FC5E00"/>
    <w:rsid w:val="00FC5E4E"/>
    <w:rsid w:val="00FC64DB"/>
    <w:rsid w:val="00FC6BE3"/>
    <w:rsid w:val="00FC6D8E"/>
    <w:rsid w:val="00FD5C3F"/>
    <w:rsid w:val="00FD783F"/>
    <w:rsid w:val="00FE0923"/>
    <w:rsid w:val="00FE4597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43F5C"/>
    <w:pPr>
      <w:spacing w:after="120" w:line="280" w:lineRule="exact"/>
    </w:pPr>
    <w:rPr>
      <w:rFonts w:ascii="Garamond" w:hAnsi="Garamond"/>
      <w:sz w:val="24"/>
      <w:szCs w:val="24"/>
    </w:rPr>
  </w:style>
  <w:style w:type="paragraph" w:styleId="Heading1">
    <w:name w:val="heading 1"/>
    <w:aliases w:val="Nadpis - Paragraf,h1,H1,Kapitola,V_Head1,Záhlaví 1,ASAPHeading 1,F1,Základní kapitola,0Überschrift 1,1Überschrift 1,2Überschrift 1,3Überschrift 1,4Überschrift 1,5Überschrift 1,6Überschrift 1,7Überschrift 1,8Überschrift 1,9Überschrift 1,RIM,U1"/>
    <w:basedOn w:val="Normal"/>
    <w:next w:val="Normal"/>
    <w:link w:val="Heading1Char1"/>
    <w:uiPriority w:val="99"/>
    <w:qFormat/>
    <w:rsid w:val="005F76F9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aliases w:val="Text kapitoly,H2,Outline2,h2,2,l2,list + change bar,???,Titre 2,PA Major Section,I2,chapitre,Überschrift 2 Anhang,Überschrift 2 Anhang1,Überschrift 2 Anhang2,Section,Headline 2,2 headline,h,T2,h:2,h:2app,Ebene 2,Gliederung2,Titre3"/>
    <w:basedOn w:val="Normal"/>
    <w:next w:val="Normal"/>
    <w:link w:val="Heading2Char1"/>
    <w:autoRedefine/>
    <w:uiPriority w:val="99"/>
    <w:qFormat/>
    <w:rsid w:val="00226F9E"/>
    <w:pPr>
      <w:spacing w:after="180" w:line="240" w:lineRule="auto"/>
      <w:jc w:val="both"/>
      <w:outlineLvl w:val="1"/>
    </w:pPr>
    <w:rPr>
      <w:b/>
      <w:szCs w:val="20"/>
    </w:rPr>
  </w:style>
  <w:style w:type="paragraph" w:styleId="Heading3">
    <w:name w:val="heading 3"/>
    <w:aliases w:val="Text Podkapitoly,h3,l3,Level 3 Head,H3,3,Minor,Üb 3,DTSÜberschrift 3,3 bullet,b,bullet,SECOND,Second,BLANK2,4 bullet,bdullet,Bold Head,bh,bh####,bh#### + Line ...,L3,H31,Heading 3 Char1 Char,Heading 3 Char Char Char,Heading 3 Char1"/>
    <w:basedOn w:val="Normal"/>
    <w:next w:val="Normal"/>
    <w:link w:val="Heading3Char2"/>
    <w:autoRedefine/>
    <w:uiPriority w:val="99"/>
    <w:qFormat/>
    <w:rsid w:val="00DA0424"/>
    <w:pPr>
      <w:widowControl w:val="0"/>
      <w:numPr>
        <w:ilvl w:val="2"/>
      </w:numPr>
      <w:spacing w:after="0" w:line="240" w:lineRule="auto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Text Odstavce,V_Head4,ASAPHeading 4,Podkapitola3,Aufgabe,Nadpis 4T,nadpis4,MUS4,H4,Üb 4,dash,d,dash1,d1,31,3####,h4,l4,Fourth Level Heading,fourth level heading,DTSÜberschrift 4,Map Title"/>
    <w:basedOn w:val="Normal"/>
    <w:next w:val="Normal"/>
    <w:link w:val="Heading4Char"/>
    <w:autoRedefine/>
    <w:uiPriority w:val="99"/>
    <w:qFormat/>
    <w:rsid w:val="00226F9E"/>
    <w:pPr>
      <w:tabs>
        <w:tab w:val="num" w:pos="-708"/>
      </w:tabs>
      <w:spacing w:line="240" w:lineRule="auto"/>
      <w:ind w:left="2124" w:hanging="708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Nepoužívat,ASAPHeading 5,nadpis5,H5,h5"/>
    <w:basedOn w:val="Normal"/>
    <w:next w:val="Normal"/>
    <w:link w:val="Heading5Char"/>
    <w:autoRedefine/>
    <w:uiPriority w:val="99"/>
    <w:qFormat/>
    <w:rsid w:val="00226F9E"/>
    <w:pPr>
      <w:tabs>
        <w:tab w:val="num" w:pos="-708"/>
      </w:tabs>
      <w:spacing w:line="240" w:lineRule="auto"/>
      <w:ind w:left="2832" w:hanging="708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aliases w:val="ASAPHeading 6,Heading 6  Appendix Y &amp; Z,Heading 6  Appendix Y &amp; Z1,Heading 6  Appendix Y &amp; Z2,Heading 6  Appendix Y &amp; Z11,MUS6,nadpis6"/>
    <w:basedOn w:val="Normal"/>
    <w:next w:val="Normal"/>
    <w:link w:val="Heading6Char"/>
    <w:autoRedefine/>
    <w:uiPriority w:val="99"/>
    <w:qFormat/>
    <w:rsid w:val="00226F9E"/>
    <w:pPr>
      <w:tabs>
        <w:tab w:val="num" w:pos="-708"/>
      </w:tabs>
      <w:spacing w:line="240" w:lineRule="auto"/>
      <w:ind w:left="3540" w:hanging="708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aliases w:val="ASAPHeading 7,MUS7,nadpis7"/>
    <w:basedOn w:val="Normal"/>
    <w:next w:val="Normal"/>
    <w:link w:val="Heading7Char"/>
    <w:autoRedefine/>
    <w:uiPriority w:val="99"/>
    <w:qFormat/>
    <w:rsid w:val="00226F9E"/>
    <w:pPr>
      <w:tabs>
        <w:tab w:val="num" w:pos="-708"/>
      </w:tabs>
      <w:spacing w:line="240" w:lineRule="auto"/>
      <w:ind w:left="4248" w:hanging="708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aliases w:val="ASAPHeading 8,MUS8,nadpis8"/>
    <w:basedOn w:val="Normal"/>
    <w:next w:val="Normal"/>
    <w:link w:val="Heading8Char"/>
    <w:autoRedefine/>
    <w:uiPriority w:val="99"/>
    <w:qFormat/>
    <w:rsid w:val="00226F9E"/>
    <w:pPr>
      <w:tabs>
        <w:tab w:val="num" w:pos="-708"/>
      </w:tabs>
      <w:spacing w:line="240" w:lineRule="auto"/>
      <w:ind w:left="4956" w:hanging="708"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aliases w:val="h9,heading9,ASAPHeading 9,App Heading,MUS9,nadpis9"/>
    <w:basedOn w:val="Normal"/>
    <w:next w:val="Normal"/>
    <w:link w:val="Heading9Char"/>
    <w:autoRedefine/>
    <w:uiPriority w:val="99"/>
    <w:qFormat/>
    <w:rsid w:val="00226F9E"/>
    <w:pPr>
      <w:tabs>
        <w:tab w:val="num" w:pos="-708"/>
      </w:tabs>
      <w:spacing w:line="240" w:lineRule="auto"/>
      <w:ind w:left="5664" w:hanging="708"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- Paragraf Char,h1 Char,H1 Char,Kapitola Char,V_Head1 Char,Záhlaví 1 Char,ASAPHeading 1 Char,F1 Char,Základní kapitola Char,0Überschrift 1 Char,1Überschrift 1 Char,2Überschrift 1 Char,3Überschrift 1 Char,4Überschrift 1 Char,U1 Char"/>
    <w:basedOn w:val="DefaultParagraphFont"/>
    <w:link w:val="Heading1"/>
    <w:uiPriority w:val="9"/>
    <w:rsid w:val="00876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ext kapitoly Char,H2 Char,Outline2 Char,h2 Char,2 Char,l2 Char,list + change bar Char,??? Char,Titre 2 Char,PA Major Section Char,I2 Char,chapitre Char,Überschrift 2 Anhang Char,Überschrift 2 Anhang1 Char,Überschrift 2 Anhang2 Char"/>
    <w:basedOn w:val="DefaultParagraphFont"/>
    <w:link w:val="Heading2"/>
    <w:uiPriority w:val="99"/>
    <w:semiHidden/>
    <w:locked/>
    <w:rsid w:val="00463AD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aliases w:val="Text Podkapitoly Char,h3 Char,l3 Char,Level 3 Head Char,H3 Char,3 Char,Minor Char,Üb 3 Char,DTSÜberschrift 3 Char,3 bullet Char,b Char,bullet Char,SECOND Char,Second Char,BLANK2 Char,4 bullet Char,bdullet Char,Bold Head Char,bh Char"/>
    <w:basedOn w:val="DefaultParagraphFont"/>
    <w:link w:val="Heading3"/>
    <w:uiPriority w:val="99"/>
    <w:semiHidden/>
    <w:locked/>
    <w:rsid w:val="00463AD1"/>
    <w:rPr>
      <w:rFonts w:ascii="Cambria" w:hAnsi="Cambria" w:cs="Times New Roman"/>
      <w:b/>
      <w:sz w:val="26"/>
    </w:rPr>
  </w:style>
  <w:style w:type="character" w:customStyle="1" w:styleId="Heading4Char">
    <w:name w:val="Heading 4 Char"/>
    <w:aliases w:val="Text Odstavce Char,V_Head4 Char,ASAPHeading 4 Char,Podkapitola3 Char,Aufgabe Char,Nadpis 4T Char,nadpis4 Char,MUS4 Char,H4 Char,Üb 4 Char,dash Char,d Char,dash1 Char,d1 Char,31 Char,3#### Char,h4 Char,l4 Char,Fourth Level Heading Char"/>
    <w:basedOn w:val="DefaultParagraphFont"/>
    <w:link w:val="Heading4"/>
    <w:uiPriority w:val="99"/>
    <w:locked/>
    <w:rsid w:val="00226F9E"/>
    <w:rPr>
      <w:rFonts w:ascii="Arial" w:hAnsi="Arial" w:cs="Times New Roman"/>
    </w:rPr>
  </w:style>
  <w:style w:type="character" w:customStyle="1" w:styleId="Heading5Char">
    <w:name w:val="Heading 5 Char"/>
    <w:aliases w:val="Nepoužívat Char,ASAPHeading 5 Char,nadpis5 Char,H5 Char,h5 Char"/>
    <w:basedOn w:val="DefaultParagraphFont"/>
    <w:link w:val="Heading5"/>
    <w:uiPriority w:val="99"/>
    <w:locked/>
    <w:rsid w:val="00226F9E"/>
    <w:rPr>
      <w:rFonts w:ascii="Arial" w:hAnsi="Arial" w:cs="Times New Roman"/>
      <w:b/>
    </w:rPr>
  </w:style>
  <w:style w:type="character" w:customStyle="1" w:styleId="Heading6Char">
    <w:name w:val="Heading 6 Char"/>
    <w:aliases w:val="ASAPHeading 6 Char,Heading 6  Appendix Y &amp; Z Char,Heading 6  Appendix Y &amp; Z1 Char,Heading 6  Appendix Y &amp; Z2 Char,Heading 6  Appendix Y &amp; Z11 Char,MUS6 Char,nadpis6 Char"/>
    <w:basedOn w:val="DefaultParagraphFont"/>
    <w:link w:val="Heading6"/>
    <w:uiPriority w:val="99"/>
    <w:locked/>
    <w:rsid w:val="00226F9E"/>
    <w:rPr>
      <w:rFonts w:ascii="Arial" w:hAnsi="Arial" w:cs="Times New Roman"/>
      <w:b/>
    </w:rPr>
  </w:style>
  <w:style w:type="character" w:customStyle="1" w:styleId="Heading7Char">
    <w:name w:val="Heading 7 Char"/>
    <w:aliases w:val="ASAPHeading 7 Char,MUS7 Char,nadpis7 Char"/>
    <w:basedOn w:val="DefaultParagraphFont"/>
    <w:link w:val="Heading7"/>
    <w:uiPriority w:val="99"/>
    <w:locked/>
    <w:rsid w:val="00226F9E"/>
    <w:rPr>
      <w:rFonts w:ascii="Arial" w:hAnsi="Arial" w:cs="Times New Roman"/>
      <w:b/>
    </w:rPr>
  </w:style>
  <w:style w:type="character" w:customStyle="1" w:styleId="Heading8Char">
    <w:name w:val="Heading 8 Char"/>
    <w:aliases w:val="ASAPHeading 8 Char,MUS8 Char,nadpis8 Char"/>
    <w:basedOn w:val="DefaultParagraphFont"/>
    <w:link w:val="Heading8"/>
    <w:uiPriority w:val="99"/>
    <w:locked/>
    <w:rsid w:val="00226F9E"/>
    <w:rPr>
      <w:rFonts w:ascii="Arial" w:hAnsi="Arial" w:cs="Times New Roman"/>
      <w:b/>
    </w:rPr>
  </w:style>
  <w:style w:type="character" w:customStyle="1" w:styleId="Heading9Char">
    <w:name w:val="Heading 9 Char"/>
    <w:aliases w:val="h9 Char,heading9 Char,ASAPHeading 9 Char,App Heading Char,MUS9 Char,nadpis9 Char"/>
    <w:basedOn w:val="DefaultParagraphFont"/>
    <w:link w:val="Heading9"/>
    <w:uiPriority w:val="99"/>
    <w:locked/>
    <w:rsid w:val="00226F9E"/>
    <w:rPr>
      <w:rFonts w:ascii="Arial" w:hAnsi="Arial" w:cs="Times New Roman"/>
      <w:b/>
    </w:rPr>
  </w:style>
  <w:style w:type="character" w:customStyle="1" w:styleId="Heading1Char11">
    <w:name w:val="Heading 1 Char11"/>
    <w:aliases w:val="Nadpis - Paragraf Char11,h1 Char11,H1 Char11,Kapitola Char11,V_Head1 Char11,Záhlaví 1 Char11,ASAPHeading 1 Char11,F1 Char11,Základní kapitola Char11,0Überschrift 1 Char11,1Überschrift 1 Char11,2Überschrift 1 Char11,3Überschrift 1 Char10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0">
    <w:name w:val="Heading 1 Char10"/>
    <w:aliases w:val="Nadpis - Paragraf Char10,h1 Char10,H1 Char10,Kapitola Char10,V_Head1 Char10,Záhlaví 1 Char10,ASAPHeading 1 Char10,F1 Char10,Základní kapitola Char10,0Überschrift 1 Char10,1Überschrift 1 Char10,2Überschrift 1 Char10,3Überschrift 1 Char1"/>
    <w:basedOn w:val="DefaultParagraphFont"/>
    <w:uiPriority w:val="99"/>
    <w:rsid w:val="00123D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9">
    <w:name w:val="Heading 1 Char9"/>
    <w:aliases w:val="Nadpis - Paragraf Char9,h1 Char9,H1 Char9,Kapitola Char9,V_Head1 Char9,Záhlaví 1 Char9,ASAPHeading 1 Char9,F1 Char9,Základní kapitola Char9,0Überschrift 1 Char9,1Überschrift 1 Char9,2Überschrift 1 Char9,3Überschrift 1 Char9,U1 Cha8"/>
    <w:basedOn w:val="DefaultParagraphFont"/>
    <w:uiPriority w:val="99"/>
    <w:locked/>
    <w:rsid w:val="006105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8">
    <w:name w:val="Heading 1 Char8"/>
    <w:aliases w:val="Nadpis - Paragraf Char8,h1 Char8,H1 Char8,Kapitola Char8,V_Head1 Char8,Záhlaví 1 Char8,ASAPHeading 1 Char8,F1 Char8,Základní kapitola Char8,0Überschrift 1 Char8,1Überschrift 1 Char8,2Überschrift 1 Char8,3Überschrift 1 Char8,U1 Cha7"/>
    <w:basedOn w:val="DefaultParagraphFont"/>
    <w:uiPriority w:val="99"/>
    <w:locked/>
    <w:rsid w:val="00F940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Nadpis - Paragraf Char7,h1 Char7,H1 Char7,Kapitola Char7,V_Head1 Char7,Záhlaví 1 Char7,ASAPHeading 1 Char7,F1 Char7,Základní kapitola Char7,0Überschrift 1 Char7,1Überschrift 1 Char7,2Überschrift 1 Char7,3Überschrift 1 Char7,U1 Cha6"/>
    <w:basedOn w:val="DefaultParagraphFont"/>
    <w:uiPriority w:val="99"/>
    <w:locked/>
    <w:rsid w:val="003014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Nadpis - Paragraf Char6,h1 Char6,H1 Char6,Kapitola Char6,V_Head1 Char6,Záhlaví 1 Char6,ASAPHeading 1 Char6,F1 Char6,Základní kapitola Char6,0Überschrift 1 Char6,1Überschrift 1 Char6,2Überschrift 1 Char6,3Überschrift 1 Char6,U1 Cha5"/>
    <w:basedOn w:val="DefaultParagraphFont"/>
    <w:uiPriority w:val="99"/>
    <w:locked/>
    <w:rsid w:val="00D247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Nadpis - Paragraf Char5,h1 Char5,H1 Char5,Kapitola Char5,V_Head1 Char5,Záhlaví 1 Char5,ASAPHeading 1 Char5,F1 Char5,Základní kapitola Char5,0Überschrift 1 Char5,1Überschrift 1 Char5,2Überschrift 1 Char5,3Überschrift 1 Char5,U1 Cha4"/>
    <w:uiPriority w:val="99"/>
    <w:rsid w:val="00417274"/>
    <w:rPr>
      <w:rFonts w:ascii="Cambria" w:hAnsi="Cambria"/>
      <w:b/>
      <w:kern w:val="32"/>
      <w:sz w:val="32"/>
    </w:rPr>
  </w:style>
  <w:style w:type="character" w:customStyle="1" w:styleId="Heading1Char4">
    <w:name w:val="Heading 1 Char4"/>
    <w:aliases w:val="Nadpis - Paragraf Char4,h1 Char4,H1 Char4,Kapitola Char4,V_Head1 Char4,Záhlaví 1 Char4,ASAPHeading 1 Char4,F1 Char4,Základní kapitola Char4,0Überschrift 1 Char4,1Überschrift 1 Char4,2Überschrift 1 Char4,3Überschrift 1 Char4,U1 Cha3"/>
    <w:uiPriority w:val="99"/>
    <w:rsid w:val="00463AD1"/>
    <w:rPr>
      <w:rFonts w:ascii="Cambria" w:hAnsi="Cambria"/>
      <w:b/>
      <w:kern w:val="32"/>
      <w:sz w:val="32"/>
    </w:rPr>
  </w:style>
  <w:style w:type="paragraph" w:customStyle="1" w:styleId="RLTextlnkuslovan">
    <w:name w:val="RL Text článku číslovaný"/>
    <w:basedOn w:val="Normal"/>
    <w:link w:val="RLTextlnkuslovanChar"/>
    <w:uiPriority w:val="99"/>
    <w:rsid w:val="008C4EE1"/>
    <w:pPr>
      <w:numPr>
        <w:ilvl w:val="1"/>
        <w:numId w:val="1"/>
      </w:numPr>
      <w:jc w:val="both"/>
    </w:pPr>
    <w:rPr>
      <w:rFonts w:ascii="Calibri" w:hAnsi="Calibri"/>
      <w:sz w:val="20"/>
      <w:szCs w:val="20"/>
    </w:rPr>
  </w:style>
  <w:style w:type="paragraph" w:customStyle="1" w:styleId="RLlneksmlouvy">
    <w:name w:val="RL Článek smlouvy"/>
    <w:basedOn w:val="Normal"/>
    <w:next w:val="RLTextlnkuslovan"/>
    <w:link w:val="RLlneksmlouvyCharChar"/>
    <w:uiPriority w:val="99"/>
    <w:rsid w:val="008C4EE1"/>
    <w:pPr>
      <w:keepNext/>
      <w:numPr>
        <w:numId w:val="1"/>
      </w:numPr>
      <w:suppressAutoHyphens/>
      <w:spacing w:before="360"/>
      <w:jc w:val="both"/>
      <w:outlineLvl w:val="0"/>
    </w:pPr>
    <w:rPr>
      <w:rFonts w:ascii="Calibri" w:hAnsi="Calibri"/>
      <w:b/>
      <w:sz w:val="20"/>
      <w:szCs w:val="20"/>
      <w:lang w:eastAsia="en-US"/>
    </w:rPr>
  </w:style>
  <w:style w:type="paragraph" w:customStyle="1" w:styleId="RLsmluvnstrana">
    <w:name w:val="RL smluvní strana"/>
    <w:basedOn w:val="Normal"/>
    <w:next w:val="RLdajeosmluvnstran"/>
    <w:uiPriority w:val="99"/>
    <w:rsid w:val="008C4EE1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/>
      <w:b/>
      <w:sz w:val="22"/>
      <w:szCs w:val="20"/>
      <w:lang w:eastAsia="en-US"/>
    </w:rPr>
  </w:style>
  <w:style w:type="paragraph" w:customStyle="1" w:styleId="RLdajeosmluvnstran">
    <w:name w:val="RL  údaje o smluvní straně"/>
    <w:basedOn w:val="Normal"/>
    <w:link w:val="RLdajeosmluvnstranChar"/>
    <w:uiPriority w:val="99"/>
    <w:rsid w:val="00CA53F7"/>
    <w:pPr>
      <w:jc w:val="center"/>
    </w:pPr>
    <w:rPr>
      <w:szCs w:val="20"/>
      <w:lang w:eastAsia="en-US"/>
    </w:rPr>
  </w:style>
  <w:style w:type="paragraph" w:customStyle="1" w:styleId="RLProhlensmluvnchstran">
    <w:name w:val="RL Prohlášení smluvních stran"/>
    <w:basedOn w:val="Normal"/>
    <w:link w:val="RLProhlensmluvnchstranChar"/>
    <w:uiPriority w:val="99"/>
    <w:rsid w:val="008C4EE1"/>
    <w:pPr>
      <w:jc w:val="center"/>
    </w:pPr>
    <w:rPr>
      <w:rFonts w:ascii="Calibri" w:hAnsi="Calibri"/>
      <w:b/>
      <w:szCs w:val="20"/>
    </w:rPr>
  </w:style>
  <w:style w:type="character" w:styleId="Hyperlink">
    <w:name w:val="Hyperlink"/>
    <w:basedOn w:val="DefaultParagraphFont"/>
    <w:uiPriority w:val="99"/>
    <w:rsid w:val="00411FC6"/>
    <w:rPr>
      <w:rFonts w:cs="Times New Roman"/>
      <w:color w:val="000000"/>
      <w:u w:val="none"/>
    </w:rPr>
  </w:style>
  <w:style w:type="paragraph" w:styleId="Title">
    <w:name w:val="Title"/>
    <w:basedOn w:val="Normal"/>
    <w:link w:val="TitleChar"/>
    <w:uiPriority w:val="99"/>
    <w:qFormat/>
    <w:rsid w:val="00A02DF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E1145"/>
    <w:rPr>
      <w:rFonts w:ascii="Arial" w:hAnsi="Arial" w:cs="Times New Roman"/>
      <w:b/>
      <w:kern w:val="28"/>
      <w:sz w:val="32"/>
    </w:rPr>
  </w:style>
  <w:style w:type="paragraph" w:customStyle="1" w:styleId="Seznamploh">
    <w:name w:val="Seznam příloh"/>
    <w:basedOn w:val="RLTextlnkuslovan"/>
    <w:uiPriority w:val="99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al"/>
    <w:next w:val="Normal"/>
    <w:uiPriority w:val="99"/>
    <w:rsid w:val="008C4EE1"/>
    <w:pPr>
      <w:spacing w:before="120" w:after="1200" w:line="240" w:lineRule="auto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3E2E"/>
    <w:rPr>
      <w:rFonts w:ascii="Garamond" w:hAnsi="Garamond" w:cs="Times New Roman"/>
      <w:color w:val="808080"/>
      <w:sz w:val="24"/>
    </w:rPr>
  </w:style>
  <w:style w:type="paragraph" w:styleId="Header">
    <w:name w:val="header"/>
    <w:basedOn w:val="Normal"/>
    <w:link w:val="Header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1145"/>
    <w:rPr>
      <w:rFonts w:ascii="Garamond" w:hAnsi="Garamond" w:cs="Times New Roman"/>
      <w:b/>
      <w:sz w:val="24"/>
    </w:rPr>
  </w:style>
  <w:style w:type="character" w:styleId="CommentReference">
    <w:name w:val="annotation reference"/>
    <w:basedOn w:val="DefaultParagraphFont"/>
    <w:uiPriority w:val="99"/>
    <w:rsid w:val="00EC245F"/>
    <w:rPr>
      <w:rFonts w:cs="Times New Roman"/>
      <w:sz w:val="16"/>
    </w:rPr>
  </w:style>
  <w:style w:type="character" w:styleId="FollowedHyperlink">
    <w:name w:val="FollowedHyperlink"/>
    <w:basedOn w:val="DefaultParagraphFont"/>
    <w:uiPriority w:val="99"/>
    <w:rsid w:val="00094A1C"/>
    <w:rPr>
      <w:rFonts w:cs="Times New Roman"/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8C4EE1"/>
    <w:rPr>
      <w:rFonts w:ascii="Calibri" w:hAnsi="Calibri"/>
      <w:b/>
      <w:sz w:val="24"/>
    </w:rPr>
  </w:style>
  <w:style w:type="paragraph" w:styleId="CommentText">
    <w:name w:val="annotation text"/>
    <w:basedOn w:val="Normal"/>
    <w:link w:val="CommentTextChar"/>
    <w:uiPriority w:val="99"/>
    <w:rsid w:val="00EC2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07E26"/>
    <w:rPr>
      <w:rFonts w:ascii="Garamond" w:hAnsi="Garamond" w:cs="Times New Roman"/>
    </w:rPr>
  </w:style>
  <w:style w:type="character" w:styleId="PageNumber">
    <w:name w:val="page number"/>
    <w:basedOn w:val="DefaultParagraphFont"/>
    <w:uiPriority w:val="99"/>
    <w:rsid w:val="00F213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245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591D"/>
    <w:rPr>
      <w:b/>
    </w:rPr>
  </w:style>
  <w:style w:type="table" w:styleId="TableGrid">
    <w:name w:val="Table Grid"/>
    <w:basedOn w:val="TableNormal"/>
    <w:uiPriority w:val="99"/>
    <w:rsid w:val="00CB4254"/>
    <w:pPr>
      <w:spacing w:after="120" w:line="28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24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91D"/>
    <w:rPr>
      <w:rFonts w:ascii="Tahoma" w:hAnsi="Tahoma" w:cs="Times New Roman"/>
      <w:sz w:val="16"/>
    </w:rPr>
  </w:style>
  <w:style w:type="character" w:customStyle="1" w:styleId="RLTextlnkuslovanChar">
    <w:name w:val="RL Text článku číslovaný Char"/>
    <w:link w:val="RLTextlnkuslovan"/>
    <w:uiPriority w:val="99"/>
    <w:locked/>
    <w:rsid w:val="008C4EE1"/>
    <w:rPr>
      <w:rFonts w:ascii="Calibri" w:hAnsi="Calibri"/>
      <w:sz w:val="20"/>
    </w:rPr>
  </w:style>
  <w:style w:type="character" w:customStyle="1" w:styleId="RLdajeosmluvnstranChar">
    <w:name w:val="RL  údaje o smluvní straně Char"/>
    <w:link w:val="RLdajeosmluvnstran"/>
    <w:uiPriority w:val="99"/>
    <w:locked/>
    <w:rsid w:val="006A58EF"/>
    <w:rPr>
      <w:rFonts w:ascii="Garamond" w:hAnsi="Garamond"/>
      <w:sz w:val="24"/>
      <w:lang w:eastAsia="en-US"/>
    </w:rPr>
  </w:style>
  <w:style w:type="character" w:customStyle="1" w:styleId="platne1">
    <w:name w:val="platne1"/>
    <w:uiPriority w:val="99"/>
    <w:rsid w:val="006A58EF"/>
  </w:style>
  <w:style w:type="character" w:customStyle="1" w:styleId="platne">
    <w:name w:val="platne"/>
    <w:uiPriority w:val="99"/>
    <w:rsid w:val="006A58EF"/>
  </w:style>
  <w:style w:type="character" w:customStyle="1" w:styleId="RLlneksmlouvyCharChar">
    <w:name w:val="RL Článek smlouvy Char Char"/>
    <w:link w:val="RLlneksmlouvy"/>
    <w:uiPriority w:val="99"/>
    <w:locked/>
    <w:rsid w:val="008C4EE1"/>
    <w:rPr>
      <w:rFonts w:ascii="Calibri" w:hAnsi="Calibri"/>
      <w:b/>
      <w:sz w:val="20"/>
      <w:lang w:eastAsia="en-US"/>
    </w:rPr>
  </w:style>
  <w:style w:type="character" w:customStyle="1" w:styleId="Heading2Char1">
    <w:name w:val="Heading 2 Char1"/>
    <w:aliases w:val="Text kapitoly Char1,H2 Char1,Outline2 Char1,h2 Char1,2 Char1,l2 Char1,list + change bar Char1,??? Char1,Titre 2 Char1,PA Major Section Char1,I2 Char1,chapitre Char1,Überschrift 2 Anhang Char1,Überschrift 2 Anhang1 Char1,Section Char"/>
    <w:link w:val="Heading2"/>
    <w:uiPriority w:val="99"/>
    <w:locked/>
    <w:rsid w:val="00226F9E"/>
    <w:rPr>
      <w:rFonts w:ascii="Garamond" w:hAnsi="Garamond"/>
      <w:b/>
      <w:sz w:val="24"/>
    </w:rPr>
  </w:style>
  <w:style w:type="character" w:customStyle="1" w:styleId="Heading3Char2">
    <w:name w:val="Heading 3 Char2"/>
    <w:aliases w:val="Text Podkapitoly Char1,h3 Char1,l3 Char1,Level 3 Head Char1,H3 Char1,3 Char1,Minor Char1,Üb 3 Char1,DTSÜberschrift 3 Char1,3 bullet Char1,b Char1,bullet Char1,SECOND Char1,Second Char1,BLANK2 Char1,4 bullet Char1,bdullet Char1,bh Char1"/>
    <w:link w:val="Heading3"/>
    <w:uiPriority w:val="99"/>
    <w:locked/>
    <w:rsid w:val="00DA0424"/>
    <w:rPr>
      <w:rFonts w:ascii="Arial" w:hAnsi="Arial"/>
    </w:rPr>
  </w:style>
  <w:style w:type="paragraph" w:customStyle="1" w:styleId="Ploha">
    <w:name w:val="Příloha"/>
    <w:basedOn w:val="Normal"/>
    <w:uiPriority w:val="99"/>
    <w:rsid w:val="00226F9E"/>
    <w:pPr>
      <w:spacing w:after="0" w:line="280" w:lineRule="atLeast"/>
      <w:jc w:val="center"/>
    </w:pPr>
    <w:rPr>
      <w:b/>
      <w:sz w:val="36"/>
      <w:szCs w:val="20"/>
    </w:rPr>
  </w:style>
  <w:style w:type="paragraph" w:customStyle="1" w:styleId="Normal-centred">
    <w:name w:val="Normal - centred"/>
    <w:basedOn w:val="Normal"/>
    <w:uiPriority w:val="99"/>
    <w:rsid w:val="0020726E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07E26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7E26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207E26"/>
    <w:rPr>
      <w:rFonts w:cs="Times New Roman"/>
      <w:vertAlign w:val="superscript"/>
    </w:rPr>
  </w:style>
  <w:style w:type="character" w:customStyle="1" w:styleId="RLlneksmlouvyChar">
    <w:name w:val="RL Článek smlouvy Char"/>
    <w:uiPriority w:val="99"/>
    <w:rsid w:val="00EB5D7B"/>
    <w:rPr>
      <w:rFonts w:ascii="Garamond" w:hAnsi="Garamond"/>
      <w:b/>
      <w:caps/>
      <w:sz w:val="24"/>
      <w:lang w:val="cs-CZ" w:eastAsia="en-US"/>
    </w:rPr>
  </w:style>
  <w:style w:type="character" w:styleId="Emphasis">
    <w:name w:val="Emphasis"/>
    <w:basedOn w:val="DefaultParagraphFont"/>
    <w:uiPriority w:val="99"/>
    <w:qFormat/>
    <w:rsid w:val="00F30105"/>
    <w:rPr>
      <w:rFonts w:cs="Times New Roman"/>
      <w:i/>
    </w:rPr>
  </w:style>
  <w:style w:type="paragraph" w:customStyle="1" w:styleId="RLdajeosmluvnstran0">
    <w:name w:val="RL Údaje o smluvní straně"/>
    <w:basedOn w:val="Normal"/>
    <w:uiPriority w:val="99"/>
    <w:rsid w:val="00CE1145"/>
    <w:pPr>
      <w:jc w:val="center"/>
    </w:pPr>
    <w:rPr>
      <w:rFonts w:ascii="Calibri" w:hAnsi="Calibri"/>
      <w:sz w:val="22"/>
      <w:lang w:eastAsia="en-US"/>
    </w:rPr>
  </w:style>
  <w:style w:type="character" w:customStyle="1" w:styleId="ZKLADNChar">
    <w:name w:val="ZÁKLADNÍ Char"/>
    <w:link w:val="ZKLADN"/>
    <w:uiPriority w:val="99"/>
    <w:locked/>
    <w:rsid w:val="00CE1145"/>
    <w:rPr>
      <w:rFonts w:ascii="Garamond" w:hAnsi="Garamond"/>
      <w:sz w:val="24"/>
    </w:rPr>
  </w:style>
  <w:style w:type="paragraph" w:customStyle="1" w:styleId="ZKLADN">
    <w:name w:val="ZÁKLADNÍ"/>
    <w:basedOn w:val="BodyText"/>
    <w:link w:val="ZKLADNChar"/>
    <w:uiPriority w:val="99"/>
    <w:rsid w:val="00CE1145"/>
    <w:pPr>
      <w:widowControl w:val="0"/>
      <w:adjustRightInd w:val="0"/>
      <w:spacing w:before="120" w:line="280" w:lineRule="atLeast"/>
      <w:jc w:val="both"/>
      <w:textAlignment w:val="baseline"/>
    </w:pPr>
  </w:style>
  <w:style w:type="paragraph" w:customStyle="1" w:styleId="doplnuchaze">
    <w:name w:val="doplní uchazeč"/>
    <w:basedOn w:val="Normal"/>
    <w:link w:val="doplnuchazeChar"/>
    <w:uiPriority w:val="99"/>
    <w:rsid w:val="00CE1145"/>
    <w:pPr>
      <w:widowControl w:val="0"/>
      <w:adjustRightInd w:val="0"/>
      <w:jc w:val="center"/>
      <w:textAlignment w:val="baseline"/>
    </w:pPr>
    <w:rPr>
      <w:rFonts w:ascii="Calibri" w:hAnsi="Calibri"/>
      <w:b/>
      <w:sz w:val="22"/>
      <w:szCs w:val="20"/>
    </w:rPr>
  </w:style>
  <w:style w:type="character" w:customStyle="1" w:styleId="doplnuchazeChar">
    <w:name w:val="doplní uchazeč Char"/>
    <w:link w:val="doplnuchaze"/>
    <w:uiPriority w:val="99"/>
    <w:locked/>
    <w:rsid w:val="00CE1145"/>
    <w:rPr>
      <w:rFonts w:ascii="Calibri" w:hAnsi="Calibri"/>
      <w:b/>
      <w:snapToGrid w:val="0"/>
      <w:sz w:val="22"/>
    </w:rPr>
  </w:style>
  <w:style w:type="paragraph" w:styleId="BodyText">
    <w:name w:val="Body Text"/>
    <w:basedOn w:val="Normal"/>
    <w:link w:val="BodyTextChar"/>
    <w:uiPriority w:val="99"/>
    <w:rsid w:val="00CE1145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1145"/>
    <w:rPr>
      <w:rFonts w:ascii="Garamond" w:hAnsi="Garamond"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E1145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1145"/>
    <w:rPr>
      <w:rFonts w:ascii="Arial" w:hAnsi="Arial" w:cs="Times New Roman"/>
      <w:b/>
    </w:rPr>
  </w:style>
  <w:style w:type="character" w:customStyle="1" w:styleId="Heading1Char1">
    <w:name w:val="Heading 1 Char1"/>
    <w:aliases w:val="Nadpis - Paragraf Char1,h1 Char1,H1 Char1,Kapitola Char1,V_Head1 Char1,Záhlaví 1 Char1,ASAPHeading 1 Char1,F1 Char1,Základní kapitola Char1,0Überschrift 1 Char1,1Überschrift 1 Char1,2Überschrift 1 Char1,3Überschrift 1 Char11,RIM Char"/>
    <w:link w:val="Heading1"/>
    <w:uiPriority w:val="99"/>
    <w:locked/>
    <w:rsid w:val="00CE1145"/>
    <w:rPr>
      <w:rFonts w:ascii="Arial" w:hAnsi="Arial"/>
      <w:b/>
      <w:kern w:val="32"/>
      <w:sz w:val="32"/>
    </w:rPr>
  </w:style>
  <w:style w:type="paragraph" w:styleId="BodyTextIndent">
    <w:name w:val="Body Text Indent"/>
    <w:basedOn w:val="Normal"/>
    <w:link w:val="BodyTextIndentChar"/>
    <w:uiPriority w:val="99"/>
    <w:rsid w:val="00035371"/>
    <w:pPr>
      <w:spacing w:after="0" w:line="240" w:lineRule="atLeast"/>
      <w:ind w:left="284" w:hanging="284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5371"/>
    <w:rPr>
      <w:rFonts w:ascii="Arial" w:hAnsi="Arial" w:cs="Times New Roman"/>
    </w:rPr>
  </w:style>
  <w:style w:type="paragraph" w:customStyle="1" w:styleId="BidNadpis1">
    <w:name w:val="Bid_Nadpis1"/>
    <w:uiPriority w:val="99"/>
    <w:rsid w:val="0049235D"/>
    <w:pPr>
      <w:keepNext/>
      <w:numPr>
        <w:numId w:val="2"/>
      </w:numPr>
      <w:autoSpaceDE w:val="0"/>
      <w:autoSpaceDN w:val="0"/>
      <w:spacing w:before="360" w:after="8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BidNadpis2">
    <w:name w:val="Bid_Nadpis2"/>
    <w:basedOn w:val="BidNadpis1"/>
    <w:uiPriority w:val="99"/>
    <w:rsid w:val="0049235D"/>
    <w:pPr>
      <w:keepNext w:val="0"/>
      <w:numPr>
        <w:ilvl w:val="1"/>
      </w:numPr>
      <w:spacing w:before="280"/>
      <w:outlineLvl w:val="1"/>
    </w:pPr>
    <w:rPr>
      <w:sz w:val="24"/>
      <w:szCs w:val="24"/>
    </w:rPr>
  </w:style>
  <w:style w:type="paragraph" w:customStyle="1" w:styleId="BidNadpis3">
    <w:name w:val="Bid_Nadpis3"/>
    <w:basedOn w:val="BidNadpis2"/>
    <w:uiPriority w:val="99"/>
    <w:rsid w:val="0049235D"/>
    <w:pPr>
      <w:numPr>
        <w:ilvl w:val="2"/>
      </w:numPr>
      <w:spacing w:before="200"/>
      <w:outlineLvl w:val="2"/>
    </w:pPr>
    <w:rPr>
      <w:sz w:val="20"/>
      <w:szCs w:val="20"/>
      <w:lang w:val="cs-CZ"/>
    </w:rPr>
  </w:style>
  <w:style w:type="paragraph" w:customStyle="1" w:styleId="BidNadpis4">
    <w:name w:val="Bid_Nadpis4"/>
    <w:basedOn w:val="BidNadpis3"/>
    <w:next w:val="Normal"/>
    <w:uiPriority w:val="99"/>
    <w:rsid w:val="0049235D"/>
    <w:pPr>
      <w:numPr>
        <w:ilvl w:val="0"/>
        <w:numId w:val="0"/>
      </w:numPr>
      <w:spacing w:before="120"/>
      <w:outlineLvl w:val="3"/>
    </w:pPr>
    <w:rPr>
      <w:iCs/>
    </w:rPr>
  </w:style>
  <w:style w:type="paragraph" w:customStyle="1" w:styleId="BidNormal">
    <w:name w:val="Bid_Normal"/>
    <w:basedOn w:val="Normal"/>
    <w:link w:val="BidNormalChar"/>
    <w:uiPriority w:val="99"/>
    <w:rsid w:val="0049235D"/>
    <w:pPr>
      <w:spacing w:before="60" w:after="30" w:line="240" w:lineRule="auto"/>
      <w:jc w:val="both"/>
    </w:pPr>
    <w:rPr>
      <w:rFonts w:ascii="Arial" w:hAnsi="Arial"/>
      <w:sz w:val="20"/>
      <w:szCs w:val="20"/>
      <w:lang w:val="en-US"/>
    </w:rPr>
  </w:style>
  <w:style w:type="paragraph" w:customStyle="1" w:styleId="BidNormaloo">
    <w:name w:val="Bid_Normal_oo"/>
    <w:basedOn w:val="Normal"/>
    <w:uiPriority w:val="99"/>
    <w:rsid w:val="0049235D"/>
    <w:pPr>
      <w:numPr>
        <w:numId w:val="3"/>
      </w:numPr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paragraph" w:styleId="Index1">
    <w:name w:val="index 1"/>
    <w:aliases w:val="Bid_r1"/>
    <w:basedOn w:val="Normal"/>
    <w:next w:val="Normal"/>
    <w:uiPriority w:val="99"/>
    <w:rsid w:val="0049235D"/>
    <w:pPr>
      <w:spacing w:after="0" w:line="240" w:lineRule="auto"/>
      <w:ind w:left="221" w:hanging="221"/>
    </w:pPr>
    <w:rPr>
      <w:rFonts w:ascii="Arial" w:hAnsi="Arial"/>
      <w:sz w:val="20"/>
      <w:szCs w:val="20"/>
    </w:rPr>
  </w:style>
  <w:style w:type="paragraph" w:styleId="TOC1">
    <w:name w:val="toc 1"/>
    <w:aliases w:val="Bid1"/>
    <w:basedOn w:val="Normal"/>
    <w:next w:val="Normal"/>
    <w:uiPriority w:val="99"/>
    <w:rsid w:val="0049235D"/>
    <w:pPr>
      <w:widowControl w:val="0"/>
      <w:spacing w:after="0" w:line="240" w:lineRule="auto"/>
    </w:pPr>
    <w:rPr>
      <w:rFonts w:ascii="Arial" w:hAnsi="Arial"/>
      <w:b/>
      <w:sz w:val="20"/>
      <w:szCs w:val="20"/>
    </w:rPr>
  </w:style>
  <w:style w:type="paragraph" w:styleId="TOC2">
    <w:name w:val="toc 2"/>
    <w:aliases w:val="Bid2"/>
    <w:basedOn w:val="Normal"/>
    <w:next w:val="Normal"/>
    <w:uiPriority w:val="99"/>
    <w:rsid w:val="0049235D"/>
    <w:pPr>
      <w:widowControl w:val="0"/>
      <w:spacing w:after="0" w:line="240" w:lineRule="auto"/>
      <w:ind w:left="284"/>
    </w:pPr>
    <w:rPr>
      <w:rFonts w:ascii="Arial" w:hAnsi="Arial"/>
      <w:b/>
      <w:sz w:val="20"/>
      <w:szCs w:val="20"/>
    </w:rPr>
  </w:style>
  <w:style w:type="paragraph" w:styleId="TOC3">
    <w:name w:val="toc 3"/>
    <w:aliases w:val="Bid3"/>
    <w:basedOn w:val="Normal"/>
    <w:next w:val="Normal"/>
    <w:uiPriority w:val="99"/>
    <w:rsid w:val="0049235D"/>
    <w:pPr>
      <w:widowControl w:val="0"/>
      <w:spacing w:after="0" w:line="240" w:lineRule="auto"/>
      <w:ind w:left="425"/>
    </w:pPr>
    <w:rPr>
      <w:rFonts w:ascii="Arial" w:hAnsi="Arial"/>
      <w:sz w:val="20"/>
      <w:szCs w:val="20"/>
    </w:rPr>
  </w:style>
  <w:style w:type="paragraph" w:styleId="TOC4">
    <w:name w:val="toc 4"/>
    <w:aliases w:val="Bid4"/>
    <w:basedOn w:val="Normal"/>
    <w:next w:val="Normal"/>
    <w:uiPriority w:val="99"/>
    <w:rsid w:val="0049235D"/>
    <w:pPr>
      <w:widowControl w:val="0"/>
      <w:spacing w:after="0" w:line="240" w:lineRule="auto"/>
      <w:ind w:left="567"/>
    </w:pPr>
    <w:rPr>
      <w:rFonts w:ascii="Arial" w:hAnsi="Arial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9235D"/>
    <w:pPr>
      <w:autoSpaceDE w:val="0"/>
      <w:autoSpaceDN w:val="0"/>
      <w:spacing w:after="0" w:line="240" w:lineRule="auto"/>
      <w:ind w:left="800"/>
    </w:pPr>
    <w:rPr>
      <w:rFonts w:ascii="Arial" w:hAnsi="Arial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49235D"/>
    <w:pPr>
      <w:autoSpaceDE w:val="0"/>
      <w:autoSpaceDN w:val="0"/>
      <w:spacing w:after="0" w:line="240" w:lineRule="auto"/>
      <w:ind w:left="1000"/>
    </w:pPr>
    <w:rPr>
      <w:rFonts w:ascii="Arial" w:hAnsi="Arial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49235D"/>
    <w:pPr>
      <w:autoSpaceDE w:val="0"/>
      <w:autoSpaceDN w:val="0"/>
      <w:spacing w:after="0" w:line="240" w:lineRule="auto"/>
      <w:ind w:left="1200"/>
    </w:pPr>
    <w:rPr>
      <w:rFonts w:ascii="Arial" w:hAnsi="Arial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49235D"/>
    <w:pPr>
      <w:autoSpaceDE w:val="0"/>
      <w:autoSpaceDN w:val="0"/>
      <w:spacing w:after="0" w:line="240" w:lineRule="auto"/>
      <w:ind w:left="1400"/>
    </w:pPr>
    <w:rPr>
      <w:rFonts w:ascii="Arial" w:hAnsi="Arial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49235D"/>
    <w:pPr>
      <w:autoSpaceDE w:val="0"/>
      <w:autoSpaceDN w:val="0"/>
      <w:spacing w:after="0" w:line="240" w:lineRule="auto"/>
      <w:ind w:left="1600"/>
    </w:pPr>
    <w:rPr>
      <w:rFonts w:ascii="Arial" w:hAnsi="Arial"/>
      <w:sz w:val="18"/>
      <w:szCs w:val="18"/>
    </w:rPr>
  </w:style>
  <w:style w:type="paragraph" w:styleId="Index2">
    <w:name w:val="index 2"/>
    <w:aliases w:val="Bid_r2"/>
    <w:basedOn w:val="Normal"/>
    <w:next w:val="Normal"/>
    <w:uiPriority w:val="99"/>
    <w:rsid w:val="0049235D"/>
    <w:pPr>
      <w:spacing w:after="0" w:line="240" w:lineRule="auto"/>
      <w:ind w:left="440" w:hanging="220"/>
    </w:pPr>
    <w:rPr>
      <w:rFonts w:ascii="Arial" w:hAnsi="Arial"/>
      <w:sz w:val="20"/>
      <w:szCs w:val="20"/>
    </w:rPr>
  </w:style>
  <w:style w:type="paragraph" w:styleId="Index3">
    <w:name w:val="index 3"/>
    <w:aliases w:val="Bid_r3"/>
    <w:basedOn w:val="Normal"/>
    <w:next w:val="Normal"/>
    <w:uiPriority w:val="99"/>
    <w:rsid w:val="0049235D"/>
    <w:pPr>
      <w:spacing w:after="0" w:line="240" w:lineRule="auto"/>
      <w:ind w:left="660" w:hanging="220"/>
    </w:pPr>
    <w:rPr>
      <w:rFonts w:ascii="Arial" w:hAnsi="Arial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49235D"/>
    <w:pPr>
      <w:autoSpaceDE w:val="0"/>
      <w:autoSpaceDN w:val="0"/>
      <w:spacing w:after="0" w:line="240" w:lineRule="auto"/>
      <w:ind w:left="800" w:hanging="200"/>
    </w:pPr>
    <w:rPr>
      <w:rFonts w:ascii="Arial" w:hAnsi="Arial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rsid w:val="0049235D"/>
    <w:pPr>
      <w:autoSpaceDE w:val="0"/>
      <w:autoSpaceDN w:val="0"/>
      <w:spacing w:after="0" w:line="240" w:lineRule="auto"/>
      <w:ind w:left="1000" w:hanging="200"/>
    </w:pPr>
    <w:rPr>
      <w:rFonts w:ascii="Century Schoolbook" w:hAnsi="Century Schoolbook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rsid w:val="0049235D"/>
    <w:pPr>
      <w:autoSpaceDE w:val="0"/>
      <w:autoSpaceDN w:val="0"/>
      <w:spacing w:after="0" w:line="240" w:lineRule="auto"/>
      <w:ind w:left="1200" w:hanging="200"/>
    </w:pPr>
    <w:rPr>
      <w:rFonts w:ascii="Century Schoolbook" w:hAnsi="Century Schoolboo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49235D"/>
    <w:pPr>
      <w:autoSpaceDE w:val="0"/>
      <w:autoSpaceDN w:val="0"/>
      <w:spacing w:after="0" w:line="240" w:lineRule="auto"/>
      <w:ind w:left="1400" w:hanging="200"/>
    </w:pPr>
    <w:rPr>
      <w:rFonts w:ascii="Century Schoolbook" w:hAnsi="Century Schoolbook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rsid w:val="0049235D"/>
    <w:pPr>
      <w:autoSpaceDE w:val="0"/>
      <w:autoSpaceDN w:val="0"/>
      <w:spacing w:after="0" w:line="240" w:lineRule="auto"/>
      <w:ind w:left="1600" w:hanging="200"/>
    </w:pPr>
    <w:rPr>
      <w:rFonts w:ascii="Century Schoolbook" w:hAnsi="Century Schoolbook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rsid w:val="0049235D"/>
    <w:pPr>
      <w:autoSpaceDE w:val="0"/>
      <w:autoSpaceDN w:val="0"/>
      <w:spacing w:after="0" w:line="240" w:lineRule="auto"/>
      <w:ind w:left="1800" w:hanging="200"/>
    </w:pPr>
    <w:rPr>
      <w:rFonts w:ascii="Century Schoolbook" w:hAnsi="Century Schoolbook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49235D"/>
    <w:pPr>
      <w:spacing w:after="0" w:line="240" w:lineRule="auto"/>
      <w:ind w:left="480" w:hanging="480"/>
    </w:pPr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9235D"/>
    <w:pPr>
      <w:tabs>
        <w:tab w:val="left" w:pos="1418"/>
        <w:tab w:val="left" w:pos="3119"/>
        <w:tab w:val="right" w:pos="9214"/>
      </w:tabs>
      <w:autoSpaceDE w:val="0"/>
      <w:autoSpaceDN w:val="0"/>
      <w:spacing w:before="100" w:after="100" w:line="240" w:lineRule="auto"/>
      <w:ind w:left="-35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BidHorniIndex">
    <w:name w:val="Bid_Horni_Index"/>
    <w:basedOn w:val="Normal"/>
    <w:next w:val="Normal"/>
    <w:uiPriority w:val="99"/>
    <w:rsid w:val="0049235D"/>
    <w:pPr>
      <w:keepNext/>
      <w:spacing w:after="0" w:line="240" w:lineRule="auto"/>
    </w:pPr>
    <w:rPr>
      <w:rFonts w:ascii="Arial" w:hAnsi="Arial"/>
      <w:kern w:val="16"/>
      <w:sz w:val="20"/>
      <w:szCs w:val="20"/>
      <w:vertAlign w:val="superscript"/>
    </w:rPr>
  </w:style>
  <w:style w:type="paragraph" w:customStyle="1" w:styleId="BidNormal123">
    <w:name w:val="Bid_Normal_123"/>
    <w:basedOn w:val="Normal"/>
    <w:uiPriority w:val="99"/>
    <w:rsid w:val="0049235D"/>
    <w:pPr>
      <w:numPr>
        <w:numId w:val="4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BidPrg">
    <w:name w:val="Bid_Prg"/>
    <w:basedOn w:val="BidNormal"/>
    <w:uiPriority w:val="99"/>
    <w:rsid w:val="0049235D"/>
    <w:pPr>
      <w:widowControl w:val="0"/>
      <w:shd w:val="clear" w:color="auto" w:fill="FFFFCC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90"/>
    </w:pPr>
    <w:rPr>
      <w:rFonts w:ascii="Courier New" w:hAnsi="Courier New"/>
      <w:noProof/>
      <w:color w:val="000080"/>
      <w:lang w:val="cs-CZ"/>
    </w:rPr>
  </w:style>
  <w:style w:type="paragraph" w:customStyle="1" w:styleId="BidTab">
    <w:name w:val="Bid_Tab"/>
    <w:basedOn w:val="Normal"/>
    <w:uiPriority w:val="99"/>
    <w:rsid w:val="0049235D"/>
    <w:pPr>
      <w:keepNext/>
      <w:keepLines/>
      <w:spacing w:after="0" w:line="240" w:lineRule="auto"/>
    </w:pPr>
    <w:rPr>
      <w:rFonts w:ascii="Arial" w:hAnsi="Arial"/>
      <w:kern w:val="16"/>
      <w:sz w:val="20"/>
      <w:szCs w:val="20"/>
    </w:rPr>
  </w:style>
  <w:style w:type="paragraph" w:customStyle="1" w:styleId="Bidtabparametry">
    <w:name w:val="Bid_tab_parametry"/>
    <w:basedOn w:val="Normal"/>
    <w:uiPriority w:val="99"/>
    <w:rsid w:val="0049235D"/>
    <w:pPr>
      <w:keepNext/>
      <w:spacing w:after="0" w:line="240" w:lineRule="auto"/>
    </w:pPr>
    <w:rPr>
      <w:rFonts w:ascii="Arial" w:hAnsi="Arial"/>
      <w:sz w:val="17"/>
      <w:szCs w:val="20"/>
    </w:rPr>
  </w:style>
  <w:style w:type="paragraph" w:customStyle="1" w:styleId="BidTabinfo">
    <w:name w:val="Bid_Tab_info"/>
    <w:basedOn w:val="Bidtabparametry"/>
    <w:uiPriority w:val="99"/>
    <w:rsid w:val="0049235D"/>
    <w:pPr>
      <w:jc w:val="both"/>
    </w:pPr>
    <w:rPr>
      <w:sz w:val="14"/>
    </w:rPr>
  </w:style>
  <w:style w:type="paragraph" w:customStyle="1" w:styleId="BidTabzahlavistred">
    <w:name w:val="Bid_Tab_zahlavi_stred"/>
    <w:basedOn w:val="Normal"/>
    <w:uiPriority w:val="99"/>
    <w:rsid w:val="0049235D"/>
    <w:pPr>
      <w:spacing w:before="40" w:after="0" w:line="240" w:lineRule="auto"/>
      <w:ind w:left="79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BidZapatileft">
    <w:name w:val="Bid_Zapati_left"/>
    <w:basedOn w:val="Normal"/>
    <w:uiPriority w:val="99"/>
    <w:rsid w:val="0049235D"/>
    <w:pPr>
      <w:tabs>
        <w:tab w:val="decimal" w:pos="4536"/>
        <w:tab w:val="right" w:pos="9214"/>
      </w:tabs>
      <w:spacing w:after="0" w:line="240" w:lineRule="auto"/>
    </w:pPr>
    <w:rPr>
      <w:rFonts w:ascii="Arial Narrow" w:hAnsi="Arial Narrow"/>
      <w:color w:val="000000"/>
      <w:sz w:val="16"/>
      <w:szCs w:val="20"/>
    </w:rPr>
  </w:style>
  <w:style w:type="paragraph" w:customStyle="1" w:styleId="BidZapatiright">
    <w:name w:val="Bid_Zapati_right"/>
    <w:basedOn w:val="Normal"/>
    <w:uiPriority w:val="99"/>
    <w:rsid w:val="0049235D"/>
    <w:pPr>
      <w:spacing w:after="0" w:line="240" w:lineRule="auto"/>
      <w:jc w:val="right"/>
    </w:pPr>
    <w:rPr>
      <w:rFonts w:ascii="Arial Narrow" w:hAnsi="Arial Narrow"/>
      <w:color w:val="000000"/>
      <w:sz w:val="16"/>
      <w:szCs w:val="20"/>
    </w:rPr>
  </w:style>
  <w:style w:type="paragraph" w:customStyle="1" w:styleId="BidTSLogo">
    <w:name w:val="BidTSLogo"/>
    <w:basedOn w:val="Normal"/>
    <w:uiPriority w:val="99"/>
    <w:rsid w:val="0049235D"/>
    <w:pPr>
      <w:spacing w:after="0" w:line="240" w:lineRule="auto"/>
    </w:pPr>
    <w:rPr>
      <w:rFonts w:ascii="TeleLogo" w:hAnsi="TeleLogo"/>
      <w:sz w:val="88"/>
      <w:szCs w:val="20"/>
    </w:rPr>
  </w:style>
  <w:style w:type="paragraph" w:customStyle="1" w:styleId="BidNormalabc">
    <w:name w:val="Bid_Normal_abc"/>
    <w:basedOn w:val="Normal"/>
    <w:uiPriority w:val="99"/>
    <w:rsid w:val="0049235D"/>
    <w:pPr>
      <w:keepNext/>
      <w:numPr>
        <w:numId w:val="5"/>
      </w:numPr>
      <w:tabs>
        <w:tab w:val="left" w:pos="360"/>
        <w:tab w:val="left" w:pos="720"/>
      </w:tabs>
      <w:spacing w:after="0" w:line="240" w:lineRule="auto"/>
      <w:ind w:left="714" w:hanging="357"/>
    </w:pPr>
    <w:rPr>
      <w:rFonts w:ascii="Arial" w:hAnsi="Arial"/>
      <w:sz w:val="20"/>
      <w:szCs w:val="20"/>
    </w:rPr>
  </w:style>
  <w:style w:type="paragraph" w:customStyle="1" w:styleId="TSTextlnkuslovan">
    <w:name w:val="TS Text článku číslovaný"/>
    <w:basedOn w:val="Normal"/>
    <w:link w:val="TSTextlnkuslovanChar"/>
    <w:uiPriority w:val="99"/>
    <w:rsid w:val="0014166C"/>
    <w:pPr>
      <w:tabs>
        <w:tab w:val="num" w:pos="2211"/>
      </w:tabs>
      <w:spacing w:line="240" w:lineRule="auto"/>
      <w:ind w:left="2211" w:hanging="737"/>
      <w:jc w:val="both"/>
    </w:pPr>
    <w:rPr>
      <w:rFonts w:ascii="Arial" w:hAnsi="Arial"/>
      <w:sz w:val="20"/>
      <w:szCs w:val="20"/>
    </w:rPr>
  </w:style>
  <w:style w:type="paragraph" w:customStyle="1" w:styleId="StylRLTextlnkuslovanArial10b">
    <w:name w:val="Styl RL Text článku číslovaný + Arial 10 b."/>
    <w:basedOn w:val="RLTextlnkuslovan"/>
    <w:uiPriority w:val="99"/>
    <w:rsid w:val="0014166C"/>
    <w:pPr>
      <w:spacing w:line="240" w:lineRule="auto"/>
    </w:pPr>
    <w:rPr>
      <w:rFonts w:ascii="Arial" w:hAnsi="Arial"/>
      <w:lang w:eastAsia="en-US"/>
    </w:rPr>
  </w:style>
  <w:style w:type="character" w:customStyle="1" w:styleId="BidNormalChar">
    <w:name w:val="Bid_Normal Char"/>
    <w:link w:val="BidNormal"/>
    <w:uiPriority w:val="99"/>
    <w:locked/>
    <w:rsid w:val="00FB5399"/>
    <w:rPr>
      <w:rFonts w:ascii="Arial" w:hAnsi="Arial"/>
      <w:lang w:val="en-US"/>
    </w:rPr>
  </w:style>
  <w:style w:type="character" w:customStyle="1" w:styleId="H2Char2">
    <w:name w:val="H2 Char2"/>
    <w:aliases w:val="Outline2 Char2,h2 Char2,2 Char2,l2 Char2,list + change bar Char2,??? Char2,heading 2 Char,Titre 2 Char2,PA Major Section Char2,I2 Char2,chapitre Char2,Überschrift 2 Anhang Char2,Überschrift 2 Anhang1 Char2,Überschrift 2 Anhang2 Char1,h Char"/>
    <w:uiPriority w:val="99"/>
    <w:rsid w:val="00267577"/>
    <w:rPr>
      <w:rFonts w:ascii="Calibri" w:hAnsi="Calibri"/>
      <w:color w:val="000000"/>
      <w:kern w:val="28"/>
      <w:sz w:val="22"/>
      <w:lang w:val="cs-CZ" w:eastAsia="en-US"/>
    </w:rPr>
  </w:style>
  <w:style w:type="paragraph" w:customStyle="1" w:styleId="ZkladntextIMP">
    <w:name w:val="Základní text_IMP"/>
    <w:basedOn w:val="Normal"/>
    <w:uiPriority w:val="99"/>
    <w:rsid w:val="00267577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hAnsi="Times New Roman"/>
      <w:szCs w:val="20"/>
    </w:rPr>
  </w:style>
  <w:style w:type="character" w:customStyle="1" w:styleId="TSTextlnkuslovanChar">
    <w:name w:val="TS Text článku číslovaný Char"/>
    <w:link w:val="TSTextlnkuslovan"/>
    <w:uiPriority w:val="99"/>
    <w:locked/>
    <w:rsid w:val="009752D8"/>
    <w:rPr>
      <w:rFonts w:ascii="Arial" w:hAnsi="Arial"/>
      <w:lang w:val="cs-CZ" w:eastAsia="cs-CZ"/>
    </w:rPr>
  </w:style>
  <w:style w:type="paragraph" w:customStyle="1" w:styleId="TSdajeosmluvnstran">
    <w:name w:val="TS Údaje o smluvní straně"/>
    <w:basedOn w:val="Normal"/>
    <w:uiPriority w:val="99"/>
    <w:rsid w:val="007F4C29"/>
    <w:pPr>
      <w:spacing w:after="60"/>
    </w:pPr>
    <w:rPr>
      <w:rFonts w:ascii="Arial" w:hAnsi="Arial"/>
      <w:sz w:val="22"/>
      <w:lang w:eastAsia="en-US"/>
    </w:rPr>
  </w:style>
  <w:style w:type="paragraph" w:customStyle="1" w:styleId="TSlneksmlouvy">
    <w:name w:val="TS Článek smlouvy"/>
    <w:basedOn w:val="Normal"/>
    <w:next w:val="TSTextlnkuslovan"/>
    <w:uiPriority w:val="99"/>
    <w:rsid w:val="00262BD6"/>
    <w:pPr>
      <w:keepNext/>
      <w:suppressAutoHyphens/>
      <w:spacing w:before="480" w:after="240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paragraph" w:styleId="Revision">
    <w:name w:val="Revision"/>
    <w:hidden/>
    <w:uiPriority w:val="99"/>
    <w:semiHidden/>
    <w:rsid w:val="00262BD6"/>
    <w:rPr>
      <w:rFonts w:ascii="Garamond" w:hAnsi="Garamond"/>
      <w:sz w:val="24"/>
      <w:szCs w:val="24"/>
    </w:rPr>
  </w:style>
  <w:style w:type="character" w:customStyle="1" w:styleId="email2">
    <w:name w:val="email2"/>
    <w:uiPriority w:val="99"/>
    <w:rsid w:val="00971F54"/>
    <w:rPr>
      <w:shd w:val="clear" w:color="auto" w:fill="auto"/>
    </w:rPr>
  </w:style>
  <w:style w:type="paragraph" w:customStyle="1" w:styleId="XTextodstavce">
    <w:name w:val="(X) Text odstavce"/>
    <w:basedOn w:val="Normal"/>
    <w:next w:val="Normal"/>
    <w:uiPriority w:val="99"/>
    <w:rsid w:val="00DA0424"/>
    <w:pPr>
      <w:spacing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E2B42"/>
    <w:pPr>
      <w:spacing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2B42"/>
    <w:rPr>
      <w:rFonts w:ascii="Garamond" w:hAnsi="Garamond" w:cs="Times New Roman"/>
      <w:sz w:val="24"/>
    </w:rPr>
  </w:style>
  <w:style w:type="paragraph" w:customStyle="1" w:styleId="Pododstavecsmlouvy">
    <w:name w:val="Pododstavec smlouvy"/>
    <w:basedOn w:val="Normal"/>
    <w:uiPriority w:val="99"/>
    <w:rsid w:val="006E2B42"/>
    <w:pPr>
      <w:numPr>
        <w:numId w:val="7"/>
      </w:numPr>
      <w:spacing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Obsahtabulky">
    <w:name w:val="Obsah tabulky"/>
    <w:basedOn w:val="Normal"/>
    <w:uiPriority w:val="99"/>
    <w:rsid w:val="006E2B4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</w:rPr>
  </w:style>
  <w:style w:type="character" w:customStyle="1" w:styleId="Heading1Char3">
    <w:name w:val="Heading 1 Char3"/>
    <w:aliases w:val="Nadpis - Paragraf Char3,h1 Char3,H1 Char3,Kapitola Char3,V_Head1 Char3,Záhlaví 1 Char3,ASAPHeading 1 Char3,F1 Char3,Základní kapitola Char3,0Überschrift 1 Char3,1Überschrift 1 Char3,2Überschrift 1 Char3,3Überschrift 1 Char3,U1 Cha2"/>
    <w:uiPriority w:val="99"/>
    <w:rsid w:val="0025591D"/>
    <w:rPr>
      <w:rFonts w:ascii="Cambria" w:hAnsi="Cambria"/>
      <w:b/>
      <w:kern w:val="32"/>
      <w:sz w:val="32"/>
    </w:rPr>
  </w:style>
  <w:style w:type="character" w:customStyle="1" w:styleId="Heading1Char2">
    <w:name w:val="Heading 1 Char2"/>
    <w:aliases w:val="Nadpis - Paragraf Char2,h1 Char2,H1 Char2,Kapitola Char2,V_Head1 Char2,Záhlaví 1 Char2,ASAPHeading 1 Char2,F1 Char2,Základní kapitola Char2,0Überschrift 1 Char2,1Überschrift 1 Char2,2Überschrift 1 Char2,3Überschrift 1 Char2,U1 Cha1"/>
    <w:uiPriority w:val="99"/>
    <w:locked/>
    <w:rsid w:val="0025591D"/>
    <w:rPr>
      <w:rFonts w:ascii="Cambria" w:hAnsi="Cambria"/>
      <w:b/>
      <w:kern w:val="32"/>
      <w:sz w:val="32"/>
    </w:rPr>
  </w:style>
  <w:style w:type="character" w:customStyle="1" w:styleId="darkgrey2">
    <w:name w:val="darkgrey2"/>
    <w:uiPriority w:val="99"/>
    <w:rsid w:val="0025591D"/>
    <w:rPr>
      <w:color w:val="666666"/>
    </w:rPr>
  </w:style>
  <w:style w:type="paragraph" w:styleId="PlainText">
    <w:name w:val="Plain Text"/>
    <w:basedOn w:val="Normal"/>
    <w:link w:val="PlainTextChar"/>
    <w:uiPriority w:val="99"/>
    <w:rsid w:val="0025591D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91D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C425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3AD1"/>
    <w:rPr>
      <w:rFonts w:cs="Times New Roman"/>
      <w:sz w:val="2"/>
    </w:rPr>
  </w:style>
  <w:style w:type="paragraph" w:customStyle="1" w:styleId="zkladn0">
    <w:name w:val="základní"/>
    <w:basedOn w:val="BlockText"/>
    <w:uiPriority w:val="99"/>
    <w:rsid w:val="001C4253"/>
    <w:pPr>
      <w:spacing w:line="240" w:lineRule="auto"/>
      <w:ind w:left="0" w:right="0"/>
      <w:jc w:val="both"/>
    </w:pPr>
    <w:rPr>
      <w:rFonts w:ascii="Arial" w:hAnsi="Arial"/>
      <w:sz w:val="22"/>
      <w:szCs w:val="20"/>
      <w:lang w:eastAsia="en-US"/>
    </w:rPr>
  </w:style>
  <w:style w:type="paragraph" w:styleId="BlockText">
    <w:name w:val="Block Text"/>
    <w:basedOn w:val="Normal"/>
    <w:uiPriority w:val="99"/>
    <w:rsid w:val="001C4253"/>
    <w:pPr>
      <w:ind w:left="1440" w:right="1440"/>
    </w:pPr>
  </w:style>
  <w:style w:type="paragraph" w:styleId="NoSpacing">
    <w:name w:val="No Spacing"/>
    <w:uiPriority w:val="99"/>
    <w:qFormat/>
    <w:rsid w:val="00571230"/>
    <w:pPr>
      <w:jc w:val="both"/>
    </w:pPr>
    <w:rPr>
      <w:sz w:val="26"/>
      <w:szCs w:val="20"/>
    </w:rPr>
  </w:style>
  <w:style w:type="paragraph" w:customStyle="1" w:styleId="Popisky">
    <w:name w:val="Popisky"/>
    <w:uiPriority w:val="99"/>
    <w:rsid w:val="00CA1279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07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9077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907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emin.cz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.Fliegl@mfcr.cz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mailto:miroslav.hejna@mfcr.cz" TargetMode="Externa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24</Pages>
  <Words>5836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/>
  <cp:keywords/>
  <dc:description>vzorová smlouva pro uchazeče KIMF</dc:description>
  <cp:lastModifiedBy/>
  <cp:revision>6</cp:revision>
  <dcterms:created xsi:type="dcterms:W3CDTF">2015-10-19T12:26:00Z</dcterms:created>
  <dcterms:modified xsi:type="dcterms:W3CDTF">2015-11-27T14:43:00Z</dcterms:modified>
</cp:coreProperties>
</file>