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1" w:rsidRDefault="00B859B1" w:rsidP="00B859B1">
      <w:pPr>
        <w:ind w:left="360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- V Z O R -</w:t>
      </w:r>
    </w:p>
    <w:p w:rsidR="00B859B1" w:rsidRDefault="00B859B1" w:rsidP="00B859B1">
      <w:pPr>
        <w:ind w:left="360"/>
        <w:jc w:val="center"/>
        <w:rPr>
          <w:bCs/>
        </w:rPr>
      </w:pPr>
    </w:p>
    <w:p w:rsidR="00580AAA" w:rsidRPr="002624AC" w:rsidRDefault="00580AAA" w:rsidP="00580AAA">
      <w:pPr>
        <w:tabs>
          <w:tab w:val="left" w:pos="2127"/>
        </w:tabs>
        <w:spacing w:line="360" w:lineRule="auto"/>
        <w:jc w:val="center"/>
        <w:rPr>
          <w:b/>
          <w:sz w:val="28"/>
          <w:szCs w:val="28"/>
        </w:rPr>
      </w:pPr>
      <w:r w:rsidRPr="002624AC">
        <w:rPr>
          <w:b/>
          <w:sz w:val="28"/>
          <w:szCs w:val="28"/>
        </w:rPr>
        <w:t>Smlouva na nájem výpočetní techniky</w:t>
      </w:r>
    </w:p>
    <w:p w:rsidR="00580AAA" w:rsidRPr="00440A6D" w:rsidRDefault="00580AAA" w:rsidP="00580AAA">
      <w:pPr>
        <w:pStyle w:val="Zkladntext2"/>
        <w:rPr>
          <w:b/>
          <w:sz w:val="24"/>
          <w:szCs w:val="24"/>
        </w:rPr>
      </w:pPr>
      <w:proofErr w:type="gramStart"/>
      <w:r w:rsidRPr="00440A6D">
        <w:rPr>
          <w:b/>
          <w:sz w:val="24"/>
          <w:szCs w:val="24"/>
        </w:rPr>
        <w:t>č. .. …</w:t>
      </w:r>
      <w:proofErr w:type="gramEnd"/>
      <w:r w:rsidRPr="00440A6D">
        <w:rPr>
          <w:b/>
          <w:sz w:val="24"/>
          <w:szCs w:val="24"/>
        </w:rPr>
        <w:t>……/3150/2014</w:t>
      </w:r>
    </w:p>
    <w:p w:rsidR="00F2289A" w:rsidRDefault="00F2289A" w:rsidP="00B859B1">
      <w:pPr>
        <w:ind w:left="360"/>
        <w:jc w:val="center"/>
        <w:rPr>
          <w:bCs/>
        </w:rPr>
      </w:pPr>
    </w:p>
    <w:p w:rsidR="00F2289A" w:rsidRDefault="00F2289A" w:rsidP="00B859B1">
      <w:pPr>
        <w:ind w:left="360"/>
        <w:jc w:val="center"/>
        <w:rPr>
          <w:bCs/>
        </w:rPr>
      </w:pPr>
    </w:p>
    <w:p w:rsidR="00F2289A" w:rsidRPr="00F2289A" w:rsidRDefault="00580AAA" w:rsidP="00F2289A">
      <w:pPr>
        <w:ind w:left="360"/>
        <w:rPr>
          <w:b/>
          <w:bCs/>
          <w:sz w:val="22"/>
          <w:szCs w:val="22"/>
        </w:rPr>
      </w:pPr>
      <w:r w:rsidRPr="00F2289A">
        <w:rPr>
          <w:b/>
          <w:bCs/>
          <w:sz w:val="22"/>
          <w:szCs w:val="22"/>
        </w:rPr>
        <w:t>Veře</w:t>
      </w:r>
      <w:r w:rsidR="00BF5EAA" w:rsidRPr="00F2289A">
        <w:rPr>
          <w:b/>
          <w:bCs/>
          <w:sz w:val="22"/>
          <w:szCs w:val="22"/>
        </w:rPr>
        <w:t>jná zakázka s názvem:</w:t>
      </w:r>
    </w:p>
    <w:p w:rsidR="00B859B1" w:rsidRPr="00F2289A" w:rsidRDefault="00BF5EAA" w:rsidP="00F2289A">
      <w:pPr>
        <w:ind w:left="360"/>
        <w:rPr>
          <w:b/>
          <w:bCs/>
          <w:sz w:val="22"/>
          <w:szCs w:val="22"/>
        </w:rPr>
      </w:pPr>
      <w:r w:rsidRPr="00F2289A">
        <w:rPr>
          <w:b/>
          <w:bCs/>
          <w:sz w:val="22"/>
          <w:szCs w:val="22"/>
        </w:rPr>
        <w:t xml:space="preserve"> </w:t>
      </w:r>
      <w:r w:rsidR="00B859B1" w:rsidRPr="00F2289A">
        <w:rPr>
          <w:b/>
          <w:bCs/>
          <w:sz w:val="22"/>
          <w:szCs w:val="22"/>
        </w:rPr>
        <w:t xml:space="preserve">„Nájem výpočetní techniky pro </w:t>
      </w:r>
      <w:r w:rsidR="0081703A" w:rsidRPr="00F2289A">
        <w:rPr>
          <w:b/>
          <w:bCs/>
          <w:sz w:val="22"/>
          <w:szCs w:val="22"/>
        </w:rPr>
        <w:t>MČ Praha 8 pro zajištění voleb do Zastupitelstva v říjnu 2014</w:t>
      </w:r>
      <w:r w:rsidR="00B859B1" w:rsidRPr="00F2289A">
        <w:rPr>
          <w:b/>
          <w:bCs/>
          <w:sz w:val="22"/>
          <w:szCs w:val="22"/>
        </w:rPr>
        <w:t>“</w:t>
      </w:r>
    </w:p>
    <w:p w:rsidR="00B859B1" w:rsidRPr="002624AC" w:rsidRDefault="00B859B1" w:rsidP="00B859B1">
      <w:pPr>
        <w:ind w:left="360"/>
        <w:jc w:val="center"/>
        <w:rPr>
          <w:b/>
          <w:bCs/>
          <w:sz w:val="28"/>
          <w:szCs w:val="28"/>
        </w:rPr>
      </w:pPr>
    </w:p>
    <w:p w:rsidR="00B859B1" w:rsidRDefault="00B859B1" w:rsidP="00B859B1">
      <w:pPr>
        <w:jc w:val="center"/>
        <w:rPr>
          <w:b/>
          <w:bCs/>
          <w:sz w:val="22"/>
          <w:szCs w:val="22"/>
        </w:rPr>
      </w:pPr>
    </w:p>
    <w:p w:rsidR="00B859B1" w:rsidRDefault="00B859B1" w:rsidP="00B859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I.</w:t>
      </w:r>
    </w:p>
    <w:p w:rsidR="00B859B1" w:rsidRDefault="00B859B1" w:rsidP="00B859B1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:rsidR="00B859B1" w:rsidRDefault="00B859B1" w:rsidP="00B859B1">
      <w:pPr>
        <w:jc w:val="both"/>
        <w:rPr>
          <w:sz w:val="22"/>
          <w:szCs w:val="22"/>
        </w:rPr>
      </w:pPr>
    </w:p>
    <w:p w:rsidR="00B859B1" w:rsidRDefault="00B859B1" w:rsidP="00B859B1">
      <w:pPr>
        <w:tabs>
          <w:tab w:val="left" w:pos="2880"/>
        </w:tabs>
        <w:jc w:val="both"/>
        <w:rPr>
          <w:sz w:val="22"/>
          <w:szCs w:val="22"/>
        </w:rPr>
      </w:pPr>
      <w:proofErr w:type="gramStart"/>
      <w:r w:rsidRPr="00B859B1">
        <w:rPr>
          <w:b/>
          <w:sz w:val="28"/>
          <w:szCs w:val="28"/>
        </w:rPr>
        <w:t>I.1</w:t>
      </w:r>
      <w:r>
        <w:t>.</w:t>
      </w:r>
      <w:proofErr w:type="gramEnd"/>
      <w:r>
        <w:t xml:space="preserve">   </w:t>
      </w:r>
      <w:r>
        <w:rPr>
          <w:u w:val="single"/>
        </w:rPr>
        <w:t>Objednatel:</w:t>
      </w:r>
      <w:r>
        <w:rPr>
          <w:sz w:val="22"/>
          <w:szCs w:val="22"/>
        </w:rPr>
        <w:tab/>
      </w:r>
      <w:r>
        <w:rPr>
          <w:b/>
          <w:bCs/>
          <w:sz w:val="32"/>
          <w:szCs w:val="22"/>
        </w:rPr>
        <w:t>Městská část Praha 8,</w:t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>se sídlem orgánů:</w:t>
      </w:r>
      <w:r>
        <w:rPr>
          <w:sz w:val="24"/>
        </w:rPr>
        <w:tab/>
      </w:r>
      <w:proofErr w:type="spellStart"/>
      <w:r>
        <w:rPr>
          <w:sz w:val="24"/>
        </w:rPr>
        <w:t>Zenklova</w:t>
      </w:r>
      <w:proofErr w:type="spellEnd"/>
      <w:r>
        <w:rPr>
          <w:sz w:val="24"/>
        </w:rPr>
        <w:t xml:space="preserve"> 35, 180 48 Praha 8 - Libeň,</w:t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  <w:t>Starostou MČ Praha 8 panem Ing. Jiřím Janků,</w:t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 xml:space="preserve">IČ: </w:t>
      </w:r>
      <w:r>
        <w:rPr>
          <w:sz w:val="24"/>
        </w:rPr>
        <w:tab/>
        <w:t>00063797,</w:t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>DIČ:                               CZ00063797,</w:t>
      </w:r>
    </w:p>
    <w:p w:rsidR="00B859B1" w:rsidRDefault="00B859B1" w:rsidP="00B859B1">
      <w:pPr>
        <w:pStyle w:val="Zkladntextodsazen"/>
        <w:tabs>
          <w:tab w:val="left" w:pos="2880"/>
        </w:tabs>
        <w:ind w:left="360"/>
        <w:rPr>
          <w:sz w:val="24"/>
        </w:rPr>
      </w:pPr>
      <w:r>
        <w:rPr>
          <w:sz w:val="24"/>
        </w:rPr>
        <w:t xml:space="preserve">   bankovní spojení: </w:t>
      </w:r>
      <w:r>
        <w:rPr>
          <w:sz w:val="24"/>
        </w:rPr>
        <w:tab/>
        <w:t>Česká spořitelna, a. s., Oblastní pobočka Praha - východ,</w:t>
      </w:r>
    </w:p>
    <w:p w:rsidR="00B859B1" w:rsidRDefault="00B859B1" w:rsidP="00B859B1">
      <w:pPr>
        <w:pStyle w:val="Zkladntextodsazen"/>
        <w:ind w:left="2880"/>
        <w:rPr>
          <w:sz w:val="24"/>
        </w:rPr>
      </w:pPr>
      <w:r>
        <w:rPr>
          <w:sz w:val="24"/>
        </w:rPr>
        <w:t>Pobočka v Praze 8, Na Hrázi 1, 180 00 Praha 8 - Libeň,</w:t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  <w:t>27-2000881329/0800,</w:t>
      </w:r>
    </w:p>
    <w:p w:rsidR="00B859B1" w:rsidRDefault="00B859B1" w:rsidP="00B859B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859B1" w:rsidRDefault="00B859B1" w:rsidP="00B859B1">
      <w:pPr>
        <w:ind w:left="540"/>
        <w:jc w:val="center"/>
        <w:rPr>
          <w:b/>
        </w:rPr>
      </w:pPr>
      <w:r>
        <w:rPr>
          <w:b/>
        </w:rPr>
        <w:t>(dále jen „objednatel“),</w:t>
      </w:r>
    </w:p>
    <w:p w:rsidR="00B859B1" w:rsidRDefault="00B859B1" w:rsidP="00B859B1">
      <w:pPr>
        <w:rPr>
          <w:b/>
          <w:bCs/>
          <w:sz w:val="22"/>
          <w:szCs w:val="22"/>
        </w:rPr>
      </w:pPr>
    </w:p>
    <w:p w:rsidR="00B859B1" w:rsidRDefault="00B859B1" w:rsidP="00B859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B859B1" w:rsidRDefault="00B859B1" w:rsidP="00B859B1">
      <w:pPr>
        <w:jc w:val="center"/>
      </w:pPr>
    </w:p>
    <w:p w:rsidR="00B859B1" w:rsidRDefault="00B859B1" w:rsidP="00B859B1">
      <w:pPr>
        <w:tabs>
          <w:tab w:val="left" w:pos="540"/>
          <w:tab w:val="left" w:pos="2880"/>
        </w:tabs>
        <w:jc w:val="both"/>
      </w:pPr>
      <w:proofErr w:type="gramStart"/>
      <w:r w:rsidRPr="00B859B1">
        <w:rPr>
          <w:b/>
          <w:sz w:val="28"/>
          <w:szCs w:val="28"/>
        </w:rPr>
        <w:t>I.2.</w:t>
      </w:r>
      <w:proofErr w:type="gramEnd"/>
      <w:r>
        <w:t xml:space="preserve">   </w:t>
      </w:r>
      <w:r>
        <w:rPr>
          <w:u w:val="single"/>
        </w:rPr>
        <w:t>Dodavatel: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  <w:rPr>
          <w:u w:val="single"/>
        </w:rPr>
      </w:pPr>
      <w:r>
        <w:t>se sídlem: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>zastoupený: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>IČ: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>DIČ: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>bankovní spojení:</w:t>
      </w: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ab/>
      </w:r>
    </w:p>
    <w:p w:rsidR="00B859B1" w:rsidRDefault="00B859B1" w:rsidP="00B859B1">
      <w:pPr>
        <w:tabs>
          <w:tab w:val="left" w:pos="2880"/>
        </w:tabs>
        <w:ind w:left="540"/>
        <w:jc w:val="both"/>
      </w:pPr>
      <w:r>
        <w:t>číslo účtu:</w:t>
      </w:r>
      <w:r>
        <w:tab/>
      </w:r>
    </w:p>
    <w:p w:rsidR="00B859B1" w:rsidRDefault="00B859B1" w:rsidP="00B859B1">
      <w:pPr>
        <w:pStyle w:val="Zkladntextodsazen"/>
        <w:tabs>
          <w:tab w:val="left" w:pos="2880"/>
        </w:tabs>
        <w:rPr>
          <w:sz w:val="24"/>
        </w:rPr>
      </w:pPr>
      <w:r>
        <w:rPr>
          <w:sz w:val="24"/>
        </w:rPr>
        <w:t xml:space="preserve">společnost zapsána </w:t>
      </w:r>
      <w:proofErr w:type="gramStart"/>
      <w:r>
        <w:rPr>
          <w:sz w:val="24"/>
        </w:rPr>
        <w:t>dne      v  obchodním</w:t>
      </w:r>
      <w:proofErr w:type="gramEnd"/>
      <w:r>
        <w:rPr>
          <w:sz w:val="24"/>
        </w:rPr>
        <w:t xml:space="preserve"> rejstříku, vedeného </w:t>
      </w:r>
    </w:p>
    <w:p w:rsidR="00B859B1" w:rsidRDefault="00B859B1" w:rsidP="00B859B1">
      <w:pPr>
        <w:pStyle w:val="Zkladntextodsazen"/>
        <w:tabs>
          <w:tab w:val="left" w:pos="288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B859B1" w:rsidRDefault="00B859B1" w:rsidP="00B859B1">
      <w:pPr>
        <w:pStyle w:val="Zkladntextodsazen"/>
        <w:tabs>
          <w:tab w:val="left" w:pos="2880"/>
        </w:tabs>
        <w:rPr>
          <w:szCs w:val="22"/>
        </w:rPr>
      </w:pPr>
    </w:p>
    <w:p w:rsidR="00B859B1" w:rsidRDefault="00B859B1" w:rsidP="00B859B1">
      <w:pPr>
        <w:pStyle w:val="Zkladn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„dodavatel“),</w:t>
      </w:r>
    </w:p>
    <w:p w:rsidR="00B859B1" w:rsidRDefault="00B859B1" w:rsidP="00B859B1">
      <w:pPr>
        <w:pStyle w:val="Zkladntext2"/>
        <w:rPr>
          <w:b/>
          <w:bCs/>
          <w:sz w:val="24"/>
          <w:szCs w:val="24"/>
        </w:rPr>
      </w:pPr>
    </w:p>
    <w:p w:rsidR="00B859B1" w:rsidRDefault="00B859B1" w:rsidP="00B859B1">
      <w:pPr>
        <w:pStyle w:val="Zkladntext2"/>
        <w:rPr>
          <w:b/>
          <w:bCs/>
          <w:sz w:val="24"/>
          <w:szCs w:val="24"/>
        </w:rPr>
      </w:pPr>
      <w:r>
        <w:rPr>
          <w:sz w:val="24"/>
          <w:szCs w:val="24"/>
        </w:rPr>
        <w:t>(společně dále také jako „</w:t>
      </w:r>
      <w:r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“),</w:t>
      </w:r>
    </w:p>
    <w:p w:rsidR="00B859B1" w:rsidRDefault="00B859B1" w:rsidP="00B859B1">
      <w:pPr>
        <w:jc w:val="both"/>
        <w:rPr>
          <w:b/>
          <w:bCs/>
          <w:sz w:val="22"/>
          <w:szCs w:val="22"/>
        </w:rPr>
      </w:pPr>
    </w:p>
    <w:p w:rsidR="00B859B1" w:rsidRDefault="00B859B1" w:rsidP="00B859B1">
      <w:pPr>
        <w:jc w:val="both"/>
        <w:rPr>
          <w:b/>
          <w:bCs/>
          <w:sz w:val="22"/>
          <w:szCs w:val="22"/>
        </w:rPr>
      </w:pPr>
    </w:p>
    <w:p w:rsidR="00AB171F" w:rsidRDefault="00AB171F" w:rsidP="00B859B1">
      <w:pPr>
        <w:jc w:val="both"/>
        <w:rPr>
          <w:b/>
          <w:bCs/>
          <w:sz w:val="22"/>
          <w:szCs w:val="22"/>
        </w:rPr>
      </w:pPr>
    </w:p>
    <w:p w:rsidR="00AB171F" w:rsidRDefault="00AB171F" w:rsidP="00B859B1">
      <w:pPr>
        <w:jc w:val="both"/>
        <w:rPr>
          <w:b/>
          <w:bCs/>
          <w:sz w:val="22"/>
          <w:szCs w:val="22"/>
        </w:rPr>
      </w:pPr>
    </w:p>
    <w:p w:rsidR="00AB171F" w:rsidRDefault="00AB171F" w:rsidP="00B859B1">
      <w:pPr>
        <w:jc w:val="both"/>
        <w:rPr>
          <w:b/>
          <w:bCs/>
          <w:sz w:val="22"/>
          <w:szCs w:val="22"/>
        </w:rPr>
      </w:pPr>
    </w:p>
    <w:p w:rsidR="00AB171F" w:rsidRDefault="00AB171F" w:rsidP="00B859B1">
      <w:pPr>
        <w:jc w:val="both"/>
        <w:rPr>
          <w:b/>
          <w:bCs/>
          <w:sz w:val="22"/>
          <w:szCs w:val="22"/>
        </w:rPr>
      </w:pPr>
    </w:p>
    <w:p w:rsidR="00B859B1" w:rsidRDefault="00B859B1" w:rsidP="00B859B1">
      <w:pPr>
        <w:jc w:val="both"/>
        <w:rPr>
          <w:b/>
          <w:bCs/>
          <w:sz w:val="22"/>
          <w:szCs w:val="22"/>
        </w:rPr>
      </w:pPr>
    </w:p>
    <w:p w:rsidR="00B859B1" w:rsidRDefault="00B859B1" w:rsidP="00B859B1">
      <w:pPr>
        <w:jc w:val="both"/>
        <w:rPr>
          <w:b/>
          <w:bCs/>
          <w:sz w:val="22"/>
          <w:szCs w:val="22"/>
        </w:rPr>
      </w:pPr>
    </w:p>
    <w:p w:rsidR="00C51B0B" w:rsidRDefault="00C51B0B" w:rsidP="00B859B1">
      <w:pPr>
        <w:jc w:val="both"/>
        <w:rPr>
          <w:b/>
          <w:bCs/>
          <w:sz w:val="22"/>
          <w:szCs w:val="22"/>
        </w:rPr>
      </w:pPr>
    </w:p>
    <w:p w:rsidR="00B859B1" w:rsidRPr="00EC1C53" w:rsidRDefault="00E520E0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B859B1" w:rsidRPr="00EC1C53">
        <w:rPr>
          <w:b/>
          <w:sz w:val="28"/>
          <w:szCs w:val="28"/>
        </w:rPr>
        <w:t>l. II.</w:t>
      </w:r>
    </w:p>
    <w:p w:rsidR="00B859B1" w:rsidRPr="00EC1C53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EC1C53">
        <w:rPr>
          <w:b/>
          <w:sz w:val="28"/>
          <w:szCs w:val="28"/>
        </w:rPr>
        <w:lastRenderedPageBreak/>
        <w:t>Předmět smlouvy</w:t>
      </w:r>
    </w:p>
    <w:p w:rsid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Cs w:val="24"/>
        </w:rPr>
      </w:pPr>
    </w:p>
    <w:p w:rsidR="00B859B1" w:rsidRPr="00B859B1" w:rsidRDefault="00B859B1" w:rsidP="002B25BC">
      <w:pPr>
        <w:pStyle w:val="Zkladntext"/>
        <w:numPr>
          <w:ilvl w:val="0"/>
          <w:numId w:val="6"/>
        </w:numPr>
        <w:autoSpaceDE/>
        <w:autoSpaceDN/>
        <w:adjustRightInd/>
        <w:spacing w:line="276" w:lineRule="auto"/>
        <w:ind w:hanging="720"/>
        <w:rPr>
          <w:sz w:val="24"/>
          <w:szCs w:val="24"/>
        </w:rPr>
      </w:pPr>
      <w:r w:rsidRPr="00B859B1">
        <w:rPr>
          <w:sz w:val="24"/>
          <w:szCs w:val="24"/>
        </w:rPr>
        <w:t xml:space="preserve">Předmětem této smlouvy je </w:t>
      </w:r>
      <w:r w:rsidR="00ED44E7">
        <w:rPr>
          <w:sz w:val="24"/>
          <w:szCs w:val="24"/>
        </w:rPr>
        <w:t>n</w:t>
      </w:r>
      <w:r w:rsidRPr="00B859B1">
        <w:rPr>
          <w:sz w:val="24"/>
          <w:szCs w:val="24"/>
        </w:rPr>
        <w:t xml:space="preserve">ájem výpočetní techniky pro zajištění voleb </w:t>
      </w:r>
      <w:r w:rsidR="00A15C1B">
        <w:rPr>
          <w:sz w:val="24"/>
          <w:szCs w:val="24"/>
        </w:rPr>
        <w:t>d</w:t>
      </w:r>
      <w:r w:rsidRPr="00B859B1">
        <w:rPr>
          <w:sz w:val="24"/>
          <w:szCs w:val="24"/>
        </w:rPr>
        <w:t xml:space="preserve">o </w:t>
      </w:r>
      <w:r w:rsidR="00A15C1B">
        <w:rPr>
          <w:sz w:val="24"/>
          <w:szCs w:val="24"/>
        </w:rPr>
        <w:t xml:space="preserve">Zastupitelstva </w:t>
      </w:r>
      <w:r w:rsidRPr="00B859B1">
        <w:rPr>
          <w:sz w:val="24"/>
          <w:szCs w:val="24"/>
        </w:rPr>
        <w:t>v roce 201</w:t>
      </w:r>
      <w:r w:rsidR="00AB171F">
        <w:rPr>
          <w:sz w:val="24"/>
          <w:szCs w:val="24"/>
        </w:rPr>
        <w:t>4</w:t>
      </w:r>
      <w:r w:rsidRPr="00B859B1">
        <w:rPr>
          <w:sz w:val="24"/>
          <w:szCs w:val="24"/>
        </w:rPr>
        <w:t xml:space="preserve">, pro potřeby Úřadu Městské části Praha 8. Podrobná specifikace plnění je uvedena v Příloze č. 1 této smlouvy.  </w:t>
      </w:r>
    </w:p>
    <w:p w:rsidR="00B859B1" w:rsidRPr="00B859B1" w:rsidRDefault="00B859B1" w:rsidP="00B859B1">
      <w:pPr>
        <w:pStyle w:val="Zkladntext"/>
        <w:spacing w:line="276" w:lineRule="auto"/>
        <w:ind w:left="720"/>
        <w:rPr>
          <w:sz w:val="24"/>
          <w:szCs w:val="24"/>
        </w:rPr>
      </w:pPr>
    </w:p>
    <w:p w:rsidR="00B859B1" w:rsidRPr="00B859B1" w:rsidRDefault="00B859B1" w:rsidP="002B25BC">
      <w:pPr>
        <w:pStyle w:val="Zkladntext"/>
        <w:numPr>
          <w:ilvl w:val="0"/>
          <w:numId w:val="6"/>
        </w:numPr>
        <w:autoSpaceDE/>
        <w:autoSpaceDN/>
        <w:adjustRightInd/>
        <w:spacing w:line="276" w:lineRule="auto"/>
        <w:ind w:hanging="720"/>
        <w:rPr>
          <w:sz w:val="24"/>
          <w:szCs w:val="24"/>
        </w:rPr>
      </w:pPr>
      <w:r w:rsidRPr="00B859B1">
        <w:rPr>
          <w:sz w:val="24"/>
          <w:szCs w:val="24"/>
        </w:rPr>
        <w:t>Objednatel se zavazuje zaplatit dodavateli za výše uvedené plnění cenu ve výši a za podmínek stanovených touto smlouvou.</w:t>
      </w:r>
    </w:p>
    <w:p w:rsid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Cs w:val="24"/>
        </w:rPr>
      </w:pP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B859B1">
        <w:rPr>
          <w:b/>
          <w:sz w:val="28"/>
          <w:szCs w:val="28"/>
        </w:rPr>
        <w:t>Čl.  III</w:t>
      </w:r>
      <w:proofErr w:type="gramEnd"/>
      <w:r w:rsidRPr="00B859B1">
        <w:rPr>
          <w:b/>
          <w:sz w:val="28"/>
          <w:szCs w:val="28"/>
        </w:rPr>
        <w:t>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Doba a místo plnění</w:t>
      </w:r>
    </w:p>
    <w:p w:rsidR="00B859B1" w:rsidRDefault="00B859B1" w:rsidP="00B859B1">
      <w:pPr>
        <w:pStyle w:val="Nadpis21"/>
        <w:spacing w:after="0" w:line="276" w:lineRule="auto"/>
        <w:ind w:left="0" w:firstLine="425"/>
        <w:jc w:val="center"/>
        <w:rPr>
          <w:b/>
          <w:szCs w:val="24"/>
        </w:rPr>
      </w:pPr>
    </w:p>
    <w:p w:rsidR="00B859B1" w:rsidRPr="00B859B1" w:rsidRDefault="00B859B1" w:rsidP="002B25BC">
      <w:pPr>
        <w:pStyle w:val="Zkladntext"/>
        <w:numPr>
          <w:ilvl w:val="0"/>
          <w:numId w:val="7"/>
        </w:numPr>
        <w:autoSpaceDE/>
        <w:autoSpaceDN/>
        <w:adjustRightInd/>
        <w:spacing w:line="276" w:lineRule="auto"/>
        <w:ind w:hanging="720"/>
        <w:rPr>
          <w:sz w:val="24"/>
          <w:szCs w:val="24"/>
        </w:rPr>
      </w:pPr>
      <w:bookmarkStart w:id="0" w:name="_Ref277077933"/>
      <w:r w:rsidRPr="00B859B1">
        <w:rPr>
          <w:sz w:val="24"/>
          <w:szCs w:val="24"/>
        </w:rPr>
        <w:t xml:space="preserve">Dodavatel se zavazuje k dodání </w:t>
      </w:r>
      <w:bookmarkEnd w:id="0"/>
      <w:r w:rsidRPr="00B859B1">
        <w:rPr>
          <w:sz w:val="24"/>
          <w:szCs w:val="24"/>
        </w:rPr>
        <w:t>pronajíman</w:t>
      </w:r>
      <w:r w:rsidR="00AB171F">
        <w:rPr>
          <w:sz w:val="24"/>
          <w:szCs w:val="24"/>
        </w:rPr>
        <w:t>é</w:t>
      </w:r>
      <w:r w:rsidRPr="00B859B1">
        <w:rPr>
          <w:sz w:val="24"/>
          <w:szCs w:val="24"/>
        </w:rPr>
        <w:t xml:space="preserve"> techniky na základě pokynů objednatele, nejpozději do </w:t>
      </w:r>
      <w:r w:rsidR="008F3E5F">
        <w:rPr>
          <w:sz w:val="24"/>
          <w:szCs w:val="24"/>
        </w:rPr>
        <w:t>29</w:t>
      </w:r>
      <w:r w:rsidRPr="00B859B1">
        <w:rPr>
          <w:sz w:val="24"/>
          <w:szCs w:val="24"/>
        </w:rPr>
        <w:t xml:space="preserve">. </w:t>
      </w:r>
      <w:r w:rsidR="008F3E5F">
        <w:rPr>
          <w:sz w:val="24"/>
          <w:szCs w:val="24"/>
        </w:rPr>
        <w:t>září</w:t>
      </w:r>
      <w:r w:rsidR="00AB171F">
        <w:rPr>
          <w:sz w:val="24"/>
          <w:szCs w:val="24"/>
        </w:rPr>
        <w:t xml:space="preserve"> 2014</w:t>
      </w:r>
      <w:r w:rsidRPr="00B859B1">
        <w:rPr>
          <w:sz w:val="24"/>
          <w:szCs w:val="24"/>
        </w:rPr>
        <w:t xml:space="preserve"> do 14:00 hodin.</w:t>
      </w:r>
    </w:p>
    <w:p w:rsidR="00B859B1" w:rsidRPr="00B859B1" w:rsidRDefault="00B859B1" w:rsidP="00B859B1">
      <w:pPr>
        <w:pStyle w:val="Zkladntext"/>
        <w:spacing w:line="276" w:lineRule="auto"/>
        <w:ind w:left="720"/>
        <w:rPr>
          <w:sz w:val="24"/>
          <w:szCs w:val="24"/>
        </w:rPr>
      </w:pPr>
    </w:p>
    <w:p w:rsidR="00B859B1" w:rsidRPr="00B859B1" w:rsidRDefault="00B859B1" w:rsidP="002B25BC">
      <w:pPr>
        <w:pStyle w:val="Zkladntext"/>
        <w:numPr>
          <w:ilvl w:val="0"/>
          <w:numId w:val="7"/>
        </w:numPr>
        <w:autoSpaceDE/>
        <w:autoSpaceDN/>
        <w:adjustRightInd/>
        <w:spacing w:line="276" w:lineRule="auto"/>
        <w:ind w:hanging="720"/>
        <w:rPr>
          <w:sz w:val="24"/>
          <w:szCs w:val="24"/>
        </w:rPr>
      </w:pPr>
      <w:r w:rsidRPr="00B859B1">
        <w:rPr>
          <w:sz w:val="24"/>
          <w:szCs w:val="24"/>
        </w:rPr>
        <w:t>Termín ukončení plnění: dle pokynů objednatele</w:t>
      </w:r>
    </w:p>
    <w:p w:rsidR="00B859B1" w:rsidRPr="00B859B1" w:rsidRDefault="00B859B1" w:rsidP="00B859B1">
      <w:pPr>
        <w:pStyle w:val="Zkladntext"/>
        <w:spacing w:line="276" w:lineRule="auto"/>
        <w:ind w:left="720"/>
        <w:rPr>
          <w:sz w:val="24"/>
          <w:szCs w:val="24"/>
        </w:rPr>
      </w:pPr>
    </w:p>
    <w:p w:rsidR="00B859B1" w:rsidRPr="00B859B1" w:rsidRDefault="00B859B1" w:rsidP="002B25BC">
      <w:pPr>
        <w:pStyle w:val="Zkladntext"/>
        <w:numPr>
          <w:ilvl w:val="0"/>
          <w:numId w:val="7"/>
        </w:numPr>
        <w:autoSpaceDE/>
        <w:autoSpaceDN/>
        <w:adjustRightInd/>
        <w:spacing w:line="276" w:lineRule="auto"/>
        <w:ind w:hanging="720"/>
        <w:rPr>
          <w:sz w:val="24"/>
          <w:szCs w:val="24"/>
        </w:rPr>
      </w:pPr>
      <w:r w:rsidRPr="00B859B1">
        <w:rPr>
          <w:sz w:val="24"/>
          <w:szCs w:val="24"/>
        </w:rPr>
        <w:t xml:space="preserve">Místem plnění je sídlo zadavatele, Městská část Praha 8, se sídlem </w:t>
      </w:r>
      <w:proofErr w:type="spellStart"/>
      <w:r w:rsidRPr="00B859B1">
        <w:rPr>
          <w:sz w:val="24"/>
          <w:szCs w:val="24"/>
        </w:rPr>
        <w:t>Zenklova</w:t>
      </w:r>
      <w:proofErr w:type="spellEnd"/>
      <w:r w:rsidRPr="00B859B1">
        <w:rPr>
          <w:sz w:val="24"/>
          <w:szCs w:val="24"/>
        </w:rPr>
        <w:t xml:space="preserve"> </w:t>
      </w:r>
      <w:proofErr w:type="gramStart"/>
      <w:r w:rsidRPr="00B859B1">
        <w:rPr>
          <w:sz w:val="24"/>
          <w:szCs w:val="24"/>
        </w:rPr>
        <w:t>35/1,</w:t>
      </w:r>
      <w:r w:rsidR="008F3E5F">
        <w:rPr>
          <w:sz w:val="24"/>
          <w:szCs w:val="24"/>
        </w:rPr>
        <w:t xml:space="preserve"> </w:t>
      </w:r>
      <w:r w:rsidR="00EC1C53">
        <w:rPr>
          <w:sz w:val="24"/>
          <w:szCs w:val="24"/>
        </w:rPr>
        <w:t xml:space="preserve"> </w:t>
      </w:r>
      <w:r w:rsidRPr="00B859B1">
        <w:rPr>
          <w:sz w:val="24"/>
          <w:szCs w:val="24"/>
        </w:rPr>
        <w:t>180 48</w:t>
      </w:r>
      <w:proofErr w:type="gramEnd"/>
      <w:r w:rsidRPr="00B859B1">
        <w:rPr>
          <w:sz w:val="24"/>
          <w:szCs w:val="24"/>
        </w:rPr>
        <w:t xml:space="preserve"> Praha 8 - Libeň.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Cs w:val="24"/>
        </w:rPr>
      </w:pPr>
    </w:p>
    <w:p w:rsidR="00B859B1" w:rsidRPr="00B859B1" w:rsidRDefault="00E520E0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B859B1" w:rsidRPr="00B859B1">
        <w:rPr>
          <w:b/>
          <w:sz w:val="28"/>
          <w:szCs w:val="28"/>
        </w:rPr>
        <w:t>IV.</w:t>
      </w:r>
    </w:p>
    <w:p w:rsidR="00B859B1" w:rsidRPr="00B859B1" w:rsidRDefault="00B859B1" w:rsidP="00B859B1">
      <w:pPr>
        <w:pStyle w:val="Nadpis21"/>
        <w:spacing w:after="0" w:line="276" w:lineRule="auto"/>
        <w:ind w:left="709" w:hanging="709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Práva a povinnosti dodavatele</w:t>
      </w:r>
    </w:p>
    <w:p w:rsidR="00B859B1" w:rsidRDefault="00B859B1" w:rsidP="00B859B1">
      <w:pPr>
        <w:pStyle w:val="Nadpis21"/>
        <w:spacing w:after="0" w:line="276" w:lineRule="auto"/>
        <w:ind w:left="709" w:hanging="709"/>
        <w:jc w:val="center"/>
        <w:rPr>
          <w:b/>
          <w:szCs w:val="24"/>
        </w:rPr>
      </w:pPr>
    </w:p>
    <w:p w:rsidR="00B859B1" w:rsidRDefault="00B859B1" w:rsidP="002B25BC">
      <w:pPr>
        <w:pStyle w:val="Nadpis21"/>
        <w:numPr>
          <w:ilvl w:val="0"/>
          <w:numId w:val="8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Dodavatel se zavazuje, že bude při plnění předmětu služeb, specifikovaných v této smlouvě postupovat s odbornou péčí. Bude se řídit výchozími podklady zadavatele</w:t>
      </w:r>
      <w:r w:rsidR="00C51B0B">
        <w:rPr>
          <w:szCs w:val="24"/>
        </w:rPr>
        <w:t xml:space="preserve"> a </w:t>
      </w:r>
      <w:r>
        <w:rPr>
          <w:szCs w:val="24"/>
        </w:rPr>
        <w:t>jeho pokyny, jakož i zápisy a dohodami oprávněných osob obou smluvních stran.</w:t>
      </w:r>
    </w:p>
    <w:p w:rsidR="00B859B1" w:rsidRDefault="00B859B1" w:rsidP="00B859B1">
      <w:pPr>
        <w:pStyle w:val="Nadpis21"/>
        <w:spacing w:after="0" w:line="276" w:lineRule="auto"/>
        <w:ind w:left="709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8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 xml:space="preserve">Dodavatel se zavazuje provést předmět plnění v souladu s touto smlouvou a s obecně závaznými právními předpisy, podle technologických a pracovních postupů vyplývajících z příslušných právních předpisů, zavazuje se dodržovat </w:t>
      </w:r>
      <w:proofErr w:type="gramStart"/>
      <w:r>
        <w:rPr>
          <w:szCs w:val="24"/>
        </w:rPr>
        <w:t xml:space="preserve">požadavky </w:t>
      </w:r>
      <w:r w:rsidR="00EC1C53">
        <w:rPr>
          <w:szCs w:val="24"/>
        </w:rPr>
        <w:t xml:space="preserve">        </w:t>
      </w:r>
      <w:r>
        <w:rPr>
          <w:szCs w:val="24"/>
        </w:rPr>
        <w:t>na</w:t>
      </w:r>
      <w:proofErr w:type="gramEnd"/>
      <w:r>
        <w:rPr>
          <w:szCs w:val="24"/>
        </w:rPr>
        <w:t xml:space="preserve"> zajištění bezpečnosti práce a požární ochrany a zavazuje se dodržovat příslušné platné ČSN a ČSN EN, které jsou použitelné pro oblast provádění činností obdobných předmětu plnění této smlouvy. Dále se dodavatel zavazuje, že předmět plnění bude mít vlastnosti a jakost odpovídající obvyklému účelu předmětu plnění.</w:t>
      </w:r>
    </w:p>
    <w:p w:rsidR="00B859B1" w:rsidRDefault="00B859B1" w:rsidP="00B859B1">
      <w:pPr>
        <w:pStyle w:val="Odstavecseseznamem1"/>
        <w:ind w:left="709" w:firstLine="0"/>
        <w:rPr>
          <w:rFonts w:ascii="Times New Roman" w:hAnsi="Times New Roman"/>
          <w:bCs/>
          <w:sz w:val="24"/>
          <w:szCs w:val="24"/>
        </w:rPr>
      </w:pPr>
    </w:p>
    <w:p w:rsidR="00B859B1" w:rsidRDefault="00B859B1" w:rsidP="002B25BC">
      <w:pPr>
        <w:pStyle w:val="Odstavecseseznamem1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</w:t>
      </w:r>
      <w:r>
        <w:rPr>
          <w:rFonts w:ascii="Times New Roman" w:hAnsi="Times New Roman"/>
          <w:bCs/>
          <w:sz w:val="24"/>
          <w:szCs w:val="24"/>
        </w:rPr>
        <w:t>je povinen bezodkladně informovat objednatele o nových skutečnostech, které souvisejí s výkonem sjednaného plnění.</w:t>
      </w:r>
    </w:p>
    <w:p w:rsidR="00EC1C53" w:rsidRDefault="00EC1C53" w:rsidP="00EC1C53">
      <w:pPr>
        <w:pStyle w:val="Odstavecseseznamem"/>
        <w:rPr>
          <w:bCs/>
        </w:rPr>
      </w:pPr>
    </w:p>
    <w:p w:rsidR="00EC1C53" w:rsidRDefault="00EC1C53" w:rsidP="002B25BC">
      <w:pPr>
        <w:pStyle w:val="Odstavecseseznamem1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Dodavatel</w:t>
      </w:r>
      <w:r w:rsidR="00BD3317">
        <w:rPr>
          <w:rFonts w:ascii="Times New Roman" w:hAnsi="Times New Roman"/>
          <w:bCs/>
          <w:sz w:val="24"/>
          <w:szCs w:val="24"/>
        </w:rPr>
        <w:t xml:space="preserve"> zajistí pojištění předmětu plnění zakázky proti poškození, ztrátě nebo odcizení po celou dobu trvání této smlouvy.</w:t>
      </w:r>
    </w:p>
    <w:p w:rsidR="005F4DDB" w:rsidRDefault="005F4DDB" w:rsidP="005F4DDB">
      <w:pPr>
        <w:pStyle w:val="Odstavecseseznamem"/>
        <w:rPr>
          <w:bCs/>
        </w:rPr>
      </w:pPr>
    </w:p>
    <w:p w:rsidR="00B859B1" w:rsidRDefault="00B859B1" w:rsidP="002B25BC">
      <w:pPr>
        <w:pStyle w:val="Odstavecseseznamem1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Dodavatel bude po celou dobu trvání této smlouvy pojištěn limitem odpovědnosti </w:t>
      </w:r>
      <w:r w:rsidR="00C51B0B">
        <w:rPr>
          <w:rFonts w:ascii="Times New Roman" w:hAnsi="Times New Roman"/>
          <w:bCs/>
          <w:sz w:val="24"/>
          <w:szCs w:val="24"/>
        </w:rPr>
        <w:t xml:space="preserve">za </w:t>
      </w:r>
      <w:r>
        <w:rPr>
          <w:rFonts w:ascii="Times New Roman" w:hAnsi="Times New Roman"/>
          <w:bCs/>
          <w:sz w:val="24"/>
          <w:szCs w:val="24"/>
        </w:rPr>
        <w:t xml:space="preserve">škodu způsobenou třetí osobě a to ve výši </w:t>
      </w:r>
      <w:r>
        <w:rPr>
          <w:rFonts w:ascii="Times New Roman" w:hAnsi="Times New Roman"/>
          <w:bCs/>
          <w:sz w:val="24"/>
          <w:szCs w:val="24"/>
          <w:highlight w:val="lightGray"/>
        </w:rPr>
        <w:t>…………….</w:t>
      </w:r>
      <w:r>
        <w:rPr>
          <w:rFonts w:ascii="Times New Roman" w:hAnsi="Times New Roman"/>
          <w:bCs/>
          <w:sz w:val="24"/>
          <w:szCs w:val="24"/>
        </w:rPr>
        <w:t xml:space="preserve"> (min. </w:t>
      </w:r>
      <w:r w:rsidR="00BF5EA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.000.000,- Kč).</w:t>
      </w:r>
    </w:p>
    <w:p w:rsidR="00B859B1" w:rsidRDefault="00B859B1" w:rsidP="00B859B1">
      <w:pPr>
        <w:pStyle w:val="Odstavecseseznamem1"/>
        <w:ind w:left="709" w:firstLine="0"/>
        <w:rPr>
          <w:rFonts w:ascii="Times New Roman" w:hAnsi="Times New Roman"/>
          <w:b/>
          <w:bCs/>
          <w:sz w:val="24"/>
          <w:szCs w:val="24"/>
        </w:rPr>
      </w:pPr>
    </w:p>
    <w:p w:rsidR="00B859B1" w:rsidRDefault="00B859B1" w:rsidP="002B25BC">
      <w:pPr>
        <w:pStyle w:val="Odstavecseseznamem1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Dodavatel je povinen zachovávat mlčenlivost o všech informacích, které </w:t>
      </w:r>
      <w:proofErr w:type="gramStart"/>
      <w:r>
        <w:rPr>
          <w:rFonts w:ascii="Times New Roman" w:hAnsi="Times New Roman"/>
          <w:sz w:val="24"/>
          <w:szCs w:val="24"/>
        </w:rPr>
        <w:t>získal         od</w:t>
      </w:r>
      <w:proofErr w:type="gramEnd"/>
      <w:r>
        <w:rPr>
          <w:rFonts w:ascii="Times New Roman" w:hAnsi="Times New Roman"/>
          <w:sz w:val="24"/>
          <w:szCs w:val="24"/>
        </w:rPr>
        <w:t xml:space="preserve"> objednatele v souvislosti s plněním předmětu této smlouvy a zavazuje se, že zajistí, aby případné dokumenty předané mu objednatelem nebyly zneužity třetími osobami. Povinnost zachovávat mlčenlivost trvá i po skončení smluvního vztahu založeného touto smlouvou. Dodavatel zajistí splnění této povinnosti také třetími osobami, které využil k plnění části předmětu plnění této smlouvy.</w:t>
      </w:r>
    </w:p>
    <w:p w:rsidR="00B859B1" w:rsidRDefault="00B859B1" w:rsidP="00B859B1">
      <w:pPr>
        <w:pStyle w:val="Nadpis21"/>
        <w:spacing w:after="0" w:line="276" w:lineRule="auto"/>
        <w:ind w:left="0" w:firstLine="0"/>
        <w:jc w:val="center"/>
        <w:rPr>
          <w:szCs w:val="24"/>
        </w:rPr>
      </w:pP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Čl. V.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Práva a povinnosti objednatele</w:t>
      </w:r>
    </w:p>
    <w:p w:rsid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Cs w:val="24"/>
        </w:rPr>
      </w:pPr>
    </w:p>
    <w:p w:rsidR="00B859B1" w:rsidRDefault="00B859B1" w:rsidP="002B25BC">
      <w:pPr>
        <w:pStyle w:val="Nadpis21"/>
        <w:numPr>
          <w:ilvl w:val="0"/>
          <w:numId w:val="9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Objednatel se zavazuje poskytnout dodavateli veškerou součinnost nutnou k zajištění řádného a včasného poskytnutí plnění a zejména mu pro tuto činnost včas předat veškeré potřebné informace a materiály, o které dodavatel objednatele požádá.</w:t>
      </w:r>
    </w:p>
    <w:p w:rsidR="00B859B1" w:rsidRDefault="00B859B1" w:rsidP="00B859B1">
      <w:pPr>
        <w:pStyle w:val="Nadpis21"/>
        <w:spacing w:after="0" w:line="276" w:lineRule="auto"/>
        <w:ind w:left="709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9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 xml:space="preserve">Objednatel se zavazuje dodavatelem řádně a včas dodané zboží převzít. </w:t>
      </w:r>
    </w:p>
    <w:p w:rsidR="00B859B1" w:rsidRDefault="00B859B1" w:rsidP="00B859B1">
      <w:pPr>
        <w:pStyle w:val="Nadpis21"/>
        <w:spacing w:after="0" w:line="276" w:lineRule="auto"/>
        <w:ind w:left="709" w:hanging="709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9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 xml:space="preserve">Veškeré vady poskytnutého plnění předmětu této smlouvy dle čl. II je objednatel povinen uplatnit u dodavatele bez zbytečného odkladu poté, kdy vadu </w:t>
      </w:r>
      <w:proofErr w:type="gramStart"/>
      <w:r>
        <w:rPr>
          <w:szCs w:val="24"/>
        </w:rPr>
        <w:t>zjistil,</w:t>
      </w:r>
      <w:r w:rsidR="001C1037">
        <w:rPr>
          <w:szCs w:val="24"/>
        </w:rPr>
        <w:t xml:space="preserve">                       </w:t>
      </w:r>
      <w:r>
        <w:rPr>
          <w:szCs w:val="24"/>
        </w:rPr>
        <w:t>a to</w:t>
      </w:r>
      <w:proofErr w:type="gramEnd"/>
      <w:r>
        <w:rPr>
          <w:szCs w:val="24"/>
        </w:rPr>
        <w:t xml:space="preserve"> formou písemného oznámení (popř. faxem nebo e-mailem) obsahujícím co nejpodrobnější specifikaci zjištěné vady předmětu smlouvy. Dodavatel je povinen vady uplatněné objednatelem odstranit zdarma a v termínu, nebude-li mezi smluvními stranami dohodnuto jinak. </w:t>
      </w:r>
    </w:p>
    <w:p w:rsid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Cs w:val="24"/>
        </w:rPr>
      </w:pP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Čl. VI.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Cena a platební podmínky</w:t>
      </w:r>
    </w:p>
    <w:p w:rsidR="00B859B1" w:rsidRDefault="00B859B1" w:rsidP="00B859B1">
      <w:pPr>
        <w:pStyle w:val="Nadpis21"/>
        <w:tabs>
          <w:tab w:val="left" w:pos="720"/>
        </w:tabs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Cena za poskytnuté plnění v rozsahu dohodnutém v této smlouvě a za podmínek v ní uvedených je stanovena dohodou smluvních stran a vychází z cenové nabídky dodavatele, vykalkulované v rámci zadávacího řízení na předmět plnění této smlouvy.</w:t>
      </w:r>
    </w:p>
    <w:p w:rsidR="00B859B1" w:rsidRDefault="00B859B1" w:rsidP="00B859B1">
      <w:pPr>
        <w:pStyle w:val="Nadpis21"/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bookmarkStart w:id="1" w:name="_Ref277078008"/>
      <w:r>
        <w:rPr>
          <w:szCs w:val="24"/>
        </w:rPr>
        <w:t>Objednatel se zavazuje uhradit dodavateli za poskytnuté plnění dle Čl. II smlouvy cenu sjednanou následovně:</w:t>
      </w:r>
      <w:bookmarkEnd w:id="1"/>
    </w:p>
    <w:p w:rsidR="00B859B1" w:rsidRDefault="00B859B1" w:rsidP="00B859B1">
      <w:pPr>
        <w:pStyle w:val="Odstavecseseznamem"/>
      </w:pPr>
    </w:p>
    <w:p w:rsidR="00B859B1" w:rsidRDefault="00B859B1" w:rsidP="00B859B1">
      <w:pPr>
        <w:pStyle w:val="Odstavecseseznamem"/>
      </w:pP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/>
      </w:tblPr>
      <w:tblGrid>
        <w:gridCol w:w="4584"/>
        <w:gridCol w:w="3876"/>
      </w:tblGrid>
      <w:tr w:rsidR="00B859B1" w:rsidRPr="00B859B1" w:rsidTr="00B859B1">
        <w:trPr>
          <w:cantSplit/>
        </w:trPr>
        <w:tc>
          <w:tcPr>
            <w:tcW w:w="4584" w:type="dxa"/>
          </w:tcPr>
          <w:p w:rsidR="00B859B1" w:rsidRPr="00B859B1" w:rsidRDefault="00B859B1" w:rsidP="00B859B1">
            <w:pPr>
              <w:pStyle w:val="Nadpis4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Celková cena bez DPH</w:t>
            </w:r>
          </w:p>
        </w:tc>
        <w:tc>
          <w:tcPr>
            <w:tcW w:w="38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9B1" w:rsidRPr="00B859B1" w:rsidRDefault="00B859B1" w:rsidP="00B859B1">
            <w:pPr>
              <w:pStyle w:val="Nadpis4"/>
              <w:jc w:val="right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,- Kč,</w:t>
            </w:r>
          </w:p>
        </w:tc>
      </w:tr>
      <w:tr w:rsidR="00B859B1" w:rsidRPr="00B859B1" w:rsidTr="00B859B1">
        <w:trPr>
          <w:cantSplit/>
        </w:trPr>
        <w:tc>
          <w:tcPr>
            <w:tcW w:w="4584" w:type="dxa"/>
          </w:tcPr>
          <w:p w:rsidR="00B859B1" w:rsidRPr="00B859B1" w:rsidRDefault="00B859B1" w:rsidP="00B859B1">
            <w:pPr>
              <w:pStyle w:val="Nadpis4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DPH 21%</w:t>
            </w:r>
          </w:p>
        </w:tc>
        <w:tc>
          <w:tcPr>
            <w:tcW w:w="3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59B1" w:rsidRPr="00B859B1" w:rsidRDefault="00B859B1" w:rsidP="00B859B1">
            <w:pPr>
              <w:pStyle w:val="Nadpis4"/>
              <w:jc w:val="right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,- Kč.</w:t>
            </w:r>
          </w:p>
        </w:tc>
      </w:tr>
    </w:tbl>
    <w:p w:rsidR="00B859B1" w:rsidRPr="00B859B1" w:rsidRDefault="00B859B1" w:rsidP="00B859B1">
      <w:pPr>
        <w:jc w:val="both"/>
      </w:pP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/>
      </w:tblPr>
      <w:tblGrid>
        <w:gridCol w:w="4586"/>
        <w:gridCol w:w="3874"/>
      </w:tblGrid>
      <w:tr w:rsidR="00B859B1" w:rsidRPr="00B859B1" w:rsidTr="00B859B1">
        <w:trPr>
          <w:cantSplit/>
        </w:trPr>
        <w:tc>
          <w:tcPr>
            <w:tcW w:w="45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59B1" w:rsidRPr="00B859B1" w:rsidRDefault="00B859B1" w:rsidP="00B859B1">
            <w:pPr>
              <w:pStyle w:val="Nadpis4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59B1" w:rsidRPr="00B859B1" w:rsidRDefault="00B859B1" w:rsidP="00B859B1">
            <w:pPr>
              <w:pStyle w:val="Nadpis4"/>
              <w:jc w:val="right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B859B1" w:rsidRPr="00B859B1" w:rsidTr="00B859B1">
        <w:trPr>
          <w:cantSplit/>
        </w:trPr>
        <w:tc>
          <w:tcPr>
            <w:tcW w:w="4586" w:type="dxa"/>
          </w:tcPr>
          <w:p w:rsidR="00B859B1" w:rsidRPr="00B859B1" w:rsidRDefault="00B859B1" w:rsidP="00B859B1">
            <w:pPr>
              <w:pStyle w:val="Nadpis4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Celková cena, včetně DPH</w:t>
            </w:r>
          </w:p>
        </w:tc>
        <w:tc>
          <w:tcPr>
            <w:tcW w:w="38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59B1" w:rsidRPr="00B859B1" w:rsidRDefault="00B859B1" w:rsidP="00B859B1">
            <w:pPr>
              <w:pStyle w:val="Nadpis4"/>
              <w:jc w:val="right"/>
              <w:rPr>
                <w:b w:val="0"/>
                <w:bCs w:val="0"/>
                <w:i/>
                <w:sz w:val="24"/>
                <w:szCs w:val="24"/>
              </w:rPr>
            </w:pPr>
            <w:r w:rsidRPr="00B859B1">
              <w:rPr>
                <w:b w:val="0"/>
                <w:bCs w:val="0"/>
                <w:sz w:val="24"/>
                <w:szCs w:val="24"/>
              </w:rPr>
              <w:t>,- Kč.</w:t>
            </w:r>
          </w:p>
        </w:tc>
      </w:tr>
    </w:tbl>
    <w:p w:rsidR="00B859B1" w:rsidRPr="00B859B1" w:rsidRDefault="00B859B1" w:rsidP="00B859B1">
      <w:pPr>
        <w:pStyle w:val="Nadpis21"/>
        <w:spacing w:after="0" w:line="276" w:lineRule="auto"/>
        <w:ind w:left="720" w:firstLine="0"/>
        <w:rPr>
          <w:szCs w:val="24"/>
        </w:rPr>
      </w:pPr>
    </w:p>
    <w:p w:rsidR="00E520E0" w:rsidRDefault="00E520E0" w:rsidP="00E520E0">
      <w:pPr>
        <w:pStyle w:val="Nadpis21"/>
        <w:spacing w:after="0" w:line="276" w:lineRule="auto"/>
        <w:ind w:left="720" w:firstLine="0"/>
        <w:rPr>
          <w:szCs w:val="24"/>
        </w:rPr>
      </w:pPr>
    </w:p>
    <w:p w:rsidR="00E520E0" w:rsidRDefault="00E520E0" w:rsidP="00E520E0">
      <w:pPr>
        <w:pStyle w:val="Nadpis21"/>
        <w:spacing w:after="0" w:line="276" w:lineRule="auto"/>
        <w:ind w:left="36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Cena je stanovena jako nejvýše přípustná, obsahuje veškeré poplatky a náklady dodavatele nutné k řádnému splnění všech služeb a dodávek, které jsou předmětem této smlouvy, včetně plnění, která nejsou výslovně uvedena v této smlouvě,</w:t>
      </w:r>
      <w:r w:rsidR="001C1037">
        <w:rPr>
          <w:szCs w:val="24"/>
        </w:rPr>
        <w:t xml:space="preserve"> </w:t>
      </w:r>
      <w:r w:rsidR="00C51B0B">
        <w:rPr>
          <w:szCs w:val="24"/>
        </w:rPr>
        <w:t xml:space="preserve">ale </w:t>
      </w:r>
      <w:r w:rsidR="00C51B0B">
        <w:rPr>
          <w:szCs w:val="24"/>
        </w:rPr>
        <w:lastRenderedPageBreak/>
        <w:t>o </w:t>
      </w:r>
      <w:r>
        <w:rPr>
          <w:szCs w:val="24"/>
        </w:rPr>
        <w:t xml:space="preserve">kterých dodavatel vzhledem ke svým odborným </w:t>
      </w:r>
      <w:r w:rsidR="00C51B0B">
        <w:rPr>
          <w:szCs w:val="24"/>
        </w:rPr>
        <w:t>znalostem s vynaložením veškeré </w:t>
      </w:r>
      <w:r>
        <w:rPr>
          <w:szCs w:val="24"/>
        </w:rPr>
        <w:t>odborné péče věděl nebo vědět měl a mohl.</w:t>
      </w:r>
    </w:p>
    <w:p w:rsidR="00B859B1" w:rsidRDefault="00B859B1" w:rsidP="00B859B1">
      <w:pPr>
        <w:pStyle w:val="Nadpis21"/>
        <w:tabs>
          <w:tab w:val="left" w:pos="425"/>
        </w:tabs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 xml:space="preserve">Cenu je možné překročit pouze v souvislosti se změnou daňových předpisů týkajících se DPH. Cena může být navýšena také v případě dalších požadavků objednatele na základě jeho předchozí písemné objednávky (vícepráce) a při splnění podmínek zák. č. 137/2006 Sb., o veřejných zakázkách, ve znění pozdějších předpisů. </w:t>
      </w:r>
    </w:p>
    <w:p w:rsidR="00B859B1" w:rsidRDefault="00B859B1" w:rsidP="00B859B1">
      <w:pPr>
        <w:pStyle w:val="Nadpis21"/>
        <w:tabs>
          <w:tab w:val="left" w:pos="425"/>
        </w:tabs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Cena za poskytnuté plnění bude objednatelem uhrazena v české měně na základě daňového dokladu – faktury, a to bezhotovostním převodem na bankovní účet dodavatele uvedený v čl. I smlouvy. Splatnost faktur musí být nejméně 21 dní ode dne jejich doručení objednateli.</w:t>
      </w:r>
    </w:p>
    <w:p w:rsidR="00B859B1" w:rsidRDefault="00B859B1" w:rsidP="00B859B1">
      <w:pPr>
        <w:pStyle w:val="Nadpis21"/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Daňový doklad – faktura musí obsahovat všechny náležitosti řádného účetního</w:t>
      </w:r>
      <w:r w:rsidR="00C51B0B">
        <w:rPr>
          <w:szCs w:val="24"/>
        </w:rPr>
        <w:t xml:space="preserve"> a </w:t>
      </w:r>
      <w:r>
        <w:rPr>
          <w:szCs w:val="24"/>
        </w:rPr>
        <w:t xml:space="preserve">daňového dokladu ve smyslu příslušných právních předpisů, zejména zákona </w:t>
      </w:r>
      <w:r w:rsidR="00C51B0B">
        <w:rPr>
          <w:szCs w:val="24"/>
        </w:rPr>
        <w:t>č.</w:t>
      </w:r>
      <w:r>
        <w:rPr>
          <w:szCs w:val="24"/>
        </w:rPr>
        <w:t>235/2004 Sb., o dani z přidané hodnoty, ve znění pozdějších předpisů. V případě, že faktura nebude mít odpovídající náležitosti, je objednatel oprávněn ji vrátit ve lhůtě splatnosti zpět dodavateli k doplnění, aniž se tak dostane do prodlení se splatností. Lhůta splatnosti počíná běžet znovu od opětovného zaslání náležitě doplněného či opraveného dokladu.</w:t>
      </w:r>
    </w:p>
    <w:p w:rsidR="00B859B1" w:rsidRDefault="00B859B1" w:rsidP="00B859B1">
      <w:pPr>
        <w:pStyle w:val="Nadpis21"/>
        <w:spacing w:after="0" w:line="276" w:lineRule="auto"/>
        <w:ind w:left="72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Objednatel je oprávněn pozastavit úhradu kterékoliv platby ve prospěch dodavatele, pokud je dodavatel v prodlení s plněním jakéhokoliv závazku vůči objednateli.</w:t>
      </w:r>
    </w:p>
    <w:p w:rsidR="00B859B1" w:rsidRDefault="00B859B1" w:rsidP="00B859B1">
      <w:pPr>
        <w:pStyle w:val="Nadpis21"/>
        <w:spacing w:after="0" w:line="276" w:lineRule="auto"/>
        <w:ind w:left="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Objednatel je oprávněn započítat smluvní pokuty proti fakturované částce.</w:t>
      </w:r>
    </w:p>
    <w:p w:rsidR="00B859B1" w:rsidRDefault="00B859B1" w:rsidP="00B859B1">
      <w:pPr>
        <w:pStyle w:val="Nadpis21"/>
        <w:spacing w:after="0" w:line="276" w:lineRule="auto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0"/>
        </w:numPr>
        <w:spacing w:after="0" w:line="276" w:lineRule="auto"/>
        <w:ind w:hanging="720"/>
        <w:rPr>
          <w:szCs w:val="24"/>
        </w:rPr>
      </w:pPr>
      <w:r>
        <w:rPr>
          <w:szCs w:val="24"/>
        </w:rPr>
        <w:t>Povinnost zaplatit cenu za poskytnuté plnění je splněna dnem odepsání příslušné částky z účtu objednatele.</w:t>
      </w:r>
    </w:p>
    <w:p w:rsidR="00B859B1" w:rsidRDefault="00B859B1" w:rsidP="00B859B1">
      <w:pPr>
        <w:pStyle w:val="Nadpis21"/>
        <w:spacing w:after="0" w:line="276" w:lineRule="auto"/>
        <w:ind w:left="0" w:firstLine="425"/>
        <w:jc w:val="center"/>
        <w:rPr>
          <w:b/>
          <w:szCs w:val="24"/>
        </w:rPr>
      </w:pPr>
    </w:p>
    <w:p w:rsidR="00B859B1" w:rsidRDefault="00B859B1" w:rsidP="00B859B1">
      <w:pPr>
        <w:pStyle w:val="Nadpis21"/>
        <w:spacing w:after="0" w:line="276" w:lineRule="auto"/>
        <w:ind w:left="0" w:firstLine="425"/>
        <w:jc w:val="center"/>
        <w:rPr>
          <w:b/>
          <w:szCs w:val="24"/>
        </w:rPr>
      </w:pPr>
    </w:p>
    <w:p w:rsidR="00B859B1" w:rsidRPr="00B859B1" w:rsidRDefault="00B859B1" w:rsidP="00B859B1">
      <w:pPr>
        <w:pStyle w:val="Nadpis21"/>
        <w:spacing w:after="0" w:line="276" w:lineRule="auto"/>
        <w:ind w:left="0" w:firstLine="425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Čl. VII.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425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Zajištění závazků a smluvní pokuty</w:t>
      </w:r>
    </w:p>
    <w:p w:rsidR="00B859B1" w:rsidRDefault="00B859B1" w:rsidP="00B859B1">
      <w:pPr>
        <w:pStyle w:val="Nadpis21"/>
        <w:tabs>
          <w:tab w:val="left" w:pos="720"/>
        </w:tabs>
        <w:spacing w:after="0" w:line="276" w:lineRule="auto"/>
        <w:ind w:left="360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1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V případě prodlení dodavatele s dodáním pronajímané techniky, je objednatel oprávněn uplatnit vůči dodavateli smluvní pokutu ve výši 0,05% z celkové částky</w:t>
      </w:r>
      <w:r w:rsidR="00C51B0B">
        <w:rPr>
          <w:szCs w:val="24"/>
        </w:rPr>
        <w:t xml:space="preserve"> za </w:t>
      </w:r>
      <w:r>
        <w:rPr>
          <w:szCs w:val="24"/>
        </w:rPr>
        <w:t>každý i jen započatý den prodlení.</w:t>
      </w:r>
    </w:p>
    <w:p w:rsidR="00B859B1" w:rsidRDefault="00B859B1" w:rsidP="00B859B1">
      <w:pPr>
        <w:pStyle w:val="Nadpis21"/>
        <w:spacing w:after="0" w:line="276" w:lineRule="auto"/>
        <w:ind w:left="709" w:hanging="709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1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 xml:space="preserve">Smluvní pokuta je splatná do 15 dnů po doručení oznámení o uplatnění smluvní pokuty objednatelem dodavateli. Oznámení o uplatnění smluvní pokuty musí vždy obsahovat popis a časové určení události, která v souladu s touto smlouvou zakládá právo objednatele účtovat smluvní pokutu. </w:t>
      </w:r>
    </w:p>
    <w:p w:rsidR="00B859B1" w:rsidRDefault="00B859B1" w:rsidP="002B25BC">
      <w:pPr>
        <w:pStyle w:val="Nadpis21"/>
        <w:numPr>
          <w:ilvl w:val="0"/>
          <w:numId w:val="11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V případě prodlení objednatele s úhradou faktury dle této smlouvy je dodavatel oprávněn uplatnit vůči objednateli úrok z prodlení ve výši 0,05% z dlužné částky</w:t>
      </w:r>
      <w:r w:rsidR="00C51B0B">
        <w:rPr>
          <w:szCs w:val="24"/>
        </w:rPr>
        <w:t xml:space="preserve"> za </w:t>
      </w:r>
      <w:r>
        <w:rPr>
          <w:szCs w:val="24"/>
        </w:rPr>
        <w:t>každý i jen započatý den prodlení s úhradou faktury.</w:t>
      </w:r>
    </w:p>
    <w:p w:rsidR="00B859B1" w:rsidRDefault="00B859B1" w:rsidP="00B859B1">
      <w:pPr>
        <w:pStyle w:val="StylLatinkaArialSloitArial10bPed0cm"/>
        <w:tabs>
          <w:tab w:val="left" w:pos="708"/>
        </w:tabs>
        <w:spacing w:line="28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59B1" w:rsidRDefault="00B859B1" w:rsidP="002B25BC">
      <w:pPr>
        <w:pStyle w:val="StylLatinkaArialSloitArial10bPed0cm"/>
        <w:numPr>
          <w:ilvl w:val="0"/>
          <w:numId w:val="11"/>
        </w:numPr>
        <w:tabs>
          <w:tab w:val="left" w:pos="708"/>
        </w:tabs>
        <w:spacing w:line="28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Okolnosti vylučující odpovědnost dle </w:t>
      </w:r>
      <w:proofErr w:type="spellStart"/>
      <w:r w:rsidRPr="00ED44E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D4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390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="008E3900">
        <w:rPr>
          <w:rFonts w:ascii="Times New Roman" w:hAnsi="Times New Roman" w:cs="Times New Roman"/>
          <w:sz w:val="24"/>
          <w:szCs w:val="24"/>
        </w:rPr>
        <w:t xml:space="preserve"> </w:t>
      </w:r>
      <w:r w:rsidR="008E3900" w:rsidRPr="00D81E36">
        <w:rPr>
          <w:rFonts w:ascii="Times New Roman" w:hAnsi="Times New Roman" w:cs="Times New Roman"/>
          <w:sz w:val="24"/>
          <w:szCs w:val="24"/>
        </w:rPr>
        <w:t xml:space="preserve">č. 89/2012 </w:t>
      </w:r>
      <w:r w:rsidR="008E3900">
        <w:rPr>
          <w:rFonts w:ascii="Times New Roman" w:hAnsi="Times New Roman" w:cs="Times New Roman"/>
          <w:sz w:val="24"/>
          <w:szCs w:val="24"/>
        </w:rPr>
        <w:t xml:space="preserve">Sb., </w:t>
      </w:r>
      <w:r w:rsidR="00D81E36">
        <w:rPr>
          <w:rFonts w:ascii="Times New Roman" w:hAnsi="Times New Roman" w:cs="Times New Roman"/>
          <w:sz w:val="24"/>
          <w:szCs w:val="24"/>
        </w:rPr>
        <w:t xml:space="preserve">Občanského zákoníku </w:t>
      </w:r>
      <w:r>
        <w:rPr>
          <w:rFonts w:ascii="Times New Roman" w:hAnsi="Times New Roman" w:cs="Times New Roman"/>
          <w:sz w:val="24"/>
          <w:szCs w:val="24"/>
        </w:rPr>
        <w:t>nemají vliv na povinnost platit smluvní pokutu.</w:t>
      </w:r>
    </w:p>
    <w:p w:rsidR="00B859B1" w:rsidRDefault="00B859B1" w:rsidP="00B859B1">
      <w:pPr>
        <w:pStyle w:val="StylLatinkaArialSloitArial10bPed0cm"/>
        <w:tabs>
          <w:tab w:val="left" w:pos="708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9B1" w:rsidRDefault="00B859B1" w:rsidP="002B25BC">
      <w:pPr>
        <w:pStyle w:val="Nadpis21"/>
        <w:numPr>
          <w:ilvl w:val="0"/>
          <w:numId w:val="11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Úhradou smluvní pokuty zůstávají nedotčena práva objednatele na náhradu případné škody v rozsahu, ve kterém tato škoda bude převyšovat smluvní pokutu.</w:t>
      </w:r>
    </w:p>
    <w:p w:rsidR="00B859B1" w:rsidRDefault="00B859B1" w:rsidP="00B859B1">
      <w:pPr>
        <w:pStyle w:val="Nadpis21"/>
        <w:spacing w:after="0" w:line="276" w:lineRule="auto"/>
        <w:ind w:left="709" w:firstLine="0"/>
        <w:rPr>
          <w:szCs w:val="24"/>
        </w:rPr>
      </w:pPr>
    </w:p>
    <w:p w:rsidR="00B859B1" w:rsidRDefault="00B859B1" w:rsidP="002B25BC">
      <w:pPr>
        <w:pStyle w:val="Nadpis21"/>
        <w:numPr>
          <w:ilvl w:val="0"/>
          <w:numId w:val="11"/>
        </w:numPr>
        <w:spacing w:after="0" w:line="276" w:lineRule="auto"/>
        <w:ind w:left="709" w:hanging="709"/>
        <w:rPr>
          <w:szCs w:val="24"/>
        </w:rPr>
      </w:pPr>
      <w:r>
        <w:rPr>
          <w:szCs w:val="24"/>
        </w:rPr>
        <w:t>Celková výše kterékoli ze smluvních pokut stanovených v čl. VII. této smlouvy není omezena.</w:t>
      </w:r>
    </w:p>
    <w:p w:rsidR="00B859B1" w:rsidRDefault="00B859B1" w:rsidP="00B859B1">
      <w:pPr>
        <w:jc w:val="center"/>
        <w:rPr>
          <w:b/>
          <w:bCs/>
        </w:rPr>
      </w:pPr>
    </w:p>
    <w:p w:rsidR="00B859B1" w:rsidRDefault="00B859B1" w:rsidP="00B859B1">
      <w:pPr>
        <w:jc w:val="center"/>
        <w:rPr>
          <w:b/>
          <w:bCs/>
        </w:rPr>
      </w:pPr>
    </w:p>
    <w:p w:rsidR="00B859B1" w:rsidRDefault="00B859B1" w:rsidP="00B859B1">
      <w:pPr>
        <w:jc w:val="center"/>
        <w:rPr>
          <w:b/>
          <w:bCs/>
        </w:rPr>
      </w:pPr>
    </w:p>
    <w:p w:rsidR="00B859B1" w:rsidRPr="00B859B1" w:rsidRDefault="00B859B1" w:rsidP="00B859B1">
      <w:pPr>
        <w:jc w:val="center"/>
        <w:rPr>
          <w:b/>
          <w:bCs/>
          <w:sz w:val="28"/>
          <w:szCs w:val="28"/>
        </w:rPr>
      </w:pPr>
      <w:r w:rsidRPr="00B859B1">
        <w:rPr>
          <w:b/>
          <w:bCs/>
          <w:sz w:val="28"/>
          <w:szCs w:val="28"/>
        </w:rPr>
        <w:t xml:space="preserve">Čl. VIII. </w:t>
      </w:r>
    </w:p>
    <w:p w:rsidR="00B859B1" w:rsidRPr="00B859B1" w:rsidRDefault="00B859B1" w:rsidP="00B859B1">
      <w:pPr>
        <w:jc w:val="center"/>
        <w:rPr>
          <w:b/>
          <w:bCs/>
          <w:sz w:val="28"/>
          <w:szCs w:val="28"/>
        </w:rPr>
      </w:pPr>
      <w:r w:rsidRPr="00B859B1">
        <w:rPr>
          <w:b/>
          <w:bCs/>
          <w:sz w:val="28"/>
          <w:szCs w:val="28"/>
        </w:rPr>
        <w:t>Servisní a reklamační podmínky</w:t>
      </w:r>
    </w:p>
    <w:p w:rsidR="00B859B1" w:rsidRDefault="00B859B1" w:rsidP="00B859B1">
      <w:pPr>
        <w:jc w:val="center"/>
        <w:rPr>
          <w:b/>
          <w:bCs/>
        </w:rPr>
      </w:pPr>
    </w:p>
    <w:p w:rsidR="00B859B1" w:rsidRPr="00B859B1" w:rsidRDefault="00B859B1" w:rsidP="00B859B1">
      <w:pPr>
        <w:pStyle w:val="Nadpis21"/>
        <w:spacing w:after="0" w:line="276" w:lineRule="auto"/>
        <w:ind w:left="-142" w:firstLine="0"/>
        <w:jc w:val="left"/>
        <w:rPr>
          <w:szCs w:val="24"/>
        </w:rPr>
      </w:pPr>
      <w:proofErr w:type="gramStart"/>
      <w:r w:rsidRPr="00B859B1">
        <w:rPr>
          <w:b/>
          <w:szCs w:val="24"/>
        </w:rPr>
        <w:t>VIII.1.</w:t>
      </w:r>
      <w:proofErr w:type="gramEnd"/>
      <w:r w:rsidRPr="00B859B1">
        <w:rPr>
          <w:szCs w:val="24"/>
        </w:rPr>
        <w:t xml:space="preserve">    Záruka na pronajímaný HW je po celou dobu pronájmu.</w:t>
      </w:r>
    </w:p>
    <w:p w:rsidR="00B859B1" w:rsidRPr="00B859B1" w:rsidRDefault="00B859B1" w:rsidP="00B859B1">
      <w:pPr>
        <w:pStyle w:val="Nadpis21"/>
        <w:spacing w:after="0" w:line="276" w:lineRule="auto"/>
        <w:ind w:left="-142" w:firstLine="0"/>
        <w:jc w:val="left"/>
        <w:rPr>
          <w:szCs w:val="24"/>
        </w:rPr>
      </w:pPr>
    </w:p>
    <w:p w:rsidR="00B859B1" w:rsidRPr="00B859B1" w:rsidRDefault="00B859B1" w:rsidP="00B859B1">
      <w:pPr>
        <w:pStyle w:val="Nadpis21"/>
        <w:spacing w:after="0" w:line="276" w:lineRule="auto"/>
        <w:ind w:left="709" w:hanging="851"/>
        <w:rPr>
          <w:szCs w:val="24"/>
        </w:rPr>
      </w:pPr>
      <w:proofErr w:type="gramStart"/>
      <w:r w:rsidRPr="00B859B1">
        <w:rPr>
          <w:b/>
          <w:szCs w:val="24"/>
        </w:rPr>
        <w:t>VIII.2.</w:t>
      </w:r>
      <w:proofErr w:type="gramEnd"/>
      <w:r w:rsidRPr="00B859B1">
        <w:rPr>
          <w:szCs w:val="24"/>
        </w:rPr>
        <w:t xml:space="preserve">  </w:t>
      </w:r>
      <w:r w:rsidRPr="00B859B1">
        <w:rPr>
          <w:szCs w:val="24"/>
          <w:lang w:eastAsia="en-US"/>
        </w:rPr>
        <w:t>Ve dnech voleb pro případ selhání techniky zajistí dodavatel servisní pohotovost 24 hodin. V případě technické závady dodavatel zajistí bez zbytečného odkladu dodávku nové sestavy, dovoz na místo určení, odvoz vadné techniky. Vše musí být nahlášeno</w:t>
      </w:r>
      <w:r w:rsidR="001C1037">
        <w:rPr>
          <w:szCs w:val="24"/>
          <w:lang w:eastAsia="en-US"/>
        </w:rPr>
        <w:t xml:space="preserve"> </w:t>
      </w:r>
      <w:r w:rsidR="00C51B0B">
        <w:rPr>
          <w:szCs w:val="24"/>
          <w:lang w:eastAsia="en-US"/>
        </w:rPr>
        <w:t>a </w:t>
      </w:r>
      <w:r w:rsidRPr="00B859B1">
        <w:rPr>
          <w:szCs w:val="24"/>
          <w:lang w:eastAsia="en-US"/>
        </w:rPr>
        <w:t>potvrzeno pouze pověřenou osobou odběratele. Žádost o technickou podporu resp. servisní zásah bez schválení pověřenou osobou nebude vyřízena, bude pouze proveden záznam o nahlášení a předání této informace osobě pověřené.</w:t>
      </w:r>
    </w:p>
    <w:p w:rsidR="00B859B1" w:rsidRPr="00B859B1" w:rsidRDefault="00B859B1" w:rsidP="00B859B1">
      <w:pPr>
        <w:pStyle w:val="Nadpis21"/>
        <w:spacing w:after="0" w:line="276" w:lineRule="auto"/>
        <w:ind w:left="-142" w:firstLine="0"/>
        <w:jc w:val="left"/>
        <w:rPr>
          <w:szCs w:val="24"/>
        </w:rPr>
      </w:pPr>
    </w:p>
    <w:p w:rsidR="00B859B1" w:rsidRDefault="00B859B1" w:rsidP="00B859B1">
      <w:pPr>
        <w:pStyle w:val="Nadpis21"/>
        <w:spacing w:after="0" w:line="276" w:lineRule="auto"/>
        <w:ind w:left="-142" w:firstLine="0"/>
        <w:jc w:val="left"/>
        <w:rPr>
          <w:szCs w:val="24"/>
        </w:rPr>
      </w:pPr>
    </w:p>
    <w:p w:rsidR="00B859B1" w:rsidRPr="00B859B1" w:rsidRDefault="00B859B1" w:rsidP="00B859B1">
      <w:pPr>
        <w:jc w:val="center"/>
        <w:rPr>
          <w:b/>
          <w:bCs/>
          <w:sz w:val="28"/>
          <w:szCs w:val="28"/>
        </w:rPr>
      </w:pPr>
      <w:r w:rsidRPr="00B859B1">
        <w:rPr>
          <w:b/>
          <w:bCs/>
          <w:sz w:val="28"/>
          <w:szCs w:val="28"/>
        </w:rPr>
        <w:t xml:space="preserve">Čl. </w:t>
      </w:r>
      <w:r w:rsidR="00E520E0">
        <w:rPr>
          <w:b/>
          <w:bCs/>
          <w:sz w:val="28"/>
          <w:szCs w:val="28"/>
        </w:rPr>
        <w:t>IX</w:t>
      </w:r>
      <w:r w:rsidRPr="00B859B1">
        <w:rPr>
          <w:b/>
          <w:bCs/>
          <w:sz w:val="28"/>
          <w:szCs w:val="28"/>
        </w:rPr>
        <w:t xml:space="preserve">. </w:t>
      </w:r>
    </w:p>
    <w:p w:rsidR="00B859B1" w:rsidRDefault="00B859B1" w:rsidP="00B859B1">
      <w:pPr>
        <w:jc w:val="center"/>
        <w:rPr>
          <w:b/>
          <w:bCs/>
        </w:rPr>
      </w:pPr>
      <w:r w:rsidRPr="00B859B1">
        <w:rPr>
          <w:b/>
          <w:bCs/>
          <w:sz w:val="28"/>
          <w:szCs w:val="28"/>
        </w:rPr>
        <w:t>Platnost a účinnost smlouvy</w:t>
      </w:r>
    </w:p>
    <w:p w:rsidR="00B859B1" w:rsidRDefault="00B859B1" w:rsidP="00B859B1">
      <w:pPr>
        <w:jc w:val="center"/>
        <w:rPr>
          <w:b/>
          <w:bCs/>
        </w:rPr>
      </w:pPr>
    </w:p>
    <w:p w:rsidR="00B859B1" w:rsidRDefault="00B859B1" w:rsidP="002B25BC">
      <w:pPr>
        <w:numPr>
          <w:ilvl w:val="0"/>
          <w:numId w:val="12"/>
        </w:numPr>
        <w:spacing w:line="276" w:lineRule="auto"/>
        <w:ind w:left="709" w:hanging="709"/>
        <w:jc w:val="both"/>
      </w:pPr>
      <w:r>
        <w:t>Tato smlouva nabývá platnosti a účinnosti dnem podpisu smlouvy odpovědnými zástupci obou smluvních stran.</w:t>
      </w:r>
    </w:p>
    <w:p w:rsidR="00B859B1" w:rsidRDefault="00B859B1" w:rsidP="00B859B1">
      <w:pPr>
        <w:spacing w:line="276" w:lineRule="auto"/>
      </w:pPr>
    </w:p>
    <w:p w:rsidR="00B859B1" w:rsidRDefault="00B859B1" w:rsidP="002B25BC">
      <w:pPr>
        <w:numPr>
          <w:ilvl w:val="0"/>
          <w:numId w:val="12"/>
        </w:numPr>
        <w:spacing w:line="276" w:lineRule="auto"/>
        <w:ind w:left="709" w:hanging="709"/>
        <w:jc w:val="both"/>
      </w:pPr>
      <w:r>
        <w:t>V případě odstoupení od smlouvy kteroukoli ze smluvních stran objednatel uhradí dodavateli cenu za již poskytnutá plnění, poměrně k vykonané činnosti dle dodaného výkazu skutečně provedených činností.</w:t>
      </w:r>
    </w:p>
    <w:p w:rsidR="00B859B1" w:rsidRDefault="00B859B1" w:rsidP="00B859B1">
      <w:pPr>
        <w:spacing w:line="276" w:lineRule="auto"/>
        <w:ind w:left="709"/>
      </w:pPr>
    </w:p>
    <w:p w:rsidR="00B859B1" w:rsidRDefault="00B859B1" w:rsidP="002B25BC">
      <w:pPr>
        <w:numPr>
          <w:ilvl w:val="0"/>
          <w:numId w:val="12"/>
        </w:numPr>
        <w:spacing w:line="276" w:lineRule="auto"/>
        <w:ind w:left="709" w:hanging="709"/>
        <w:jc w:val="both"/>
      </w:pPr>
      <w:r>
        <w:t>Skončením účinnosti smlouvy zanikají všechny závazky smluvních stran ze smlouvy. Skončením účinnosti nebo jejím zánikem nezanikají nároky na náhradu škody</w:t>
      </w:r>
      <w:r w:rsidR="00C51B0B">
        <w:t xml:space="preserve"> a </w:t>
      </w:r>
      <w:r>
        <w:t>zaplacení smluvních pokut sjednaných pro případ porušení smluvních povinností vzniklé před skončením účinnosti smlouvy, a ty závazky smluvních stran, které podle smlouvy nebo vzhledem ke své povaze mají trvat i nadále, nebo u kterých tak stanoví zákon</w:t>
      </w:r>
    </w:p>
    <w:p w:rsidR="00E520E0" w:rsidRDefault="00E520E0" w:rsidP="00E520E0">
      <w:pPr>
        <w:spacing w:line="276" w:lineRule="auto"/>
        <w:ind w:left="360"/>
        <w:jc w:val="both"/>
      </w:pPr>
    </w:p>
    <w:p w:rsidR="00B859B1" w:rsidRDefault="00B859B1" w:rsidP="002B25BC">
      <w:pPr>
        <w:numPr>
          <w:ilvl w:val="0"/>
          <w:numId w:val="12"/>
        </w:numPr>
        <w:spacing w:line="276" w:lineRule="auto"/>
        <w:ind w:left="709" w:hanging="709"/>
        <w:jc w:val="both"/>
      </w:pPr>
      <w:r>
        <w:t xml:space="preserve">Za podstatné porušení smlouvy ve smyslu </w:t>
      </w:r>
      <w:proofErr w:type="spellStart"/>
      <w:r>
        <w:t>ust</w:t>
      </w:r>
      <w:proofErr w:type="spellEnd"/>
      <w:r>
        <w:t xml:space="preserve">. </w:t>
      </w:r>
      <w:proofErr w:type="gramStart"/>
      <w:r w:rsidR="008E3900">
        <w:t>zákona</w:t>
      </w:r>
      <w:proofErr w:type="gramEnd"/>
      <w:r w:rsidR="008E3900">
        <w:t xml:space="preserve"> č. 89/2012 Sb., </w:t>
      </w:r>
      <w:r w:rsidR="00D81E36" w:rsidRPr="00D81E36">
        <w:t>Občanského zákoníku</w:t>
      </w:r>
      <w:r w:rsidRPr="00D81E36">
        <w:t>,</w:t>
      </w:r>
      <w:r>
        <w:t xml:space="preserve"> pro které je zadavatel oprávněn odstoupit od smlouvy se považuje zejména – prodlení uchazeče se započetím služeb.</w:t>
      </w:r>
    </w:p>
    <w:p w:rsidR="00B859B1" w:rsidRPr="00B859B1" w:rsidRDefault="00B859B1" w:rsidP="00B859B1">
      <w:pPr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lastRenderedPageBreak/>
        <w:t>Čl. X.</w:t>
      </w:r>
    </w:p>
    <w:p w:rsidR="00B859B1" w:rsidRPr="00B859B1" w:rsidRDefault="00B859B1" w:rsidP="00B859B1">
      <w:pPr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Kontaktní osoby</w:t>
      </w:r>
    </w:p>
    <w:p w:rsidR="00B859B1" w:rsidRDefault="00B859B1" w:rsidP="00B859B1">
      <w:pPr>
        <w:jc w:val="center"/>
        <w:rPr>
          <w:b/>
        </w:rPr>
      </w:pPr>
    </w:p>
    <w:p w:rsidR="00B859B1" w:rsidRDefault="00B859B1" w:rsidP="002B25BC">
      <w:pPr>
        <w:numPr>
          <w:ilvl w:val="0"/>
          <w:numId w:val="13"/>
        </w:numPr>
        <w:spacing w:line="276" w:lineRule="auto"/>
        <w:ind w:left="709" w:hanging="709"/>
        <w:jc w:val="both"/>
      </w:pPr>
      <w:r>
        <w:t>Strany se dohodly a dodavatel určil, že osobou oprávněnou k jednání za dodavatele</w:t>
      </w:r>
      <w:r w:rsidR="00C51B0B">
        <w:t xml:space="preserve"> ve </w:t>
      </w:r>
      <w:r>
        <w:t>věcech, které se týkají této smlouvy a její realizace je/jsou:</w:t>
      </w:r>
    </w:p>
    <w:p w:rsidR="00B859B1" w:rsidRDefault="00B859B1" w:rsidP="00B859B1">
      <w:pPr>
        <w:ind w:left="1560" w:hanging="710"/>
      </w:pPr>
      <w:r>
        <w:t xml:space="preserve">Jméno: </w:t>
      </w:r>
      <w:r>
        <w:tab/>
      </w:r>
      <w:r>
        <w:rPr>
          <w:highlight w:val="lightGray"/>
        </w:rPr>
        <w:t>…………………….</w:t>
      </w:r>
    </w:p>
    <w:p w:rsidR="00B859B1" w:rsidRDefault="00B859B1" w:rsidP="00B859B1">
      <w:pPr>
        <w:ind w:left="1560" w:hanging="710"/>
      </w:pPr>
      <w:r>
        <w:t>e-mail:</w:t>
      </w:r>
      <w:r>
        <w:tab/>
      </w:r>
      <w:r>
        <w:tab/>
      </w:r>
      <w:r>
        <w:rPr>
          <w:highlight w:val="lightGray"/>
        </w:rPr>
        <w:t>…………………….</w:t>
      </w:r>
    </w:p>
    <w:p w:rsidR="00B859B1" w:rsidRDefault="00B859B1" w:rsidP="00B859B1">
      <w:pPr>
        <w:ind w:left="1560" w:hanging="710"/>
      </w:pPr>
      <w:r>
        <w:t xml:space="preserve">tel.: </w:t>
      </w:r>
      <w:r>
        <w:tab/>
      </w:r>
      <w:r>
        <w:tab/>
      </w:r>
      <w:r>
        <w:rPr>
          <w:highlight w:val="lightGray"/>
        </w:rPr>
        <w:t>…………………….</w:t>
      </w: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3"/>
        </w:numPr>
        <w:spacing w:line="276" w:lineRule="auto"/>
        <w:ind w:left="709" w:hanging="709"/>
        <w:jc w:val="both"/>
      </w:pPr>
      <w:r>
        <w:t>Strany se dohodly a objednatel určil, že osobou oprávněnou k jednání za objednatele ve věcech, které se týkají této smlouvy, její realizace a podávání pokynů dodavateli je:</w:t>
      </w:r>
    </w:p>
    <w:p w:rsidR="00276452" w:rsidRDefault="00B859B1" w:rsidP="00B859B1">
      <w:pPr>
        <w:ind w:left="1560" w:hanging="709"/>
      </w:pPr>
      <w:r>
        <w:t xml:space="preserve">Jméno: </w:t>
      </w:r>
      <w:r>
        <w:tab/>
        <w:t>p</w:t>
      </w:r>
      <w:r w:rsidR="007109AA">
        <w:t>. Miroslav Klimeš</w:t>
      </w:r>
      <w:r>
        <w:t xml:space="preserve"> – </w:t>
      </w:r>
      <w:r w:rsidR="0045522A">
        <w:t>pověřený vedením</w:t>
      </w:r>
      <w:r w:rsidR="007109AA">
        <w:t xml:space="preserve"> odboru informatiky</w:t>
      </w:r>
      <w:r>
        <w:t xml:space="preserve"> ÚMČ </w:t>
      </w:r>
      <w:r w:rsidR="0045522A">
        <w:t xml:space="preserve"> </w:t>
      </w:r>
    </w:p>
    <w:p w:rsidR="00276452" w:rsidRDefault="00276452" w:rsidP="00276452">
      <w:pPr>
        <w:tabs>
          <w:tab w:val="left" w:pos="2130"/>
        </w:tabs>
        <w:ind w:left="1560" w:hanging="709"/>
      </w:pPr>
      <w:r>
        <w:tab/>
      </w:r>
      <w:r>
        <w:tab/>
        <w:t>Praha 8</w:t>
      </w:r>
    </w:p>
    <w:p w:rsidR="00B859B1" w:rsidRDefault="00B859B1" w:rsidP="00B859B1">
      <w:pPr>
        <w:ind w:left="1560" w:hanging="709"/>
      </w:pPr>
      <w:r>
        <w:t>e-mail:</w:t>
      </w:r>
      <w:r>
        <w:tab/>
      </w:r>
      <w:r>
        <w:tab/>
      </w:r>
      <w:r w:rsidR="007109AA">
        <w:t>Miroslav.Klimes</w:t>
      </w:r>
      <w:r>
        <w:t>@praha8.cz</w:t>
      </w:r>
    </w:p>
    <w:p w:rsidR="00B859B1" w:rsidRDefault="00B859B1" w:rsidP="00B859B1">
      <w:pPr>
        <w:ind w:left="1560" w:hanging="709"/>
      </w:pPr>
      <w:r>
        <w:t xml:space="preserve">tel.: </w:t>
      </w:r>
      <w:r>
        <w:tab/>
      </w:r>
      <w:r>
        <w:tab/>
        <w:t>+420 222 805 6</w:t>
      </w:r>
      <w:r w:rsidR="007109AA">
        <w:t>15</w:t>
      </w:r>
    </w:p>
    <w:p w:rsidR="00B859B1" w:rsidRDefault="00B859B1" w:rsidP="00B859B1">
      <w:pPr>
        <w:ind w:left="709" w:hanging="709"/>
      </w:pP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3"/>
        </w:numPr>
        <w:spacing w:line="276" w:lineRule="auto"/>
        <w:ind w:left="709" w:hanging="709"/>
        <w:jc w:val="both"/>
      </w:pPr>
      <w: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</w:p>
    <w:p w:rsidR="00B859B1" w:rsidRPr="00B859B1" w:rsidRDefault="00B859B1" w:rsidP="00B859B1">
      <w:pPr>
        <w:pStyle w:val="Nadpis21"/>
        <w:spacing w:after="0" w:line="276" w:lineRule="auto"/>
        <w:ind w:hanging="709"/>
        <w:jc w:val="center"/>
        <w:rPr>
          <w:b/>
          <w:sz w:val="28"/>
          <w:szCs w:val="28"/>
        </w:rPr>
      </w:pPr>
    </w:p>
    <w:p w:rsidR="00B859B1" w:rsidRPr="00B859B1" w:rsidRDefault="00E520E0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B859B1" w:rsidRPr="00B859B1">
        <w:rPr>
          <w:b/>
          <w:sz w:val="28"/>
          <w:szCs w:val="28"/>
        </w:rPr>
        <w:t>XI.</w:t>
      </w:r>
    </w:p>
    <w:p w:rsidR="00B859B1" w:rsidRPr="00B859B1" w:rsidRDefault="00B859B1" w:rsidP="00B859B1">
      <w:pPr>
        <w:pStyle w:val="Nadpis21"/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B859B1">
        <w:rPr>
          <w:b/>
          <w:sz w:val="28"/>
          <w:szCs w:val="28"/>
        </w:rPr>
        <w:t>Závěrečná ustanovení</w:t>
      </w:r>
    </w:p>
    <w:p w:rsidR="00B859B1" w:rsidRDefault="00B859B1" w:rsidP="00B859B1">
      <w:pPr>
        <w:pStyle w:val="Nadpis21"/>
        <w:spacing w:after="0" w:line="276" w:lineRule="auto"/>
        <w:ind w:hanging="709"/>
        <w:jc w:val="center"/>
        <w:rPr>
          <w:b/>
          <w:color w:val="0000FF"/>
          <w:szCs w:val="24"/>
        </w:rPr>
      </w:pPr>
    </w:p>
    <w:p w:rsidR="00B859B1" w:rsidRPr="00D81E36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 xml:space="preserve">Vztahy mezi stranami se řídí českým právním řádem. Ve věcech smlouvou výslovně neupravených se právní vztahy z ní vznikající a vyplývající řídí příslušnými ustanoveními </w:t>
      </w:r>
      <w:r w:rsidRPr="00D81E36">
        <w:t xml:space="preserve">zákona </w:t>
      </w:r>
      <w:r w:rsidR="00D81E36" w:rsidRPr="00D81E36">
        <w:t>č. 89/2012 Sb., Občanského zákoníku</w:t>
      </w:r>
      <w:r w:rsidRPr="00D81E36">
        <w:t xml:space="preserve">, ve znění pozdějších předpisů, a ostatními obecně závaznými právními předpisy. </w:t>
      </w:r>
    </w:p>
    <w:p w:rsidR="00B859B1" w:rsidRDefault="00B859B1" w:rsidP="00B859B1">
      <w:pPr>
        <w:spacing w:line="276" w:lineRule="auto"/>
        <w:ind w:left="709"/>
        <w:jc w:val="both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 xml:space="preserve">Vztahuje-li se důvod neplatnosti jen na některé ustanovení smlouvy, je neplatným pouze toto ustanovení, pokud z jeho povahy, obsahu anebo z okolností, za nichž bylo sjednáno, nevyplývá, že jej nelze oddělit od ostatního obsahu smlouvy. </w:t>
      </w:r>
    </w:p>
    <w:p w:rsidR="00B859B1" w:rsidRDefault="00B859B1" w:rsidP="00B859B1">
      <w:pPr>
        <w:spacing w:line="276" w:lineRule="auto"/>
        <w:ind w:left="709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 xml:space="preserve">Smluvní strany budou vždy usilovat o přátelské urovnání případných sporů vzniklých ze smlouvy. Pokud nebylo dosaženo přátelského urovnání sporu </w:t>
      </w:r>
      <w:proofErr w:type="gramStart"/>
      <w:r>
        <w:t>ani  do</w:t>
      </w:r>
      <w:proofErr w:type="gramEnd"/>
      <w:r>
        <w:t xml:space="preserve"> 30 pracovních dnů po jeho prvním oznámení druhé straně, je kterákoliv ze smluvních stran oprávněna obrátit se svým nárokem k příslušnému soudu. Rozhodčí řízení je vyloučeno.</w:t>
      </w: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lastRenderedPageBreak/>
        <w:t>Nedílnou součástí této smlouvy jsou následující přílohy:</w:t>
      </w:r>
    </w:p>
    <w:p w:rsidR="00B859B1" w:rsidRDefault="00B859B1" w:rsidP="00805C42">
      <w:pPr>
        <w:spacing w:line="276" w:lineRule="auto"/>
        <w:ind w:left="786"/>
        <w:jc w:val="both"/>
      </w:pPr>
      <w:r>
        <w:t>Příloha č. 1 – Podrobná specifikace předmětu plnění</w:t>
      </w: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805C42" w:rsidRDefault="00805C42" w:rsidP="00805C42">
      <w:pPr>
        <w:spacing w:line="276" w:lineRule="auto"/>
        <w:ind w:left="567"/>
        <w:jc w:val="both"/>
      </w:pPr>
    </w:p>
    <w:p w:rsidR="00805C42" w:rsidRDefault="00805C42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>Smluvní strany souhlasí se zveřejněním smlouvy na internetových stránkách</w:t>
      </w:r>
      <w:r w:rsidR="00C51B0B">
        <w:t xml:space="preserve"> MČ </w:t>
      </w:r>
      <w:r>
        <w:t>Prahy 8.</w:t>
      </w:r>
    </w:p>
    <w:p w:rsidR="00B859B1" w:rsidRDefault="00B859B1" w:rsidP="00B859B1">
      <w:pPr>
        <w:ind w:left="709" w:hanging="709"/>
      </w:pPr>
    </w:p>
    <w:p w:rsidR="00B859B1" w:rsidRDefault="00B859B1" w:rsidP="002B25BC">
      <w:pPr>
        <w:numPr>
          <w:ilvl w:val="0"/>
          <w:numId w:val="14"/>
        </w:numPr>
        <w:spacing w:line="276" w:lineRule="auto"/>
        <w:ind w:left="709" w:hanging="709"/>
        <w:jc w:val="both"/>
      </w:pPr>
      <w:r>
        <w:t>Smlouva se vyhotovuje ve 4 (čtyřech) stejnopisech, z nichž každý má platnost originálu. Každá ze smluvních stran obdrží po 2 (dvou) stejnopisech.</w:t>
      </w:r>
    </w:p>
    <w:p w:rsidR="00B859B1" w:rsidRDefault="00B859B1" w:rsidP="00B859B1"/>
    <w:p w:rsidR="00B859B1" w:rsidRDefault="00B859B1" w:rsidP="00B859B1"/>
    <w:p w:rsidR="00B859B1" w:rsidRDefault="00B859B1" w:rsidP="00B859B1"/>
    <w:p w:rsidR="00B859B1" w:rsidRDefault="00B859B1" w:rsidP="00B859B1">
      <w:pPr>
        <w:ind w:left="360"/>
        <w:jc w:val="both"/>
        <w:rPr>
          <w:sz w:val="22"/>
          <w:szCs w:val="22"/>
        </w:rPr>
      </w:pPr>
    </w:p>
    <w:p w:rsidR="00B859B1" w:rsidRDefault="00B859B1" w:rsidP="00B859B1">
      <w:pPr>
        <w:ind w:firstLine="680"/>
        <w:jc w:val="both"/>
      </w:pPr>
      <w:r>
        <w:t xml:space="preserve">    V Praze dne ………</w:t>
      </w:r>
      <w:proofErr w:type="gramStart"/>
      <w:r>
        <w:t>…</w:t>
      </w:r>
      <w:r>
        <w:tab/>
      </w:r>
      <w:r>
        <w:tab/>
      </w:r>
      <w:r>
        <w:tab/>
      </w:r>
      <w:r>
        <w:tab/>
        <w:t xml:space="preserve">  V . . . . . . . .  . .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616"/>
        <w:gridCol w:w="3080"/>
        <w:gridCol w:w="1823"/>
        <w:gridCol w:w="2808"/>
        <w:gridCol w:w="885"/>
      </w:tblGrid>
      <w:tr w:rsidR="00B859B1" w:rsidTr="00B859B1">
        <w:tc>
          <w:tcPr>
            <w:tcW w:w="637" w:type="dxa"/>
          </w:tcPr>
          <w:p w:rsidR="00B859B1" w:rsidRDefault="00B859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60" w:type="dxa"/>
            <w:hideMark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objednatele:</w:t>
            </w:r>
          </w:p>
        </w:tc>
        <w:tc>
          <w:tcPr>
            <w:tcW w:w="1899" w:type="dxa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hideMark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dodavatele:</w:t>
            </w:r>
          </w:p>
        </w:tc>
        <w:tc>
          <w:tcPr>
            <w:tcW w:w="919" w:type="dxa"/>
          </w:tcPr>
          <w:p w:rsidR="00B859B1" w:rsidRDefault="00B859B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59B1" w:rsidTr="00B859B1">
        <w:trPr>
          <w:trHeight w:val="1019"/>
        </w:trPr>
        <w:tc>
          <w:tcPr>
            <w:tcW w:w="637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9B1" w:rsidTr="00B859B1">
        <w:trPr>
          <w:trHeight w:val="168"/>
        </w:trPr>
        <w:tc>
          <w:tcPr>
            <w:tcW w:w="637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Jiří Janků</w:t>
            </w:r>
          </w:p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Starosta Městské části Praha 8</w:t>
            </w:r>
          </w:p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859B1" w:rsidRDefault="00B859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859B1" w:rsidRDefault="00B859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B859B1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sz w:val="24"/>
          <w:szCs w:val="24"/>
        </w:rPr>
      </w:pPr>
    </w:p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sz w:val="24"/>
          <w:szCs w:val="24"/>
        </w:rPr>
      </w:pPr>
    </w:p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sz w:val="24"/>
          <w:szCs w:val="24"/>
        </w:rPr>
      </w:pPr>
    </w:p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sz w:val="24"/>
          <w:szCs w:val="24"/>
        </w:rPr>
      </w:pPr>
    </w:p>
    <w:p w:rsidR="00B859B1" w:rsidRDefault="00B859B1" w:rsidP="00B859B1">
      <w:pPr>
        <w:spacing w:after="200" w:line="276" w:lineRule="auto"/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8C1C36" w:rsidRDefault="008C1C36" w:rsidP="00B859B1">
      <w:pPr>
        <w:pStyle w:val="Bezmezer1"/>
        <w:ind w:firstLine="0"/>
        <w:rPr>
          <w:rFonts w:ascii="Times New Roman" w:hAnsi="Times New Roman"/>
          <w:b/>
          <w:sz w:val="24"/>
          <w:szCs w:val="24"/>
        </w:rPr>
      </w:pPr>
    </w:p>
    <w:p w:rsidR="00B859B1" w:rsidRPr="00D81E36" w:rsidRDefault="00B859B1" w:rsidP="00B859B1">
      <w:pPr>
        <w:pStyle w:val="Bezmezer1"/>
        <w:ind w:firstLine="0"/>
        <w:rPr>
          <w:rFonts w:ascii="Times New Roman" w:hAnsi="Times New Roman"/>
          <w:b/>
          <w:sz w:val="24"/>
          <w:szCs w:val="24"/>
        </w:rPr>
      </w:pPr>
      <w:r w:rsidRPr="00D81E36">
        <w:rPr>
          <w:rFonts w:ascii="Times New Roman" w:hAnsi="Times New Roman"/>
          <w:b/>
          <w:sz w:val="24"/>
          <w:szCs w:val="24"/>
        </w:rPr>
        <w:t>Příloha č. 1 – Podrobná specifikace předmětu plnění</w:t>
      </w:r>
    </w:p>
    <w:p w:rsidR="00B859B1" w:rsidRPr="00D81E36" w:rsidRDefault="00B859B1" w:rsidP="00B859B1">
      <w:pPr>
        <w:pStyle w:val="Bezmezer1"/>
        <w:ind w:firstLine="0"/>
        <w:rPr>
          <w:rFonts w:ascii="Times New Roman" w:hAnsi="Times New Roman"/>
          <w:sz w:val="24"/>
          <w:szCs w:val="24"/>
        </w:rPr>
      </w:pPr>
    </w:p>
    <w:p w:rsidR="00B859B1" w:rsidRPr="00D81E36" w:rsidRDefault="00B859B1" w:rsidP="00B859B1">
      <w:pPr>
        <w:pStyle w:val="Bezmezer1"/>
        <w:ind w:firstLine="0"/>
        <w:rPr>
          <w:rFonts w:ascii="Times New Roman" w:hAnsi="Times New Roman"/>
          <w:sz w:val="24"/>
          <w:szCs w:val="24"/>
        </w:rPr>
      </w:pPr>
    </w:p>
    <w:p w:rsidR="00B859B1" w:rsidRPr="00D81E36" w:rsidRDefault="00B859B1" w:rsidP="00B859B1">
      <w:pPr>
        <w:pStyle w:val="Bezmezer1"/>
        <w:ind w:firstLine="0"/>
        <w:rPr>
          <w:rFonts w:ascii="Times New Roman" w:eastAsia="Arial Unicode MS" w:hAnsi="Times New Roman"/>
          <w:sz w:val="24"/>
          <w:szCs w:val="24"/>
        </w:rPr>
      </w:pPr>
      <w:r w:rsidRPr="00D81E36">
        <w:rPr>
          <w:rFonts w:ascii="Times New Roman" w:eastAsia="Arial Unicode MS" w:hAnsi="Times New Roman"/>
          <w:sz w:val="24"/>
          <w:szCs w:val="24"/>
        </w:rPr>
        <w:t xml:space="preserve">Předmětem </w:t>
      </w:r>
      <w:r w:rsidR="00D917FD">
        <w:rPr>
          <w:rFonts w:ascii="Times New Roman" w:eastAsia="Arial Unicode MS" w:hAnsi="Times New Roman"/>
          <w:sz w:val="24"/>
          <w:szCs w:val="24"/>
        </w:rPr>
        <w:t>plnění je</w:t>
      </w:r>
      <w:r w:rsidRPr="00D81E36">
        <w:rPr>
          <w:rFonts w:ascii="Times New Roman" w:eastAsia="Arial Unicode MS" w:hAnsi="Times New Roman"/>
          <w:sz w:val="24"/>
          <w:szCs w:val="24"/>
        </w:rPr>
        <w:t xml:space="preserve">: </w:t>
      </w:r>
      <w:r w:rsidR="00AF0C71" w:rsidRPr="00D81E36">
        <w:rPr>
          <w:rFonts w:ascii="Times New Roman" w:eastAsia="Arial Unicode MS" w:hAnsi="Times New Roman"/>
          <w:sz w:val="24"/>
          <w:szCs w:val="24"/>
        </w:rPr>
        <w:t>„</w:t>
      </w:r>
      <w:r w:rsidR="00D917FD" w:rsidRPr="00D917FD">
        <w:rPr>
          <w:rFonts w:ascii="Times New Roman" w:eastAsia="Arial Unicode MS" w:hAnsi="Times New Roman"/>
          <w:sz w:val="24"/>
          <w:szCs w:val="24"/>
        </w:rPr>
        <w:t>Nájem výpočetní techniky pro MČ Praha 8 pro zajištění voleb do Zastupitelstva v říjnu 2014</w:t>
      </w:r>
      <w:r w:rsidR="00AF0C71" w:rsidRPr="00D81E36">
        <w:rPr>
          <w:rFonts w:ascii="Times New Roman" w:eastAsia="Arial Unicode MS" w:hAnsi="Times New Roman"/>
          <w:sz w:val="24"/>
          <w:szCs w:val="24"/>
        </w:rPr>
        <w:t>“</w:t>
      </w:r>
      <w:r w:rsidR="003C1D94" w:rsidRPr="00D81E36">
        <w:rPr>
          <w:rFonts w:ascii="Times New Roman" w:eastAsia="Arial Unicode MS" w:hAnsi="Times New Roman"/>
          <w:sz w:val="24"/>
          <w:szCs w:val="24"/>
        </w:rPr>
        <w:t xml:space="preserve">, které se konají v termínu </w:t>
      </w:r>
      <w:r w:rsidR="00CF6940">
        <w:rPr>
          <w:rFonts w:ascii="Times New Roman" w:eastAsia="Arial Unicode MS" w:hAnsi="Times New Roman"/>
          <w:sz w:val="24"/>
          <w:szCs w:val="24"/>
        </w:rPr>
        <w:t>10</w:t>
      </w:r>
      <w:r w:rsidR="003C1D94" w:rsidRPr="00D81E36">
        <w:rPr>
          <w:rFonts w:ascii="Times New Roman" w:eastAsia="Arial Unicode MS" w:hAnsi="Times New Roman"/>
          <w:sz w:val="24"/>
          <w:szCs w:val="24"/>
        </w:rPr>
        <w:t xml:space="preserve">. a </w:t>
      </w:r>
      <w:r w:rsidR="00CF6940">
        <w:rPr>
          <w:rFonts w:ascii="Times New Roman" w:eastAsia="Arial Unicode MS" w:hAnsi="Times New Roman"/>
          <w:sz w:val="24"/>
          <w:szCs w:val="24"/>
        </w:rPr>
        <w:t>11</w:t>
      </w:r>
      <w:r w:rsidRPr="00D81E36">
        <w:rPr>
          <w:rFonts w:ascii="Times New Roman" w:eastAsia="Arial Unicode MS" w:hAnsi="Times New Roman"/>
          <w:sz w:val="24"/>
          <w:szCs w:val="24"/>
        </w:rPr>
        <w:t xml:space="preserve">. </w:t>
      </w:r>
      <w:r w:rsidR="00CF6940">
        <w:rPr>
          <w:rFonts w:ascii="Times New Roman" w:eastAsia="Arial Unicode MS" w:hAnsi="Times New Roman"/>
          <w:sz w:val="24"/>
          <w:szCs w:val="24"/>
        </w:rPr>
        <w:t>října</w:t>
      </w:r>
      <w:r w:rsidR="003C1D94" w:rsidRPr="00D81E36">
        <w:rPr>
          <w:rFonts w:ascii="Times New Roman" w:eastAsia="Arial Unicode MS" w:hAnsi="Times New Roman"/>
          <w:sz w:val="24"/>
          <w:szCs w:val="24"/>
        </w:rPr>
        <w:t xml:space="preserve"> 2014</w:t>
      </w:r>
      <w:r w:rsidR="00D01711" w:rsidRPr="00D81E3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81E36">
        <w:rPr>
          <w:rFonts w:ascii="Times New Roman" w:eastAsia="Arial Unicode MS" w:hAnsi="Times New Roman"/>
          <w:sz w:val="24"/>
          <w:szCs w:val="24"/>
        </w:rPr>
        <w:t>pro sčítání hlasovacích lístků a export výsledků v elektronické i tištěné podobě.</w:t>
      </w:r>
    </w:p>
    <w:p w:rsidR="00B859B1" w:rsidRPr="00D81E36" w:rsidRDefault="00B859B1" w:rsidP="00B859B1">
      <w:pPr>
        <w:pStyle w:val="Bezmezer1"/>
        <w:ind w:firstLine="0"/>
        <w:rPr>
          <w:rFonts w:ascii="Times New Roman" w:eastAsia="Arial Unicode MS" w:hAnsi="Times New Roman"/>
          <w:sz w:val="24"/>
          <w:szCs w:val="24"/>
        </w:rPr>
      </w:pPr>
    </w:p>
    <w:p w:rsidR="00B859B1" w:rsidRPr="00D81E36" w:rsidRDefault="00B859B1" w:rsidP="00B859B1">
      <w:pPr>
        <w:pStyle w:val="Bezmezer1"/>
        <w:ind w:firstLine="0"/>
        <w:rPr>
          <w:rFonts w:ascii="Times New Roman" w:eastAsia="Arial Unicode MS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513"/>
        <w:gridCol w:w="968"/>
        <w:gridCol w:w="836"/>
        <w:gridCol w:w="836"/>
        <w:gridCol w:w="1011"/>
        <w:gridCol w:w="1011"/>
        <w:gridCol w:w="1037"/>
      </w:tblGrid>
      <w:tr w:rsidR="00B859B1" w:rsidRPr="00D81E36" w:rsidTr="00E54039">
        <w:trPr>
          <w:trHeight w:val="915"/>
        </w:trPr>
        <w:tc>
          <w:tcPr>
            <w:tcW w:w="1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Popis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E5F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Cena/</w:t>
            </w:r>
          </w:p>
          <w:p w:rsidR="00B859B1" w:rsidRPr="00D81E36" w:rsidRDefault="008F3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B859B1" w:rsidRPr="00D81E36">
              <w:rPr>
                <w:b/>
                <w:bCs/>
                <w:lang w:eastAsia="en-US"/>
              </w:rPr>
              <w:t>ks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DPH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D81E36">
              <w:rPr>
                <w:b/>
                <w:bCs/>
                <w:lang w:eastAsia="en-US"/>
              </w:rPr>
              <w:t xml:space="preserve">Cena </w:t>
            </w:r>
            <w:r w:rsidR="00805C42" w:rsidRPr="00D81E36">
              <w:rPr>
                <w:b/>
                <w:bCs/>
                <w:lang w:eastAsia="en-US"/>
              </w:rPr>
              <w:t xml:space="preserve">      </w:t>
            </w:r>
            <w:r w:rsidRPr="00D81E36">
              <w:rPr>
                <w:b/>
                <w:bCs/>
                <w:lang w:eastAsia="en-US"/>
              </w:rPr>
              <w:t>s DPH</w:t>
            </w:r>
            <w:proofErr w:type="gramEnd"/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Cena 111</w:t>
            </w:r>
            <w:r w:rsidR="00D81E36" w:rsidRPr="00D81E36">
              <w:rPr>
                <w:b/>
                <w:bCs/>
                <w:lang w:eastAsia="en-US"/>
              </w:rPr>
              <w:t xml:space="preserve"> </w:t>
            </w:r>
            <w:r w:rsidRPr="00D81E36">
              <w:rPr>
                <w:b/>
                <w:bCs/>
                <w:lang w:eastAsia="en-US"/>
              </w:rPr>
              <w:t>ks bez DPH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DPH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Cena 111</w:t>
            </w:r>
            <w:r w:rsidR="00D81E36" w:rsidRPr="00D81E36">
              <w:rPr>
                <w:b/>
                <w:bCs/>
                <w:lang w:eastAsia="en-US"/>
              </w:rPr>
              <w:t xml:space="preserve"> </w:t>
            </w:r>
            <w:r w:rsidRPr="00D81E36">
              <w:rPr>
                <w:b/>
                <w:bCs/>
                <w:lang w:eastAsia="en-US"/>
              </w:rPr>
              <w:t xml:space="preserve">ks </w:t>
            </w:r>
            <w:r w:rsidR="00805C42" w:rsidRPr="00D81E36">
              <w:rPr>
                <w:b/>
                <w:bCs/>
                <w:lang w:eastAsia="en-US"/>
              </w:rPr>
              <w:t xml:space="preserve">      </w:t>
            </w:r>
            <w:r w:rsidRPr="00D81E36">
              <w:rPr>
                <w:b/>
                <w:bCs/>
                <w:lang w:eastAsia="en-US"/>
              </w:rPr>
              <w:t>s DPH</w:t>
            </w:r>
          </w:p>
        </w:tc>
      </w:tr>
      <w:tr w:rsidR="00B859B1" w:rsidRPr="00D81E36" w:rsidTr="00E54039">
        <w:trPr>
          <w:trHeight w:val="315"/>
        </w:trPr>
        <w:tc>
          <w:tcPr>
            <w:tcW w:w="1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Hardware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</w:tr>
      <w:tr w:rsidR="00B859B1" w:rsidRPr="00D81E36" w:rsidTr="00E54039">
        <w:trPr>
          <w:trHeight w:val="615"/>
        </w:trPr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B6B" w:rsidRPr="00D81E36" w:rsidRDefault="00B859B1" w:rsidP="006A5B6B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Notebook</w:t>
            </w:r>
            <w:r w:rsidR="008B0C6E" w:rsidRPr="00D81E36">
              <w:rPr>
                <w:lang w:eastAsia="en-US"/>
              </w:rPr>
              <w:t xml:space="preserve"> s numerickou klávesnicí</w:t>
            </w:r>
            <w:r w:rsidRPr="00D81E36">
              <w:rPr>
                <w:lang w:eastAsia="en-US"/>
              </w:rPr>
              <w:t xml:space="preserve">, LCD 15,6", RAM </w:t>
            </w:r>
            <w:r w:rsidR="006A5B6B" w:rsidRPr="00D81E36">
              <w:rPr>
                <w:lang w:eastAsia="en-US"/>
              </w:rPr>
              <w:t>2</w:t>
            </w:r>
            <w:r w:rsidRPr="00D81E36">
              <w:rPr>
                <w:lang w:eastAsia="en-US"/>
              </w:rPr>
              <w:t xml:space="preserve">GB, HDD, </w:t>
            </w:r>
            <w:r w:rsidR="006A5B6B" w:rsidRPr="00D81E36">
              <w:rPr>
                <w:lang w:eastAsia="en-US"/>
              </w:rPr>
              <w:t xml:space="preserve">  </w:t>
            </w:r>
            <w:r w:rsidRPr="00D81E36">
              <w:rPr>
                <w:lang w:eastAsia="en-US"/>
              </w:rPr>
              <w:t>3x USB</w:t>
            </w:r>
            <w:r w:rsidR="006A5B6B" w:rsidRPr="00D81E36">
              <w:rPr>
                <w:lang w:eastAsia="en-US"/>
              </w:rPr>
              <w:t xml:space="preserve"> porty</w:t>
            </w:r>
            <w:r w:rsidRPr="00D81E36">
              <w:rPr>
                <w:lang w:eastAsia="en-US"/>
              </w:rPr>
              <w:t xml:space="preserve">, </w:t>
            </w:r>
          </w:p>
          <w:p w:rsidR="00B859B1" w:rsidRPr="00D81E36" w:rsidRDefault="006A5B6B" w:rsidP="006A5B6B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 xml:space="preserve">OS </w:t>
            </w:r>
            <w:r w:rsidR="00B859B1" w:rsidRPr="00D81E36">
              <w:rPr>
                <w:lang w:eastAsia="en-US"/>
              </w:rPr>
              <w:t>Windows 7</w:t>
            </w:r>
            <w:r w:rsidR="00AF0C71" w:rsidRPr="00D81E36">
              <w:rPr>
                <w:lang w:eastAsia="en-US"/>
              </w:rPr>
              <w:t xml:space="preserve"> nebo Windows 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859B1" w:rsidRPr="00D81E36" w:rsidTr="00E54039">
        <w:trPr>
          <w:trHeight w:val="315"/>
        </w:trPr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59B1" w:rsidRPr="00D81E36" w:rsidRDefault="00B859B1" w:rsidP="006A5B6B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Laserová tiskárna A4, ČB, USB</w:t>
            </w:r>
            <w:r w:rsidR="006A5B6B" w:rsidRPr="00D81E36">
              <w:rPr>
                <w:lang w:eastAsia="en-US"/>
              </w:rPr>
              <w:t>, kabel USB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A5B6B" w:rsidRPr="00D81E36" w:rsidTr="00E54039">
        <w:trPr>
          <w:trHeight w:val="531"/>
        </w:trPr>
        <w:tc>
          <w:tcPr>
            <w:tcW w:w="19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5B6B" w:rsidRPr="00D81E36" w:rsidRDefault="008B0C6E" w:rsidP="006A5B6B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Optická drátová myš</w:t>
            </w:r>
            <w:r w:rsidR="006A5B6B" w:rsidRPr="00D81E36">
              <w:rPr>
                <w:lang w:eastAsia="en-US"/>
              </w:rPr>
              <w:t xml:space="preserve"> USB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5B6B" w:rsidRPr="00D81E36" w:rsidRDefault="006A5B6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859B1" w:rsidRPr="00D81E36" w:rsidTr="00E54039">
        <w:trPr>
          <w:trHeight w:val="562"/>
        </w:trPr>
        <w:tc>
          <w:tcPr>
            <w:tcW w:w="19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B1" w:rsidRPr="00D81E36" w:rsidRDefault="006A5B6B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Brašna na notebook 15,6"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859B1" w:rsidRPr="00D81E36" w:rsidTr="00E54039">
        <w:trPr>
          <w:trHeight w:val="315"/>
        </w:trPr>
        <w:tc>
          <w:tcPr>
            <w:tcW w:w="1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73AAD" w:rsidRDefault="00073AA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859B1" w:rsidRPr="00D81E36" w:rsidRDefault="00B859B1">
            <w:pPr>
              <w:spacing w:line="276" w:lineRule="auto"/>
              <w:rPr>
                <w:b/>
                <w:bCs/>
                <w:lang w:eastAsia="en-US"/>
              </w:rPr>
            </w:pPr>
            <w:r w:rsidRPr="00D81E36">
              <w:rPr>
                <w:b/>
                <w:bCs/>
                <w:lang w:eastAsia="en-US"/>
              </w:rPr>
              <w:t>Cena celkem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center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rPr>
                <w:lang w:eastAsia="en-US"/>
              </w:rPr>
            </w:pPr>
            <w:r w:rsidRPr="00D81E36">
              <w:rPr>
                <w:lang w:eastAsia="en-US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859B1" w:rsidRPr="00D81E36" w:rsidRDefault="00B859B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B859B1" w:rsidRPr="00D81E36" w:rsidRDefault="00B859B1" w:rsidP="00B859B1">
      <w:pPr>
        <w:pStyle w:val="Bezmezer1"/>
        <w:ind w:firstLine="0"/>
        <w:rPr>
          <w:rFonts w:ascii="Times New Roman" w:eastAsia="Arial Unicode MS" w:hAnsi="Times New Roman"/>
          <w:sz w:val="24"/>
          <w:szCs w:val="24"/>
        </w:rPr>
      </w:pPr>
    </w:p>
    <w:p w:rsidR="00B859B1" w:rsidRDefault="00B859B1" w:rsidP="00B859B1">
      <w:pPr>
        <w:pStyle w:val="Bezmezer1"/>
        <w:ind w:firstLine="0"/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p w:rsidR="00B859B1" w:rsidRDefault="00B859B1" w:rsidP="00CD25B7">
      <w:pPr>
        <w:rPr>
          <w:sz w:val="22"/>
          <w:szCs w:val="22"/>
        </w:rPr>
      </w:pPr>
    </w:p>
    <w:p w:rsidR="00B859B1" w:rsidRDefault="00807A9F" w:rsidP="00CD25B7">
      <w:pPr>
        <w:rPr>
          <w:sz w:val="22"/>
          <w:szCs w:val="22"/>
        </w:rPr>
      </w:pPr>
      <w:r>
        <w:rPr>
          <w:sz w:val="22"/>
          <w:szCs w:val="22"/>
        </w:rPr>
        <w:t>Uvedená cena zahrnuje:</w:t>
      </w:r>
    </w:p>
    <w:p w:rsidR="00807A9F" w:rsidRPr="0098494A" w:rsidRDefault="00807A9F" w:rsidP="00807A9F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8494A">
        <w:rPr>
          <w:sz w:val="22"/>
          <w:szCs w:val="22"/>
        </w:rPr>
        <w:t>oprav</w:t>
      </w:r>
      <w:r>
        <w:rPr>
          <w:sz w:val="22"/>
          <w:szCs w:val="22"/>
        </w:rPr>
        <w:t xml:space="preserve">u </w:t>
      </w:r>
      <w:r w:rsidRPr="0098494A">
        <w:rPr>
          <w:sz w:val="22"/>
          <w:szCs w:val="22"/>
        </w:rPr>
        <w:t>na místo plnění</w:t>
      </w:r>
      <w:r>
        <w:rPr>
          <w:sz w:val="22"/>
          <w:szCs w:val="22"/>
        </w:rPr>
        <w:t xml:space="preserve"> nejpozději do </w:t>
      </w:r>
      <w:r w:rsidRPr="00273E0D">
        <w:rPr>
          <w:b/>
          <w:sz w:val="22"/>
          <w:szCs w:val="22"/>
        </w:rPr>
        <w:t>29. 9. 2014</w:t>
      </w:r>
      <w:r w:rsidRPr="0098494A">
        <w:rPr>
          <w:sz w:val="22"/>
          <w:szCs w:val="22"/>
        </w:rPr>
        <w:t xml:space="preserve"> (ÚMČ Praha 8, U Meteoru 6, 180 48 Praha 8 – Libeň)</w:t>
      </w:r>
    </w:p>
    <w:p w:rsidR="00807A9F" w:rsidRPr="0098494A" w:rsidRDefault="00807A9F" w:rsidP="00807A9F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8494A">
        <w:rPr>
          <w:sz w:val="22"/>
          <w:szCs w:val="22"/>
        </w:rPr>
        <w:t>zajištění servisních služeb ve dnech voleb pro případ hardwarového selhání techniky do 1 hodiny od nahlášení požadavku</w:t>
      </w:r>
    </w:p>
    <w:p w:rsidR="00807A9F" w:rsidRPr="0098494A" w:rsidRDefault="00807A9F" w:rsidP="00807A9F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8494A">
        <w:rPr>
          <w:sz w:val="22"/>
          <w:szCs w:val="22"/>
        </w:rPr>
        <w:t>odvoz z místa plnění (ÚMČ Praha 8, U Meteoru 6, 180 48 Praha 8 – Libeň)</w:t>
      </w:r>
    </w:p>
    <w:p w:rsidR="00807A9F" w:rsidRDefault="00807A9F" w:rsidP="00807A9F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8494A">
        <w:rPr>
          <w:sz w:val="22"/>
          <w:szCs w:val="22"/>
        </w:rPr>
        <w:t>pojištění proti poškození</w:t>
      </w:r>
      <w:r>
        <w:rPr>
          <w:sz w:val="22"/>
          <w:szCs w:val="22"/>
        </w:rPr>
        <w:t xml:space="preserve">, </w:t>
      </w:r>
      <w:r w:rsidRPr="0098494A">
        <w:rPr>
          <w:sz w:val="22"/>
          <w:szCs w:val="22"/>
        </w:rPr>
        <w:t xml:space="preserve">ztrátě </w:t>
      </w:r>
      <w:r>
        <w:rPr>
          <w:sz w:val="22"/>
          <w:szCs w:val="22"/>
        </w:rPr>
        <w:t xml:space="preserve">nebo odcizení </w:t>
      </w:r>
      <w:r w:rsidRPr="0098494A">
        <w:rPr>
          <w:sz w:val="22"/>
          <w:szCs w:val="22"/>
        </w:rPr>
        <w:t>předmětu plnění</w:t>
      </w:r>
    </w:p>
    <w:p w:rsidR="00807A9F" w:rsidRPr="00BF5EAA" w:rsidRDefault="00807A9F" w:rsidP="00807A9F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BF5EAA">
        <w:rPr>
          <w:sz w:val="22"/>
          <w:szCs w:val="22"/>
        </w:rPr>
        <w:t>doba nájmu cca 14 dní</w:t>
      </w:r>
    </w:p>
    <w:p w:rsidR="00B859B1" w:rsidRDefault="00B859B1" w:rsidP="00CD25B7">
      <w:pPr>
        <w:rPr>
          <w:sz w:val="22"/>
          <w:szCs w:val="22"/>
        </w:rPr>
      </w:pPr>
    </w:p>
    <w:p w:rsidR="00064E70" w:rsidRDefault="00064E70" w:rsidP="00CD25B7">
      <w:pPr>
        <w:rPr>
          <w:sz w:val="22"/>
          <w:szCs w:val="22"/>
        </w:rPr>
      </w:pPr>
    </w:p>
    <w:p w:rsidR="00064E70" w:rsidRDefault="00064E70" w:rsidP="00CD25B7">
      <w:pPr>
        <w:rPr>
          <w:sz w:val="22"/>
          <w:szCs w:val="22"/>
        </w:rPr>
      </w:pPr>
    </w:p>
    <w:p w:rsidR="00064E70" w:rsidRDefault="00064E70" w:rsidP="00064E70">
      <w:pPr>
        <w:jc w:val="both"/>
      </w:pPr>
      <w:r>
        <w:t>V………………… dne………………….</w:t>
      </w:r>
    </w:p>
    <w:p w:rsidR="00064E70" w:rsidRDefault="00064E70" w:rsidP="00064E70">
      <w:pPr>
        <w:jc w:val="both"/>
      </w:pPr>
    </w:p>
    <w:p w:rsidR="00064E70" w:rsidRDefault="00064E70" w:rsidP="00064E70">
      <w:pPr>
        <w:jc w:val="both"/>
      </w:pPr>
    </w:p>
    <w:p w:rsidR="00064E70" w:rsidRDefault="00064E70" w:rsidP="00064E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064E70" w:rsidRDefault="00064E70" w:rsidP="00064E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</w:t>
      </w:r>
    </w:p>
    <w:p w:rsidR="00064E70" w:rsidRPr="00802FD8" w:rsidRDefault="00064E70" w:rsidP="00CD25B7">
      <w:pPr>
        <w:rPr>
          <w:sz w:val="22"/>
          <w:szCs w:val="22"/>
        </w:rPr>
      </w:pPr>
    </w:p>
    <w:sectPr w:rsidR="00064E70" w:rsidRPr="00802FD8" w:rsidSect="005D22A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A7" w:rsidRDefault="008D32A7">
      <w:r>
        <w:separator/>
      </w:r>
    </w:p>
  </w:endnote>
  <w:endnote w:type="continuationSeparator" w:id="0">
    <w:p w:rsidR="008D32A7" w:rsidRDefault="008D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E7" w:rsidRDefault="00DE54A2" w:rsidP="006852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44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44E7" w:rsidRDefault="00ED44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341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51B0B" w:rsidRPr="00C51B0B" w:rsidRDefault="00C51B0B" w:rsidP="00C51B0B">
            <w:pPr>
              <w:pStyle w:val="Zpat"/>
              <w:jc w:val="center"/>
            </w:pPr>
            <w:r w:rsidRPr="00C51B0B">
              <w:t xml:space="preserve">Stránka </w:t>
            </w:r>
            <w:fldSimple w:instr="PAGE">
              <w:r w:rsidR="00897A15">
                <w:rPr>
                  <w:noProof/>
                </w:rPr>
                <w:t>6</w:t>
              </w:r>
            </w:fldSimple>
            <w:r w:rsidRPr="00C51B0B">
              <w:t xml:space="preserve"> z </w:t>
            </w:r>
            <w:fldSimple w:instr="NUMPAGES">
              <w:r w:rsidR="00897A15">
                <w:rPr>
                  <w:noProof/>
                </w:rPr>
                <w:t>8</w:t>
              </w:r>
            </w:fldSimple>
          </w:p>
        </w:sdtContent>
      </w:sdt>
    </w:sdtContent>
  </w:sdt>
  <w:p w:rsidR="00ED44E7" w:rsidRDefault="00ED44E7" w:rsidP="00C51B0B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E7" w:rsidRDefault="00DE54A2">
    <w:pPr>
      <w:pStyle w:val="Zpat"/>
      <w:jc w:val="center"/>
    </w:pPr>
    <w:r>
      <w:rPr>
        <w:rStyle w:val="slostrnky"/>
      </w:rPr>
      <w:fldChar w:fldCharType="begin"/>
    </w:r>
    <w:r w:rsidR="00ED44E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44E7">
      <w:rPr>
        <w:rStyle w:val="slostrnky"/>
        <w:noProof/>
      </w:rPr>
      <w:t>16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A7" w:rsidRDefault="008D32A7">
      <w:r>
        <w:separator/>
      </w:r>
    </w:p>
  </w:footnote>
  <w:footnote w:type="continuationSeparator" w:id="0">
    <w:p w:rsidR="008D32A7" w:rsidRDefault="008D3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E7" w:rsidRDefault="00DE54A2">
    <w:pPr>
      <w:pStyle w:val="Zhlav"/>
      <w:jc w:val="center"/>
    </w:pPr>
    <w:r>
      <w:rPr>
        <w:rStyle w:val="slostrnky"/>
      </w:rPr>
      <w:fldChar w:fldCharType="begin"/>
    </w:r>
    <w:r w:rsidR="00ED44E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D44E7">
      <w:rPr>
        <w:rStyle w:val="slostrnky"/>
        <w:noProof/>
      </w:rPr>
      <w:t>16</w:t>
    </w:r>
    <w:r>
      <w:rPr>
        <w:rStyle w:val="slostrnk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925"/>
    <w:multiLevelType w:val="hybridMultilevel"/>
    <w:tmpl w:val="1C985A52"/>
    <w:lvl w:ilvl="0" w:tplc="5D0867B0">
      <w:start w:val="1"/>
      <w:numFmt w:val="decimal"/>
      <w:lvlText w:val="III.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5A0"/>
    <w:multiLevelType w:val="hybridMultilevel"/>
    <w:tmpl w:val="F8C4FA86"/>
    <w:lvl w:ilvl="0" w:tplc="9BACAD14">
      <w:start w:val="1"/>
      <w:numFmt w:val="decimal"/>
      <w:lvlText w:val="IV.%1."/>
      <w:lvlJc w:val="left"/>
      <w:pPr>
        <w:ind w:left="60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1A7"/>
    <w:multiLevelType w:val="hybridMultilevel"/>
    <w:tmpl w:val="5EA2F572"/>
    <w:lvl w:ilvl="0" w:tplc="5C5EED0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838C9"/>
    <w:multiLevelType w:val="hybridMultilevel"/>
    <w:tmpl w:val="B5E48742"/>
    <w:lvl w:ilvl="0" w:tplc="84A66E6A">
      <w:start w:val="1"/>
      <w:numFmt w:val="decimal"/>
      <w:lvlText w:val="VI.%1."/>
      <w:lvlJc w:val="left"/>
      <w:pPr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1D12"/>
    <w:multiLevelType w:val="hybridMultilevel"/>
    <w:tmpl w:val="EDD0D25A"/>
    <w:lvl w:ilvl="0" w:tplc="5D8A15FC">
      <w:start w:val="1"/>
      <w:numFmt w:val="decimal"/>
      <w:lvlText w:val="II.%1."/>
      <w:lvlJc w:val="left"/>
      <w:pPr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4B5"/>
    <w:multiLevelType w:val="hybridMultilevel"/>
    <w:tmpl w:val="B7722046"/>
    <w:lvl w:ilvl="0" w:tplc="64601EBE">
      <w:start w:val="1"/>
      <w:numFmt w:val="decimal"/>
      <w:lvlText w:val="V.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FCD"/>
    <w:multiLevelType w:val="multilevel"/>
    <w:tmpl w:val="3322F3C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799"/>
        </w:tabs>
        <w:ind w:left="3799" w:hanging="73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142BE7"/>
    <w:multiLevelType w:val="hybridMultilevel"/>
    <w:tmpl w:val="1A1C0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A39C7"/>
    <w:multiLevelType w:val="hybridMultilevel"/>
    <w:tmpl w:val="5A16972A"/>
    <w:lvl w:ilvl="0" w:tplc="BAAA8680">
      <w:start w:val="1"/>
      <w:numFmt w:val="decimal"/>
      <w:lvlText w:val="VII.%1."/>
      <w:lvlJc w:val="left"/>
      <w:pPr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40127"/>
    <w:multiLevelType w:val="hybridMultilevel"/>
    <w:tmpl w:val="510E02F0"/>
    <w:lvl w:ilvl="0" w:tplc="2B3C1D5E">
      <w:start w:val="1"/>
      <w:numFmt w:val="decimal"/>
      <w:lvlText w:val="IX.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A2DEB"/>
    <w:multiLevelType w:val="hybridMultilevel"/>
    <w:tmpl w:val="1C4CE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70F9E"/>
    <w:multiLevelType w:val="hybridMultilevel"/>
    <w:tmpl w:val="1A2096F8"/>
    <w:lvl w:ilvl="0" w:tplc="382A093C">
      <w:start w:val="1"/>
      <w:numFmt w:val="decimal"/>
      <w:lvlText w:val="XI.%1."/>
      <w:lvlJc w:val="left"/>
      <w:pPr>
        <w:ind w:left="927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BC0C1E"/>
    <w:multiLevelType w:val="hybridMultilevel"/>
    <w:tmpl w:val="FCDE874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596492D"/>
    <w:multiLevelType w:val="hybridMultilevel"/>
    <w:tmpl w:val="6B5C2F96"/>
    <w:lvl w:ilvl="0" w:tplc="D8248432">
      <w:start w:val="1"/>
      <w:numFmt w:val="decimal"/>
      <w:lvlText w:val="X.%1."/>
      <w:lvlJc w:val="left"/>
      <w:pPr>
        <w:ind w:left="786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076375"/>
    <w:multiLevelType w:val="multilevel"/>
    <w:tmpl w:val="2638851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VERZE" w:val="1"/>
  </w:docVars>
  <w:rsids>
    <w:rsidRoot w:val="00B834BB"/>
    <w:rsid w:val="0000540A"/>
    <w:rsid w:val="00006C36"/>
    <w:rsid w:val="00011DC7"/>
    <w:rsid w:val="00023CF9"/>
    <w:rsid w:val="00023D82"/>
    <w:rsid w:val="00035C9B"/>
    <w:rsid w:val="00045B98"/>
    <w:rsid w:val="00064E70"/>
    <w:rsid w:val="00072861"/>
    <w:rsid w:val="00073AAD"/>
    <w:rsid w:val="00076137"/>
    <w:rsid w:val="00091DAB"/>
    <w:rsid w:val="000A1305"/>
    <w:rsid w:val="000A532D"/>
    <w:rsid w:val="000A79F8"/>
    <w:rsid w:val="000F0E66"/>
    <w:rsid w:val="0010760C"/>
    <w:rsid w:val="00113149"/>
    <w:rsid w:val="00121E3D"/>
    <w:rsid w:val="0013449C"/>
    <w:rsid w:val="00135553"/>
    <w:rsid w:val="0014001F"/>
    <w:rsid w:val="001409E9"/>
    <w:rsid w:val="00154722"/>
    <w:rsid w:val="00155DEB"/>
    <w:rsid w:val="0015624F"/>
    <w:rsid w:val="00163B9E"/>
    <w:rsid w:val="00163E2B"/>
    <w:rsid w:val="00184EE3"/>
    <w:rsid w:val="00186CD5"/>
    <w:rsid w:val="00191055"/>
    <w:rsid w:val="00197D6C"/>
    <w:rsid w:val="001A6A49"/>
    <w:rsid w:val="001C1037"/>
    <w:rsid w:val="001C1603"/>
    <w:rsid w:val="001E0AC5"/>
    <w:rsid w:val="001E6868"/>
    <w:rsid w:val="0020086D"/>
    <w:rsid w:val="00202C2E"/>
    <w:rsid w:val="00245D0E"/>
    <w:rsid w:val="0025048B"/>
    <w:rsid w:val="00250BC0"/>
    <w:rsid w:val="00254F92"/>
    <w:rsid w:val="002624AC"/>
    <w:rsid w:val="00266EB2"/>
    <w:rsid w:val="00267DF3"/>
    <w:rsid w:val="00272177"/>
    <w:rsid w:val="00276452"/>
    <w:rsid w:val="002806C9"/>
    <w:rsid w:val="00284924"/>
    <w:rsid w:val="00286DB8"/>
    <w:rsid w:val="00287FF0"/>
    <w:rsid w:val="002B25BC"/>
    <w:rsid w:val="002C294C"/>
    <w:rsid w:val="002C4C57"/>
    <w:rsid w:val="002D06A5"/>
    <w:rsid w:val="002D17F2"/>
    <w:rsid w:val="002D50F5"/>
    <w:rsid w:val="00302D34"/>
    <w:rsid w:val="00315428"/>
    <w:rsid w:val="003263B4"/>
    <w:rsid w:val="00330ED1"/>
    <w:rsid w:val="00335BA0"/>
    <w:rsid w:val="0034708F"/>
    <w:rsid w:val="00351571"/>
    <w:rsid w:val="00351F5C"/>
    <w:rsid w:val="00353A04"/>
    <w:rsid w:val="00363112"/>
    <w:rsid w:val="003748B8"/>
    <w:rsid w:val="0037490A"/>
    <w:rsid w:val="003755E7"/>
    <w:rsid w:val="00377D70"/>
    <w:rsid w:val="00383754"/>
    <w:rsid w:val="00386D91"/>
    <w:rsid w:val="00391024"/>
    <w:rsid w:val="003926BB"/>
    <w:rsid w:val="00397546"/>
    <w:rsid w:val="003B5001"/>
    <w:rsid w:val="003B6CC0"/>
    <w:rsid w:val="003C1D94"/>
    <w:rsid w:val="003E7C23"/>
    <w:rsid w:val="003F4353"/>
    <w:rsid w:val="003F4E43"/>
    <w:rsid w:val="00401A46"/>
    <w:rsid w:val="00415E7B"/>
    <w:rsid w:val="0042042C"/>
    <w:rsid w:val="004260BC"/>
    <w:rsid w:val="00433122"/>
    <w:rsid w:val="00435CCA"/>
    <w:rsid w:val="0043692C"/>
    <w:rsid w:val="004406B0"/>
    <w:rsid w:val="00440A6D"/>
    <w:rsid w:val="0044569A"/>
    <w:rsid w:val="00445ADB"/>
    <w:rsid w:val="004478B2"/>
    <w:rsid w:val="004506EA"/>
    <w:rsid w:val="0045522A"/>
    <w:rsid w:val="00460C66"/>
    <w:rsid w:val="00472EC0"/>
    <w:rsid w:val="00483BAA"/>
    <w:rsid w:val="004913AA"/>
    <w:rsid w:val="0049773E"/>
    <w:rsid w:val="00497C50"/>
    <w:rsid w:val="004B0522"/>
    <w:rsid w:val="004D58D5"/>
    <w:rsid w:val="00511093"/>
    <w:rsid w:val="005142E4"/>
    <w:rsid w:val="005368B2"/>
    <w:rsid w:val="00537501"/>
    <w:rsid w:val="00580AAA"/>
    <w:rsid w:val="00583590"/>
    <w:rsid w:val="0058363F"/>
    <w:rsid w:val="0059053C"/>
    <w:rsid w:val="00597D3B"/>
    <w:rsid w:val="005A3A58"/>
    <w:rsid w:val="005B6873"/>
    <w:rsid w:val="005C1F34"/>
    <w:rsid w:val="005C55B9"/>
    <w:rsid w:val="005C5FA1"/>
    <w:rsid w:val="005D01DC"/>
    <w:rsid w:val="005D22A7"/>
    <w:rsid w:val="005E1A44"/>
    <w:rsid w:val="005E394D"/>
    <w:rsid w:val="005E3B80"/>
    <w:rsid w:val="005F05E9"/>
    <w:rsid w:val="005F4DDB"/>
    <w:rsid w:val="00607B27"/>
    <w:rsid w:val="00617AE6"/>
    <w:rsid w:val="0063243C"/>
    <w:rsid w:val="006377CE"/>
    <w:rsid w:val="00650114"/>
    <w:rsid w:val="006551D3"/>
    <w:rsid w:val="006624CA"/>
    <w:rsid w:val="0066564B"/>
    <w:rsid w:val="0067272F"/>
    <w:rsid w:val="00685234"/>
    <w:rsid w:val="006A5B6B"/>
    <w:rsid w:val="006B2B0E"/>
    <w:rsid w:val="006B7CFC"/>
    <w:rsid w:val="006D5A85"/>
    <w:rsid w:val="006D6E0C"/>
    <w:rsid w:val="007109AA"/>
    <w:rsid w:val="00715581"/>
    <w:rsid w:val="0072317B"/>
    <w:rsid w:val="00727EDB"/>
    <w:rsid w:val="00742959"/>
    <w:rsid w:val="0075484C"/>
    <w:rsid w:val="007552CA"/>
    <w:rsid w:val="00764CA8"/>
    <w:rsid w:val="00770F1F"/>
    <w:rsid w:val="007710AE"/>
    <w:rsid w:val="00777D36"/>
    <w:rsid w:val="007A0470"/>
    <w:rsid w:val="007A16C4"/>
    <w:rsid w:val="007E5D3A"/>
    <w:rsid w:val="007E637A"/>
    <w:rsid w:val="00802FD8"/>
    <w:rsid w:val="00804E65"/>
    <w:rsid w:val="00805C42"/>
    <w:rsid w:val="00807116"/>
    <w:rsid w:val="00807A9F"/>
    <w:rsid w:val="008124AB"/>
    <w:rsid w:val="0081703A"/>
    <w:rsid w:val="0084255F"/>
    <w:rsid w:val="00847529"/>
    <w:rsid w:val="00854258"/>
    <w:rsid w:val="00860E1D"/>
    <w:rsid w:val="008675B7"/>
    <w:rsid w:val="00897A15"/>
    <w:rsid w:val="008A7D2A"/>
    <w:rsid w:val="008B0C6E"/>
    <w:rsid w:val="008B7A1D"/>
    <w:rsid w:val="008C1C36"/>
    <w:rsid w:val="008C7060"/>
    <w:rsid w:val="008D32A7"/>
    <w:rsid w:val="008E23A6"/>
    <w:rsid w:val="008E3900"/>
    <w:rsid w:val="008F3E5F"/>
    <w:rsid w:val="009006D0"/>
    <w:rsid w:val="00901C63"/>
    <w:rsid w:val="00942BC8"/>
    <w:rsid w:val="00944B2A"/>
    <w:rsid w:val="009455A5"/>
    <w:rsid w:val="00946580"/>
    <w:rsid w:val="0095369B"/>
    <w:rsid w:val="00960DB7"/>
    <w:rsid w:val="0097185A"/>
    <w:rsid w:val="00981E0F"/>
    <w:rsid w:val="00986775"/>
    <w:rsid w:val="0098775B"/>
    <w:rsid w:val="00990EC5"/>
    <w:rsid w:val="0099295C"/>
    <w:rsid w:val="009A2569"/>
    <w:rsid w:val="009A6F14"/>
    <w:rsid w:val="009B0ADF"/>
    <w:rsid w:val="009B34A7"/>
    <w:rsid w:val="009C2C2C"/>
    <w:rsid w:val="009C3E0D"/>
    <w:rsid w:val="009D3B0D"/>
    <w:rsid w:val="009E07FA"/>
    <w:rsid w:val="009E336C"/>
    <w:rsid w:val="009F6CF0"/>
    <w:rsid w:val="00A007E2"/>
    <w:rsid w:val="00A01CDC"/>
    <w:rsid w:val="00A15C1B"/>
    <w:rsid w:val="00A24FAC"/>
    <w:rsid w:val="00A36784"/>
    <w:rsid w:val="00A37346"/>
    <w:rsid w:val="00A4428B"/>
    <w:rsid w:val="00A4557A"/>
    <w:rsid w:val="00A55F20"/>
    <w:rsid w:val="00A5653C"/>
    <w:rsid w:val="00A60BEB"/>
    <w:rsid w:val="00A62862"/>
    <w:rsid w:val="00A653A9"/>
    <w:rsid w:val="00A83A7A"/>
    <w:rsid w:val="00A93339"/>
    <w:rsid w:val="00AA4FB2"/>
    <w:rsid w:val="00AB171F"/>
    <w:rsid w:val="00AC4F9E"/>
    <w:rsid w:val="00AD43A3"/>
    <w:rsid w:val="00AF0C71"/>
    <w:rsid w:val="00B0580E"/>
    <w:rsid w:val="00B13444"/>
    <w:rsid w:val="00B3117C"/>
    <w:rsid w:val="00B35B43"/>
    <w:rsid w:val="00B5643C"/>
    <w:rsid w:val="00B66064"/>
    <w:rsid w:val="00B660C3"/>
    <w:rsid w:val="00B73431"/>
    <w:rsid w:val="00B834BB"/>
    <w:rsid w:val="00B8467E"/>
    <w:rsid w:val="00B84D39"/>
    <w:rsid w:val="00B859B1"/>
    <w:rsid w:val="00BA0094"/>
    <w:rsid w:val="00BA6700"/>
    <w:rsid w:val="00BA7460"/>
    <w:rsid w:val="00BB4109"/>
    <w:rsid w:val="00BC26FF"/>
    <w:rsid w:val="00BC5F2D"/>
    <w:rsid w:val="00BD0606"/>
    <w:rsid w:val="00BD3317"/>
    <w:rsid w:val="00BD4149"/>
    <w:rsid w:val="00BE4EA6"/>
    <w:rsid w:val="00BF3D1B"/>
    <w:rsid w:val="00BF43FE"/>
    <w:rsid w:val="00BF5066"/>
    <w:rsid w:val="00BF5EAA"/>
    <w:rsid w:val="00BF6E6D"/>
    <w:rsid w:val="00C25908"/>
    <w:rsid w:val="00C340F3"/>
    <w:rsid w:val="00C37A0F"/>
    <w:rsid w:val="00C51B0B"/>
    <w:rsid w:val="00C5472A"/>
    <w:rsid w:val="00C70E34"/>
    <w:rsid w:val="00C80390"/>
    <w:rsid w:val="00C856E9"/>
    <w:rsid w:val="00CA38F3"/>
    <w:rsid w:val="00CD25B7"/>
    <w:rsid w:val="00CE23C6"/>
    <w:rsid w:val="00CF3E19"/>
    <w:rsid w:val="00CF6940"/>
    <w:rsid w:val="00D01711"/>
    <w:rsid w:val="00D05DC5"/>
    <w:rsid w:val="00D07114"/>
    <w:rsid w:val="00D15B04"/>
    <w:rsid w:val="00D26B32"/>
    <w:rsid w:val="00D3436E"/>
    <w:rsid w:val="00D502D6"/>
    <w:rsid w:val="00D56F5A"/>
    <w:rsid w:val="00D67072"/>
    <w:rsid w:val="00D71A5B"/>
    <w:rsid w:val="00D744CB"/>
    <w:rsid w:val="00D76373"/>
    <w:rsid w:val="00D81E36"/>
    <w:rsid w:val="00D917FD"/>
    <w:rsid w:val="00D9458D"/>
    <w:rsid w:val="00D9567C"/>
    <w:rsid w:val="00DA33A2"/>
    <w:rsid w:val="00DB39CB"/>
    <w:rsid w:val="00DD233C"/>
    <w:rsid w:val="00DD7795"/>
    <w:rsid w:val="00DE54A2"/>
    <w:rsid w:val="00DE5F48"/>
    <w:rsid w:val="00DE6E94"/>
    <w:rsid w:val="00E173DC"/>
    <w:rsid w:val="00E26074"/>
    <w:rsid w:val="00E27752"/>
    <w:rsid w:val="00E372D0"/>
    <w:rsid w:val="00E37A68"/>
    <w:rsid w:val="00E41EF5"/>
    <w:rsid w:val="00E520E0"/>
    <w:rsid w:val="00E54039"/>
    <w:rsid w:val="00E57C4C"/>
    <w:rsid w:val="00E626F1"/>
    <w:rsid w:val="00E81151"/>
    <w:rsid w:val="00E83562"/>
    <w:rsid w:val="00E83F55"/>
    <w:rsid w:val="00E8419E"/>
    <w:rsid w:val="00E92EF2"/>
    <w:rsid w:val="00E93710"/>
    <w:rsid w:val="00EA3DC0"/>
    <w:rsid w:val="00EA71C2"/>
    <w:rsid w:val="00EB3521"/>
    <w:rsid w:val="00EC1C53"/>
    <w:rsid w:val="00EC2AC4"/>
    <w:rsid w:val="00ED44E7"/>
    <w:rsid w:val="00EE052E"/>
    <w:rsid w:val="00EF0AAF"/>
    <w:rsid w:val="00EF531E"/>
    <w:rsid w:val="00EF7034"/>
    <w:rsid w:val="00F04CC9"/>
    <w:rsid w:val="00F2289A"/>
    <w:rsid w:val="00F3002A"/>
    <w:rsid w:val="00F354BC"/>
    <w:rsid w:val="00F426D4"/>
    <w:rsid w:val="00F432F8"/>
    <w:rsid w:val="00F5169C"/>
    <w:rsid w:val="00F54AA5"/>
    <w:rsid w:val="00F56374"/>
    <w:rsid w:val="00F7231C"/>
    <w:rsid w:val="00F927BC"/>
    <w:rsid w:val="00FC27E0"/>
    <w:rsid w:val="00FC710F"/>
    <w:rsid w:val="00FD037E"/>
    <w:rsid w:val="00FD500D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7EDB"/>
    <w:rPr>
      <w:sz w:val="24"/>
      <w:szCs w:val="24"/>
    </w:rPr>
  </w:style>
  <w:style w:type="paragraph" w:styleId="Nadpis2">
    <w:name w:val="heading 2"/>
    <w:basedOn w:val="Normln"/>
    <w:next w:val="Normln"/>
    <w:qFormat/>
    <w:rsid w:val="005D01DC"/>
    <w:pPr>
      <w:keepNext/>
      <w:autoSpaceDE w:val="0"/>
      <w:autoSpaceDN w:val="0"/>
      <w:adjustRightInd w:val="0"/>
      <w:jc w:val="center"/>
      <w:outlineLvl w:val="1"/>
    </w:pPr>
    <w:rPr>
      <w:b/>
      <w:bCs/>
      <w:sz w:val="52"/>
      <w:szCs w:val="30"/>
    </w:rPr>
  </w:style>
  <w:style w:type="paragraph" w:styleId="Nadpis3">
    <w:name w:val="heading 3"/>
    <w:basedOn w:val="Normln"/>
    <w:next w:val="Normln"/>
    <w:qFormat/>
    <w:rsid w:val="005D01DC"/>
    <w:pPr>
      <w:keepNext/>
      <w:autoSpaceDE w:val="0"/>
      <w:autoSpaceDN w:val="0"/>
      <w:adjustRightInd w:val="0"/>
      <w:jc w:val="center"/>
      <w:outlineLvl w:val="2"/>
    </w:pPr>
    <w:rPr>
      <w:b/>
      <w:bCs/>
      <w:szCs w:val="30"/>
    </w:rPr>
  </w:style>
  <w:style w:type="paragraph" w:styleId="Nadpis4">
    <w:name w:val="heading 4"/>
    <w:basedOn w:val="Normln"/>
    <w:next w:val="Normln"/>
    <w:link w:val="Nadpis4Char"/>
    <w:uiPriority w:val="9"/>
    <w:qFormat/>
    <w:rsid w:val="005D01DC"/>
    <w:pPr>
      <w:keepNext/>
      <w:autoSpaceDE w:val="0"/>
      <w:autoSpaceDN w:val="0"/>
      <w:adjustRightInd w:val="0"/>
      <w:jc w:val="both"/>
      <w:outlineLvl w:val="3"/>
    </w:pPr>
    <w:rPr>
      <w:b/>
      <w:bCs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5D01DC"/>
    <w:pPr>
      <w:keepNext/>
      <w:autoSpaceDE w:val="0"/>
      <w:autoSpaceDN w:val="0"/>
      <w:adjustRightInd w:val="0"/>
      <w:jc w:val="center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5D01DC"/>
    <w:pPr>
      <w:keepNext/>
      <w:autoSpaceDE w:val="0"/>
      <w:autoSpaceDN w:val="0"/>
      <w:adjustRightInd w:val="0"/>
      <w:jc w:val="center"/>
      <w:outlineLvl w:val="5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5D01D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5D01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D01DC"/>
    <w:pPr>
      <w:tabs>
        <w:tab w:val="center" w:pos="4536"/>
        <w:tab w:val="right" w:pos="9072"/>
      </w:tabs>
    </w:pPr>
  </w:style>
  <w:style w:type="paragraph" w:customStyle="1" w:styleId="Times10">
    <w:name w:val="Times10"/>
    <w:basedOn w:val="Normln"/>
    <w:rsid w:val="005D01DC"/>
    <w:rPr>
      <w:sz w:val="20"/>
      <w:szCs w:val="30"/>
    </w:rPr>
  </w:style>
  <w:style w:type="paragraph" w:styleId="Zkladntextodsazen">
    <w:name w:val="Body Text Indent"/>
    <w:basedOn w:val="Normln"/>
    <w:link w:val="ZkladntextodsazenChar"/>
    <w:rsid w:val="005D01DC"/>
    <w:pPr>
      <w:ind w:left="540"/>
      <w:jc w:val="both"/>
    </w:pPr>
    <w:rPr>
      <w:sz w:val="22"/>
    </w:rPr>
  </w:style>
  <w:style w:type="paragraph" w:styleId="Zkladntext2">
    <w:name w:val="Body Text 2"/>
    <w:basedOn w:val="Normln"/>
    <w:link w:val="Zkladntext2Char"/>
    <w:rsid w:val="005D01DC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styleId="Zkladntext3">
    <w:name w:val="Body Text 3"/>
    <w:basedOn w:val="Normln"/>
    <w:rsid w:val="005D01DC"/>
    <w:pPr>
      <w:autoSpaceDE w:val="0"/>
      <w:autoSpaceDN w:val="0"/>
      <w:adjustRightInd w:val="0"/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5D01DC"/>
    <w:pPr>
      <w:tabs>
        <w:tab w:val="left" w:pos="540"/>
      </w:tabs>
      <w:ind w:left="540" w:hanging="540"/>
    </w:pPr>
    <w:rPr>
      <w:sz w:val="22"/>
    </w:rPr>
  </w:style>
  <w:style w:type="paragraph" w:styleId="Zkladntextodsazen3">
    <w:name w:val="Body Text Indent 3"/>
    <w:basedOn w:val="Normln"/>
    <w:rsid w:val="005D01DC"/>
    <w:pPr>
      <w:tabs>
        <w:tab w:val="left" w:pos="540"/>
      </w:tabs>
      <w:ind w:left="540" w:hanging="540"/>
      <w:jc w:val="both"/>
    </w:pPr>
    <w:rPr>
      <w:sz w:val="22"/>
    </w:rPr>
  </w:style>
  <w:style w:type="paragraph" w:styleId="Zkladntext">
    <w:name w:val="Body Text"/>
    <w:basedOn w:val="Normln"/>
    <w:rsid w:val="005D01DC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MojeKdy">
    <w:name w:val="MojeKódy"/>
    <w:basedOn w:val="Zkladntext"/>
    <w:rsid w:val="005D01DC"/>
    <w:rPr>
      <w:sz w:val="22"/>
    </w:rPr>
  </w:style>
  <w:style w:type="character" w:styleId="slostrnky">
    <w:name w:val="page number"/>
    <w:basedOn w:val="Standardnpsmoodstavce"/>
    <w:rsid w:val="005D01DC"/>
  </w:style>
  <w:style w:type="paragraph" w:styleId="Textbubliny">
    <w:name w:val="Balloon Text"/>
    <w:basedOn w:val="Normln"/>
    <w:semiHidden/>
    <w:rsid w:val="00EA71C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6074"/>
    <w:rPr>
      <w:sz w:val="20"/>
      <w:szCs w:val="20"/>
    </w:rPr>
  </w:style>
  <w:style w:type="character" w:styleId="Hypertextovodkaz">
    <w:name w:val="Hyperlink"/>
    <w:basedOn w:val="Standardnpsmoodstavce"/>
    <w:rsid w:val="00E26074"/>
    <w:rPr>
      <w:color w:val="0000FF"/>
      <w:u w:val="single"/>
    </w:rPr>
  </w:style>
  <w:style w:type="paragraph" w:customStyle="1" w:styleId="RLTextlnkuslovan">
    <w:name w:val="RL Text článku číslovaný"/>
    <w:basedOn w:val="Normln"/>
    <w:link w:val="RLTextlnkuslovanChar"/>
    <w:rsid w:val="006B2B0E"/>
    <w:pPr>
      <w:numPr>
        <w:ilvl w:val="1"/>
        <w:numId w:val="5"/>
      </w:numPr>
      <w:spacing w:after="120" w:line="280" w:lineRule="exact"/>
      <w:jc w:val="both"/>
    </w:pPr>
    <w:rPr>
      <w:rFonts w:ascii="Garamond" w:hAnsi="Garamond"/>
    </w:rPr>
  </w:style>
  <w:style w:type="paragraph" w:customStyle="1" w:styleId="RLlneksmlouvy">
    <w:name w:val="RL Článek smlouvy"/>
    <w:basedOn w:val="Normln"/>
    <w:next w:val="RLTextlnkuslovan"/>
    <w:rsid w:val="006B2B0E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B2B0E"/>
    <w:rPr>
      <w:rFonts w:ascii="Garamond" w:hAnsi="Garamond"/>
      <w:sz w:val="24"/>
      <w:szCs w:val="24"/>
    </w:rPr>
  </w:style>
  <w:style w:type="character" w:styleId="Odkaznakoment">
    <w:name w:val="annotation reference"/>
    <w:basedOn w:val="Standardnpsmoodstavce"/>
    <w:semiHidden/>
    <w:rsid w:val="006D6E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6D6E0C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97D3B"/>
    <w:pPr>
      <w:ind w:left="708"/>
    </w:pPr>
  </w:style>
  <w:style w:type="character" w:customStyle="1" w:styleId="Nadpis5Char">
    <w:name w:val="Nadpis 5 Char"/>
    <w:basedOn w:val="Standardnpsmoodstavce"/>
    <w:link w:val="Nadpis5"/>
    <w:rsid w:val="00B859B1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859B1"/>
    <w:rPr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859B1"/>
  </w:style>
  <w:style w:type="paragraph" w:customStyle="1" w:styleId="Nadpis21">
    <w:name w:val="Nadpis 21"/>
    <w:basedOn w:val="Normln"/>
    <w:rsid w:val="00B859B1"/>
    <w:pPr>
      <w:widowControl w:val="0"/>
      <w:spacing w:after="120"/>
      <w:ind w:left="1418" w:hanging="708"/>
      <w:jc w:val="both"/>
    </w:pPr>
    <w:rPr>
      <w:szCs w:val="20"/>
    </w:rPr>
  </w:style>
  <w:style w:type="paragraph" w:customStyle="1" w:styleId="StylLatinkaArialSloitArial10bPed0cm">
    <w:name w:val="Styl (Latinka) Arial (Složité) Arial 10 b. Před:  0 cm"/>
    <w:basedOn w:val="Normln"/>
    <w:rsid w:val="00B859B1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Bezmezer1">
    <w:name w:val="Bez mezer1"/>
    <w:basedOn w:val="Normln"/>
    <w:rsid w:val="00B859B1"/>
    <w:pPr>
      <w:ind w:firstLine="561"/>
      <w:jc w:val="both"/>
    </w:pPr>
    <w:rPr>
      <w:rFonts w:ascii="Calibri" w:eastAsia="Calibri" w:hAnsi="Calibri"/>
      <w:sz w:val="22"/>
      <w:szCs w:val="20"/>
      <w:lang w:eastAsia="en-US"/>
    </w:rPr>
  </w:style>
  <w:style w:type="paragraph" w:customStyle="1" w:styleId="Odstavecseseznamem1">
    <w:name w:val="Odstavec se seznamem1"/>
    <w:basedOn w:val="Normln"/>
    <w:rsid w:val="00B859B1"/>
    <w:pPr>
      <w:spacing w:after="160"/>
      <w:ind w:left="2002" w:hanging="360"/>
      <w:contextualSpacing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6A5B6B"/>
    <w:rPr>
      <w:b/>
      <w:bCs/>
      <w:sz w:val="36"/>
    </w:rPr>
  </w:style>
  <w:style w:type="character" w:customStyle="1" w:styleId="ZpatChar">
    <w:name w:val="Zápatí Char"/>
    <w:basedOn w:val="Standardnpsmoodstavce"/>
    <w:link w:val="Zpat"/>
    <w:uiPriority w:val="99"/>
    <w:rsid w:val="00C51B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CDA3-E4B0-4D98-99A7-ED5E283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1913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&lt;#Text šablony#&gt;</dc:title>
  <dc:creator>1497</dc:creator>
  <cp:lastModifiedBy>Jiroušová Věra Ing.</cp:lastModifiedBy>
  <cp:revision>21</cp:revision>
  <cp:lastPrinted>2014-08-06T08:13:00Z</cp:lastPrinted>
  <dcterms:created xsi:type="dcterms:W3CDTF">2014-08-05T12:33:00Z</dcterms:created>
  <dcterms:modified xsi:type="dcterms:W3CDTF">2014-08-06T08:13:00Z</dcterms:modified>
</cp:coreProperties>
</file>